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54687" w:rsidRPr="00B45B4F" w:rsidRDefault="00554687" w:rsidP="0015466E">
      <w:pPr>
        <w:rPr>
          <w:rFonts w:ascii="Times New Roman" w:hAnsi="Times New Roman"/>
          <w:b/>
          <w:bCs/>
          <w:sz w:val="30"/>
          <w:szCs w:val="34"/>
          <w:lang w:val="bg-BG"/>
        </w:rPr>
      </w:pPr>
      <w:bookmarkStart w:id="0" w:name="_Toc319498651"/>
      <w:r w:rsidRPr="00B45B4F">
        <w:rPr>
          <w:rFonts w:ascii="Times New Roman" w:hAnsi="Times New Roman"/>
          <w:b/>
          <w:bCs/>
          <w:sz w:val="30"/>
          <w:szCs w:val="34"/>
          <w:lang w:val="bg-BG"/>
        </w:rPr>
        <w:t>Идентификация</w:t>
      </w:r>
    </w:p>
    <w:p w:rsidR="00554687" w:rsidRPr="00B45B4F" w:rsidRDefault="00554687" w:rsidP="0015466E">
      <w:pPr>
        <w:rPr>
          <w:rFonts w:ascii="Times New Roman" w:hAnsi="Times New Roman"/>
          <w:b/>
          <w:bCs/>
          <w:sz w:val="30"/>
          <w:szCs w:val="34"/>
          <w:lang w:val="bg-BG"/>
        </w:rPr>
      </w:pPr>
    </w:p>
    <w:tbl>
      <w:tblPr>
        <w:tblW w:w="9311" w:type="dxa"/>
        <w:tblInd w:w="68" w:type="dxa"/>
        <w:tblCellMar>
          <w:left w:w="68" w:type="dxa"/>
          <w:right w:w="68" w:type="dxa"/>
        </w:tblCellMar>
        <w:tblLook w:val="01E0" w:firstRow="1" w:lastRow="1" w:firstColumn="1" w:lastColumn="1" w:noHBand="0" w:noVBand="0"/>
      </w:tblPr>
      <w:tblGrid>
        <w:gridCol w:w="2610"/>
        <w:gridCol w:w="6701"/>
      </w:tblGrid>
      <w:tr w:rsidR="00554687" w:rsidRPr="00B45B4F" w:rsidTr="00E95975">
        <w:tc>
          <w:tcPr>
            <w:tcW w:w="2610" w:type="dxa"/>
          </w:tcPr>
          <w:p w:rsidR="00554687" w:rsidRPr="00B45B4F" w:rsidRDefault="00C826F7" w:rsidP="00E95975">
            <w:pPr>
              <w:spacing w:before="120" w:after="120"/>
              <w:rPr>
                <w:rFonts w:ascii="Times New Roman" w:hAnsi="Times New Roman"/>
                <w:lang w:val="bg-BG"/>
              </w:rPr>
            </w:pPr>
            <w:r w:rsidRPr="00B45B4F">
              <w:rPr>
                <w:rFonts w:ascii="Times New Roman" w:hAnsi="Times New Roman"/>
                <w:color w:val="003366"/>
                <w:lang w:val="bg-BG"/>
              </w:rPr>
              <w:t>Наименование</w:t>
            </w:r>
            <w:r w:rsidR="0015466E" w:rsidRPr="00B45B4F">
              <w:rPr>
                <w:rFonts w:ascii="Times New Roman" w:hAnsi="Times New Roman"/>
                <w:color w:val="003366"/>
                <w:lang w:val="bg-BG"/>
              </w:rPr>
              <w:t xml:space="preserve"> на проекта:</w:t>
            </w:r>
          </w:p>
        </w:tc>
        <w:tc>
          <w:tcPr>
            <w:tcW w:w="6701" w:type="dxa"/>
          </w:tcPr>
          <w:p w:rsidR="00554687" w:rsidRPr="00B45B4F" w:rsidRDefault="0015466E" w:rsidP="00C826F7">
            <w:pPr>
              <w:spacing w:before="120" w:after="120"/>
              <w:rPr>
                <w:rFonts w:ascii="Times New Roman" w:hAnsi="Times New Roman"/>
                <w:lang w:val="bg-BG"/>
              </w:rPr>
            </w:pPr>
            <w:r w:rsidRPr="00B45B4F">
              <w:rPr>
                <w:rFonts w:ascii="Times New Roman" w:hAnsi="Times New Roman"/>
                <w:lang w:val="bg-BG"/>
              </w:rPr>
              <w:t xml:space="preserve">“Предварителна оценка на Оперативна </w:t>
            </w:r>
            <w:r w:rsidR="00C826F7" w:rsidRPr="00B45B4F">
              <w:rPr>
                <w:rFonts w:ascii="Times New Roman" w:hAnsi="Times New Roman"/>
                <w:lang w:val="bg-BG"/>
              </w:rPr>
              <w:t>п</w:t>
            </w:r>
            <w:r w:rsidRPr="00B45B4F">
              <w:rPr>
                <w:rFonts w:ascii="Times New Roman" w:hAnsi="Times New Roman"/>
                <w:lang w:val="bg-BG"/>
              </w:rPr>
              <w:t>рограма „Наука и образование за интелигентен растеж“ за периода 2014–2020 г.</w:t>
            </w:r>
          </w:p>
        </w:tc>
      </w:tr>
      <w:tr w:rsidR="0015466E" w:rsidRPr="00B45B4F" w:rsidTr="00E95975">
        <w:tc>
          <w:tcPr>
            <w:tcW w:w="2610" w:type="dxa"/>
          </w:tcPr>
          <w:p w:rsidR="0015466E" w:rsidRPr="00B45B4F" w:rsidRDefault="0015466E" w:rsidP="00E95975">
            <w:pPr>
              <w:spacing w:before="120" w:after="120"/>
              <w:rPr>
                <w:rFonts w:ascii="Times New Roman" w:hAnsi="Times New Roman"/>
                <w:color w:val="003366"/>
                <w:lang w:val="bg-BG"/>
              </w:rPr>
            </w:pPr>
            <w:r w:rsidRPr="00B45B4F">
              <w:rPr>
                <w:rFonts w:ascii="Times New Roman" w:hAnsi="Times New Roman"/>
                <w:color w:val="003366"/>
                <w:lang w:val="bg-BG"/>
              </w:rPr>
              <w:t>Договор №:</w:t>
            </w:r>
          </w:p>
        </w:tc>
        <w:tc>
          <w:tcPr>
            <w:tcW w:w="6701" w:type="dxa"/>
          </w:tcPr>
          <w:p w:rsidR="0015466E" w:rsidRPr="00DF0F3D" w:rsidRDefault="00DF0F3D" w:rsidP="00E95975">
            <w:pPr>
              <w:spacing w:before="120" w:after="120"/>
              <w:rPr>
                <w:rFonts w:ascii="Times New Roman" w:hAnsi="Times New Roman"/>
                <w:lang w:val="bg-BG"/>
              </w:rPr>
            </w:pPr>
            <w:r>
              <w:rPr>
                <w:rFonts w:ascii="Times New Roman" w:hAnsi="Times New Roman"/>
                <w:lang w:val="bg-BG"/>
              </w:rPr>
              <w:t>ДО3-76/26.02.2014 г.</w:t>
            </w:r>
          </w:p>
        </w:tc>
      </w:tr>
      <w:tr w:rsidR="00554687" w:rsidRPr="00B45B4F" w:rsidTr="00E95975">
        <w:tc>
          <w:tcPr>
            <w:tcW w:w="2610" w:type="dxa"/>
          </w:tcPr>
          <w:p w:rsidR="00554687" w:rsidRPr="00B45B4F" w:rsidRDefault="00554687" w:rsidP="00E95975">
            <w:pPr>
              <w:spacing w:before="120" w:after="120"/>
              <w:rPr>
                <w:rFonts w:ascii="Times New Roman" w:hAnsi="Times New Roman"/>
                <w:lang w:val="bg-BG"/>
              </w:rPr>
            </w:pPr>
            <w:r w:rsidRPr="00B45B4F">
              <w:rPr>
                <w:rFonts w:ascii="Times New Roman" w:hAnsi="Times New Roman"/>
                <w:color w:val="003366"/>
                <w:lang w:val="bg-BG"/>
              </w:rPr>
              <w:t>Възложител:</w:t>
            </w:r>
          </w:p>
        </w:tc>
        <w:tc>
          <w:tcPr>
            <w:tcW w:w="6701" w:type="dxa"/>
          </w:tcPr>
          <w:p w:rsidR="00554687" w:rsidRPr="00B45B4F" w:rsidRDefault="00554687" w:rsidP="00E95975">
            <w:pPr>
              <w:spacing w:before="120" w:after="120"/>
              <w:rPr>
                <w:rFonts w:ascii="Times New Roman" w:hAnsi="Times New Roman"/>
                <w:lang w:val="bg-BG"/>
              </w:rPr>
            </w:pPr>
            <w:r w:rsidRPr="00B45B4F">
              <w:rPr>
                <w:rFonts w:ascii="Times New Roman" w:hAnsi="Times New Roman"/>
                <w:lang w:val="bg-BG"/>
              </w:rPr>
              <w:t xml:space="preserve">Министерство на </w:t>
            </w:r>
            <w:r w:rsidR="00D0039E" w:rsidRPr="00B45B4F">
              <w:rPr>
                <w:rFonts w:ascii="Times New Roman" w:hAnsi="Times New Roman"/>
                <w:lang w:val="bg-BG"/>
              </w:rPr>
              <w:t>образованието и науката</w:t>
            </w:r>
          </w:p>
        </w:tc>
      </w:tr>
      <w:tr w:rsidR="00554687" w:rsidRPr="00B45B4F" w:rsidTr="00E95975">
        <w:tc>
          <w:tcPr>
            <w:tcW w:w="2610" w:type="dxa"/>
          </w:tcPr>
          <w:p w:rsidR="00554687" w:rsidRPr="00B45B4F" w:rsidRDefault="00554687" w:rsidP="00E95975">
            <w:pPr>
              <w:spacing w:before="120" w:after="120"/>
              <w:rPr>
                <w:rFonts w:ascii="Times New Roman" w:hAnsi="Times New Roman"/>
                <w:lang w:val="bg-BG"/>
              </w:rPr>
            </w:pPr>
            <w:r w:rsidRPr="00B45B4F">
              <w:rPr>
                <w:rFonts w:ascii="Times New Roman" w:hAnsi="Times New Roman"/>
                <w:color w:val="003366"/>
                <w:lang w:val="bg-BG"/>
              </w:rPr>
              <w:t>Изпълнител/Консултант:</w:t>
            </w:r>
          </w:p>
        </w:tc>
        <w:tc>
          <w:tcPr>
            <w:tcW w:w="6701" w:type="dxa"/>
          </w:tcPr>
          <w:p w:rsidR="00554687" w:rsidRPr="00B45B4F" w:rsidRDefault="00D0039E" w:rsidP="00E95975">
            <w:pPr>
              <w:spacing w:before="120" w:after="120"/>
              <w:rPr>
                <w:rFonts w:ascii="Times New Roman" w:hAnsi="Times New Roman"/>
                <w:b/>
                <w:lang w:val="bg-BG"/>
              </w:rPr>
            </w:pPr>
            <w:proofErr w:type="spellStart"/>
            <w:r w:rsidRPr="00B45B4F">
              <w:rPr>
                <w:rFonts w:ascii="Times New Roman" w:hAnsi="Times New Roman"/>
                <w:b/>
                <w:lang w:val="bg-BG"/>
              </w:rPr>
              <w:t>Екорис</w:t>
            </w:r>
            <w:proofErr w:type="spellEnd"/>
            <w:r w:rsidRPr="00B45B4F">
              <w:rPr>
                <w:rFonts w:ascii="Times New Roman" w:hAnsi="Times New Roman"/>
                <w:b/>
                <w:lang w:val="bg-BG"/>
              </w:rPr>
              <w:t xml:space="preserve"> </w:t>
            </w:r>
            <w:proofErr w:type="spellStart"/>
            <w:r w:rsidRPr="00B45B4F">
              <w:rPr>
                <w:rFonts w:ascii="Times New Roman" w:hAnsi="Times New Roman"/>
                <w:b/>
                <w:lang w:val="bg-BG"/>
              </w:rPr>
              <w:t>Саут</w:t>
            </w:r>
            <w:proofErr w:type="spellEnd"/>
            <w:r w:rsidRPr="00B45B4F">
              <w:rPr>
                <w:rFonts w:ascii="Times New Roman" w:hAnsi="Times New Roman"/>
                <w:b/>
                <w:lang w:val="bg-BG"/>
              </w:rPr>
              <w:t xml:space="preserve"> </w:t>
            </w:r>
            <w:proofErr w:type="spellStart"/>
            <w:r w:rsidRPr="00B45B4F">
              <w:rPr>
                <w:rFonts w:ascii="Times New Roman" w:hAnsi="Times New Roman"/>
                <w:b/>
                <w:lang w:val="bg-BG"/>
              </w:rPr>
              <w:t>Йист</w:t>
            </w:r>
            <w:proofErr w:type="spellEnd"/>
            <w:r w:rsidRPr="00B45B4F">
              <w:rPr>
                <w:rFonts w:ascii="Times New Roman" w:hAnsi="Times New Roman"/>
                <w:b/>
                <w:lang w:val="bg-BG"/>
              </w:rPr>
              <w:t xml:space="preserve"> </w:t>
            </w:r>
            <w:proofErr w:type="spellStart"/>
            <w:r w:rsidRPr="00B45B4F">
              <w:rPr>
                <w:rFonts w:ascii="Times New Roman" w:hAnsi="Times New Roman"/>
                <w:b/>
                <w:lang w:val="bg-BG"/>
              </w:rPr>
              <w:t>Юроп</w:t>
            </w:r>
            <w:proofErr w:type="spellEnd"/>
            <w:r w:rsidRPr="00B45B4F">
              <w:rPr>
                <w:rFonts w:ascii="Times New Roman" w:hAnsi="Times New Roman"/>
                <w:b/>
                <w:lang w:val="bg-BG"/>
              </w:rPr>
              <w:t xml:space="preserve"> ЕООД</w:t>
            </w:r>
          </w:p>
          <w:p w:rsidR="00554687" w:rsidRPr="00B45B4F" w:rsidRDefault="00554687" w:rsidP="00E95975">
            <w:pPr>
              <w:spacing w:before="120" w:after="120"/>
              <w:contextualSpacing/>
              <w:rPr>
                <w:rFonts w:ascii="Times New Roman" w:hAnsi="Times New Roman"/>
                <w:lang w:val="bg-BG"/>
              </w:rPr>
            </w:pPr>
            <w:r w:rsidRPr="00B45B4F">
              <w:rPr>
                <w:rFonts w:ascii="Times New Roman" w:hAnsi="Times New Roman"/>
                <w:lang w:val="bg-BG"/>
              </w:rPr>
              <w:t>Адрес: гр. София, бул. „Черни връх“ №1</w:t>
            </w:r>
          </w:p>
          <w:p w:rsidR="00554687" w:rsidRPr="00B45B4F" w:rsidRDefault="00554687" w:rsidP="00E95975">
            <w:pPr>
              <w:spacing w:before="120" w:after="120"/>
              <w:contextualSpacing/>
              <w:rPr>
                <w:rFonts w:ascii="Times New Roman" w:hAnsi="Times New Roman"/>
                <w:lang w:val="bg-BG"/>
              </w:rPr>
            </w:pPr>
            <w:r w:rsidRPr="00B45B4F">
              <w:rPr>
                <w:rFonts w:ascii="Times New Roman" w:hAnsi="Times New Roman"/>
                <w:lang w:val="bg-BG"/>
              </w:rPr>
              <w:t>Тел.: (+359 2) 8155 684</w:t>
            </w:r>
          </w:p>
          <w:p w:rsidR="00554687" w:rsidRPr="00B45B4F" w:rsidRDefault="00554687" w:rsidP="00E95975">
            <w:pPr>
              <w:spacing w:before="120" w:after="120"/>
              <w:contextualSpacing/>
              <w:rPr>
                <w:rFonts w:ascii="Times New Roman" w:hAnsi="Times New Roman"/>
                <w:lang w:val="bg-BG"/>
              </w:rPr>
            </w:pPr>
            <w:r w:rsidRPr="00B45B4F">
              <w:rPr>
                <w:rFonts w:ascii="Times New Roman" w:hAnsi="Times New Roman"/>
                <w:lang w:val="bg-BG"/>
              </w:rPr>
              <w:t>Факс: (+359 2) 981 60 32</w:t>
            </w:r>
          </w:p>
          <w:p w:rsidR="00554687" w:rsidRPr="00B45B4F" w:rsidRDefault="00554687" w:rsidP="00E95975">
            <w:pPr>
              <w:spacing w:before="120" w:after="120"/>
              <w:contextualSpacing/>
              <w:rPr>
                <w:rFonts w:ascii="Times New Roman" w:hAnsi="Times New Roman"/>
                <w:lang w:val="bg-BG"/>
              </w:rPr>
            </w:pPr>
            <w:r w:rsidRPr="00B45B4F">
              <w:rPr>
                <w:rFonts w:ascii="Times New Roman" w:hAnsi="Times New Roman"/>
                <w:lang w:val="bg-BG"/>
              </w:rPr>
              <w:t>E-</w:t>
            </w:r>
            <w:proofErr w:type="spellStart"/>
            <w:r w:rsidRPr="00B45B4F">
              <w:rPr>
                <w:rFonts w:ascii="Times New Roman" w:hAnsi="Times New Roman"/>
                <w:lang w:val="bg-BG"/>
              </w:rPr>
              <w:t>mail</w:t>
            </w:r>
            <w:proofErr w:type="spellEnd"/>
            <w:r w:rsidRPr="00B45B4F">
              <w:rPr>
                <w:rFonts w:ascii="Times New Roman" w:hAnsi="Times New Roman"/>
                <w:lang w:val="bg-BG"/>
              </w:rPr>
              <w:t xml:space="preserve">: </w:t>
            </w:r>
            <w:hyperlink r:id="rId8" w:history="1">
              <w:r w:rsidRPr="00B45B4F">
                <w:rPr>
                  <w:rStyle w:val="Hyperlink"/>
                  <w:lang w:val="bg-BG"/>
                </w:rPr>
                <w:t>EcorysSEE@ecorys.com</w:t>
              </w:r>
            </w:hyperlink>
          </w:p>
        </w:tc>
      </w:tr>
      <w:tr w:rsidR="00554687" w:rsidRPr="00B45B4F" w:rsidTr="00E95975">
        <w:tc>
          <w:tcPr>
            <w:tcW w:w="2610" w:type="dxa"/>
          </w:tcPr>
          <w:p w:rsidR="00554687" w:rsidRPr="00B45B4F" w:rsidRDefault="00554687" w:rsidP="00E95975">
            <w:pPr>
              <w:spacing w:before="120" w:after="120"/>
              <w:rPr>
                <w:rFonts w:ascii="Times New Roman" w:hAnsi="Times New Roman"/>
                <w:color w:val="003366"/>
                <w:lang w:val="bg-BG"/>
              </w:rPr>
            </w:pPr>
            <w:r w:rsidRPr="00B45B4F">
              <w:rPr>
                <w:rFonts w:ascii="Times New Roman" w:hAnsi="Times New Roman"/>
                <w:color w:val="003366"/>
                <w:lang w:val="bg-BG"/>
              </w:rPr>
              <w:t>Директор на проекта:</w:t>
            </w:r>
          </w:p>
        </w:tc>
        <w:tc>
          <w:tcPr>
            <w:tcW w:w="6701" w:type="dxa"/>
          </w:tcPr>
          <w:p w:rsidR="00554687" w:rsidRPr="00B45B4F" w:rsidRDefault="00554687" w:rsidP="00E95975">
            <w:pPr>
              <w:spacing w:before="120" w:after="120"/>
              <w:contextualSpacing/>
              <w:rPr>
                <w:rFonts w:ascii="Times New Roman" w:hAnsi="Times New Roman"/>
                <w:b/>
                <w:lang w:val="bg-BG"/>
              </w:rPr>
            </w:pPr>
            <w:r w:rsidRPr="00B45B4F">
              <w:rPr>
                <w:rFonts w:ascii="Times New Roman" w:hAnsi="Times New Roman"/>
                <w:b/>
                <w:lang w:val="bg-BG"/>
              </w:rPr>
              <w:t>Мариана Стефанова</w:t>
            </w:r>
          </w:p>
          <w:p w:rsidR="00554687" w:rsidRPr="00B45B4F" w:rsidRDefault="00554687" w:rsidP="00E95975">
            <w:pPr>
              <w:spacing w:before="120" w:after="120"/>
              <w:contextualSpacing/>
              <w:rPr>
                <w:rFonts w:ascii="Times New Roman" w:hAnsi="Times New Roman"/>
                <w:lang w:val="bg-BG"/>
              </w:rPr>
            </w:pPr>
            <w:r w:rsidRPr="00B45B4F">
              <w:rPr>
                <w:rFonts w:ascii="Times New Roman" w:hAnsi="Times New Roman"/>
                <w:lang w:val="bg-BG"/>
              </w:rPr>
              <w:t>Тел.: (+359 2) 8155 684</w:t>
            </w:r>
          </w:p>
          <w:p w:rsidR="00554687" w:rsidRPr="00B45B4F" w:rsidRDefault="00554687" w:rsidP="00E95975">
            <w:pPr>
              <w:spacing w:before="120" w:after="120"/>
              <w:contextualSpacing/>
              <w:rPr>
                <w:rFonts w:ascii="Times New Roman" w:hAnsi="Times New Roman"/>
                <w:lang w:val="bg-BG"/>
              </w:rPr>
            </w:pPr>
            <w:r w:rsidRPr="00B45B4F">
              <w:rPr>
                <w:rFonts w:ascii="Times New Roman" w:hAnsi="Times New Roman"/>
                <w:lang w:val="bg-BG"/>
              </w:rPr>
              <w:t>E-</w:t>
            </w:r>
            <w:proofErr w:type="spellStart"/>
            <w:r w:rsidRPr="00B45B4F">
              <w:rPr>
                <w:rFonts w:ascii="Times New Roman" w:hAnsi="Times New Roman"/>
                <w:lang w:val="bg-BG"/>
              </w:rPr>
              <w:t>mail</w:t>
            </w:r>
            <w:proofErr w:type="spellEnd"/>
            <w:r w:rsidRPr="00B45B4F">
              <w:rPr>
                <w:rFonts w:ascii="Times New Roman" w:hAnsi="Times New Roman"/>
                <w:lang w:val="bg-BG"/>
              </w:rPr>
              <w:t xml:space="preserve">: </w:t>
            </w:r>
            <w:hyperlink r:id="rId9" w:history="1">
              <w:r w:rsidR="00D0039E" w:rsidRPr="00B45B4F">
                <w:rPr>
                  <w:rStyle w:val="Hyperlink"/>
                  <w:lang w:val="bg-BG"/>
                </w:rPr>
                <w:t>Mariana. Stefanova@ecorys.bg</w:t>
              </w:r>
            </w:hyperlink>
          </w:p>
        </w:tc>
      </w:tr>
      <w:tr w:rsidR="00554687" w:rsidRPr="00B45B4F" w:rsidTr="00E95975">
        <w:trPr>
          <w:trHeight w:val="1028"/>
        </w:trPr>
        <w:tc>
          <w:tcPr>
            <w:tcW w:w="2610" w:type="dxa"/>
          </w:tcPr>
          <w:p w:rsidR="00554687" w:rsidRPr="00B45B4F" w:rsidRDefault="00554687" w:rsidP="00E95975">
            <w:pPr>
              <w:spacing w:before="120" w:after="120"/>
              <w:rPr>
                <w:rFonts w:ascii="Times New Roman" w:hAnsi="Times New Roman"/>
                <w:color w:val="003366"/>
                <w:lang w:val="bg-BG"/>
              </w:rPr>
            </w:pPr>
            <w:r w:rsidRPr="00B45B4F">
              <w:rPr>
                <w:rFonts w:ascii="Times New Roman" w:hAnsi="Times New Roman"/>
                <w:color w:val="003366"/>
                <w:lang w:val="bg-BG"/>
              </w:rPr>
              <w:t>Ръководител екип:</w:t>
            </w:r>
          </w:p>
        </w:tc>
        <w:tc>
          <w:tcPr>
            <w:tcW w:w="6701" w:type="dxa"/>
          </w:tcPr>
          <w:p w:rsidR="00554687" w:rsidRPr="007C4372" w:rsidRDefault="00D0039E" w:rsidP="00E95975">
            <w:pPr>
              <w:spacing w:before="120" w:after="120"/>
              <w:contextualSpacing/>
              <w:rPr>
                <w:rFonts w:ascii="Times New Roman" w:hAnsi="Times New Roman"/>
                <w:b/>
                <w:lang w:val="bg-BG"/>
              </w:rPr>
            </w:pPr>
            <w:proofErr w:type="spellStart"/>
            <w:r w:rsidRPr="007C4372">
              <w:rPr>
                <w:rFonts w:ascii="Times New Roman" w:hAnsi="Times New Roman"/>
                <w:b/>
                <w:lang w:val="bg-BG"/>
              </w:rPr>
              <w:t>Матиас</w:t>
            </w:r>
            <w:proofErr w:type="spellEnd"/>
            <w:r w:rsidRPr="007C4372">
              <w:rPr>
                <w:rFonts w:ascii="Times New Roman" w:hAnsi="Times New Roman"/>
                <w:b/>
                <w:lang w:val="bg-BG"/>
              </w:rPr>
              <w:t xml:space="preserve"> </w:t>
            </w:r>
            <w:proofErr w:type="spellStart"/>
            <w:r w:rsidRPr="007C4372">
              <w:rPr>
                <w:rFonts w:ascii="Times New Roman" w:hAnsi="Times New Roman"/>
                <w:b/>
                <w:lang w:val="bg-BG"/>
              </w:rPr>
              <w:t>Хейг</w:t>
            </w:r>
            <w:proofErr w:type="spellEnd"/>
          </w:p>
          <w:p w:rsidR="00554687" w:rsidRPr="00B45B4F" w:rsidRDefault="00554687" w:rsidP="00E95975">
            <w:pPr>
              <w:spacing w:before="120" w:after="120"/>
              <w:contextualSpacing/>
              <w:rPr>
                <w:rFonts w:ascii="Times New Roman" w:hAnsi="Times New Roman"/>
                <w:lang w:val="bg-BG"/>
              </w:rPr>
            </w:pPr>
            <w:r w:rsidRPr="00B45B4F">
              <w:rPr>
                <w:rFonts w:ascii="Times New Roman" w:hAnsi="Times New Roman"/>
                <w:lang w:val="bg-BG"/>
              </w:rPr>
              <w:t>Тел.: (+359 2) 8155 684</w:t>
            </w:r>
          </w:p>
          <w:p w:rsidR="00554687" w:rsidRPr="00B45B4F" w:rsidRDefault="00554687" w:rsidP="00E95975">
            <w:pPr>
              <w:spacing w:before="120" w:after="120"/>
              <w:contextualSpacing/>
              <w:rPr>
                <w:rFonts w:ascii="Times New Roman" w:hAnsi="Times New Roman"/>
                <w:lang w:val="bg-BG"/>
              </w:rPr>
            </w:pPr>
            <w:r w:rsidRPr="00B45B4F">
              <w:rPr>
                <w:rFonts w:ascii="Times New Roman" w:hAnsi="Times New Roman"/>
                <w:lang w:val="bg-BG"/>
              </w:rPr>
              <w:t>E-</w:t>
            </w:r>
            <w:proofErr w:type="spellStart"/>
            <w:r w:rsidRPr="00B45B4F">
              <w:rPr>
                <w:rFonts w:ascii="Times New Roman" w:hAnsi="Times New Roman"/>
                <w:lang w:val="bg-BG"/>
              </w:rPr>
              <w:t>mail</w:t>
            </w:r>
            <w:proofErr w:type="spellEnd"/>
            <w:r w:rsidRPr="00B45B4F">
              <w:rPr>
                <w:rFonts w:ascii="Times New Roman" w:hAnsi="Times New Roman"/>
                <w:lang w:val="bg-BG"/>
              </w:rPr>
              <w:t xml:space="preserve">: </w:t>
            </w:r>
            <w:hyperlink r:id="rId10" w:history="1">
              <w:r w:rsidR="00D0039E" w:rsidRPr="00B45B4F">
                <w:rPr>
                  <w:rStyle w:val="Hyperlink"/>
                  <w:lang w:val="bg-BG"/>
                </w:rPr>
                <w:t>EcorysSEE@ecorys.</w:t>
              </w:r>
            </w:hyperlink>
            <w:r w:rsidR="00D0039E" w:rsidRPr="00B45B4F">
              <w:rPr>
                <w:rStyle w:val="Hyperlink"/>
                <w:rFonts w:ascii="Times New Roman" w:hAnsi="Times New Roman"/>
                <w:lang w:val="bg-BG"/>
              </w:rPr>
              <w:t>com</w:t>
            </w:r>
          </w:p>
        </w:tc>
      </w:tr>
      <w:tr w:rsidR="00E95975" w:rsidRPr="00B45B4F" w:rsidTr="00E95975">
        <w:tc>
          <w:tcPr>
            <w:tcW w:w="2610" w:type="dxa"/>
          </w:tcPr>
          <w:p w:rsidR="00E95975" w:rsidRPr="00B45B4F" w:rsidRDefault="00E95975" w:rsidP="00E95975">
            <w:pPr>
              <w:spacing w:before="120" w:after="120"/>
              <w:rPr>
                <w:rFonts w:ascii="Times New Roman" w:hAnsi="Times New Roman"/>
                <w:color w:val="003366"/>
                <w:lang w:val="bg-BG"/>
              </w:rPr>
            </w:pPr>
            <w:r w:rsidRPr="00B45B4F">
              <w:rPr>
                <w:rFonts w:ascii="Times New Roman" w:hAnsi="Times New Roman"/>
                <w:color w:val="003366"/>
                <w:lang w:val="bg-BG"/>
              </w:rPr>
              <w:t>Дата на подписване на договора:</w:t>
            </w:r>
          </w:p>
        </w:tc>
        <w:tc>
          <w:tcPr>
            <w:tcW w:w="6701" w:type="dxa"/>
          </w:tcPr>
          <w:p w:rsidR="00E95975" w:rsidRPr="00B45B4F" w:rsidRDefault="00E95975" w:rsidP="00E95975">
            <w:pPr>
              <w:spacing w:before="120" w:after="120"/>
              <w:rPr>
                <w:rFonts w:ascii="Times New Roman" w:hAnsi="Times New Roman"/>
                <w:lang w:val="bg-BG"/>
              </w:rPr>
            </w:pPr>
            <w:r w:rsidRPr="00B45B4F">
              <w:rPr>
                <w:rFonts w:ascii="Times New Roman" w:hAnsi="Times New Roman"/>
                <w:lang w:val="bg-BG"/>
              </w:rPr>
              <w:t>26.02.2014 г.</w:t>
            </w:r>
          </w:p>
        </w:tc>
      </w:tr>
      <w:tr w:rsidR="00554687" w:rsidRPr="00B45B4F" w:rsidTr="00E95975">
        <w:tc>
          <w:tcPr>
            <w:tcW w:w="2610" w:type="dxa"/>
          </w:tcPr>
          <w:p w:rsidR="00554687" w:rsidRPr="00B45B4F" w:rsidRDefault="00554687" w:rsidP="00E95975">
            <w:pPr>
              <w:spacing w:before="120" w:after="120"/>
              <w:rPr>
                <w:rFonts w:ascii="Times New Roman" w:hAnsi="Times New Roman"/>
                <w:color w:val="003366"/>
                <w:lang w:val="bg-BG"/>
              </w:rPr>
            </w:pPr>
            <w:r w:rsidRPr="00B45B4F">
              <w:rPr>
                <w:rFonts w:ascii="Times New Roman" w:hAnsi="Times New Roman"/>
                <w:color w:val="003366"/>
                <w:lang w:val="bg-BG"/>
              </w:rPr>
              <w:t xml:space="preserve">Дата на започване </w:t>
            </w:r>
            <w:r w:rsidR="00B122A1">
              <w:rPr>
                <w:rFonts w:ascii="Times New Roman" w:hAnsi="Times New Roman"/>
                <w:color w:val="003366"/>
                <w:lang w:val="bg-BG"/>
              </w:rPr>
              <w:t xml:space="preserve">на </w:t>
            </w:r>
            <w:r w:rsidRPr="00B45B4F">
              <w:rPr>
                <w:rFonts w:ascii="Times New Roman" w:hAnsi="Times New Roman"/>
                <w:color w:val="003366"/>
                <w:lang w:val="bg-BG"/>
              </w:rPr>
              <w:t>изпълнението:</w:t>
            </w:r>
          </w:p>
        </w:tc>
        <w:tc>
          <w:tcPr>
            <w:tcW w:w="6701" w:type="dxa"/>
          </w:tcPr>
          <w:p w:rsidR="00554687" w:rsidRPr="00B45B4F" w:rsidRDefault="00D0039E" w:rsidP="00E95975">
            <w:pPr>
              <w:spacing w:before="120" w:after="120"/>
              <w:rPr>
                <w:rFonts w:ascii="Times New Roman" w:hAnsi="Times New Roman"/>
                <w:lang w:val="bg-BG"/>
              </w:rPr>
            </w:pPr>
            <w:r w:rsidRPr="00B45B4F">
              <w:rPr>
                <w:rFonts w:ascii="Times New Roman" w:hAnsi="Times New Roman"/>
                <w:lang w:val="bg-BG"/>
              </w:rPr>
              <w:t>26</w:t>
            </w:r>
            <w:r w:rsidR="00554687" w:rsidRPr="00B45B4F">
              <w:rPr>
                <w:rFonts w:ascii="Times New Roman" w:hAnsi="Times New Roman"/>
                <w:lang w:val="bg-BG"/>
              </w:rPr>
              <w:t>.0</w:t>
            </w:r>
            <w:r w:rsidRPr="00B45B4F">
              <w:rPr>
                <w:rFonts w:ascii="Times New Roman" w:hAnsi="Times New Roman"/>
                <w:lang w:val="bg-BG"/>
              </w:rPr>
              <w:t>2</w:t>
            </w:r>
            <w:r w:rsidR="00554687" w:rsidRPr="00B45B4F">
              <w:rPr>
                <w:rFonts w:ascii="Times New Roman" w:hAnsi="Times New Roman"/>
                <w:lang w:val="bg-BG"/>
              </w:rPr>
              <w:t>.201</w:t>
            </w:r>
            <w:r w:rsidRPr="00B45B4F">
              <w:rPr>
                <w:rFonts w:ascii="Times New Roman" w:hAnsi="Times New Roman"/>
                <w:lang w:val="bg-BG"/>
              </w:rPr>
              <w:t>4</w:t>
            </w:r>
            <w:r w:rsidR="00554687" w:rsidRPr="00B45B4F">
              <w:rPr>
                <w:rFonts w:ascii="Times New Roman" w:hAnsi="Times New Roman"/>
                <w:lang w:val="bg-BG"/>
              </w:rPr>
              <w:t xml:space="preserve"> г.</w:t>
            </w:r>
          </w:p>
        </w:tc>
      </w:tr>
      <w:tr w:rsidR="00554687" w:rsidRPr="00B45B4F" w:rsidTr="00E95975">
        <w:tc>
          <w:tcPr>
            <w:tcW w:w="2610" w:type="dxa"/>
          </w:tcPr>
          <w:p w:rsidR="00554687" w:rsidRPr="00B45B4F" w:rsidRDefault="00554687" w:rsidP="00E95975">
            <w:pPr>
              <w:spacing w:before="120" w:after="120"/>
              <w:rPr>
                <w:rFonts w:ascii="Times New Roman" w:hAnsi="Times New Roman"/>
                <w:color w:val="003366"/>
                <w:lang w:val="bg-BG"/>
              </w:rPr>
            </w:pPr>
            <w:r w:rsidRPr="00B45B4F">
              <w:rPr>
                <w:rFonts w:ascii="Times New Roman" w:hAnsi="Times New Roman"/>
                <w:color w:val="003366"/>
                <w:lang w:val="bg-BG"/>
              </w:rPr>
              <w:t>Краен срок на договора:</w:t>
            </w:r>
          </w:p>
        </w:tc>
        <w:tc>
          <w:tcPr>
            <w:tcW w:w="6701" w:type="dxa"/>
          </w:tcPr>
          <w:p w:rsidR="00554687" w:rsidRPr="00B45B4F" w:rsidRDefault="00D0039E" w:rsidP="00E95975">
            <w:pPr>
              <w:spacing w:before="120" w:after="120"/>
              <w:rPr>
                <w:rFonts w:ascii="Times New Roman" w:hAnsi="Times New Roman"/>
                <w:lang w:val="bg-BG"/>
              </w:rPr>
            </w:pPr>
            <w:r w:rsidRPr="00B45B4F">
              <w:rPr>
                <w:rFonts w:ascii="Times New Roman" w:hAnsi="Times New Roman"/>
                <w:lang w:val="bg-BG"/>
              </w:rPr>
              <w:t>26</w:t>
            </w:r>
            <w:r w:rsidR="00554687" w:rsidRPr="00B45B4F">
              <w:rPr>
                <w:rFonts w:ascii="Times New Roman" w:hAnsi="Times New Roman"/>
                <w:lang w:val="bg-BG"/>
              </w:rPr>
              <w:t>.</w:t>
            </w:r>
            <w:r w:rsidRPr="00B45B4F">
              <w:rPr>
                <w:rFonts w:ascii="Times New Roman" w:hAnsi="Times New Roman"/>
                <w:lang w:val="bg-BG"/>
              </w:rPr>
              <w:t>08.</w:t>
            </w:r>
            <w:r w:rsidR="00554687" w:rsidRPr="00B45B4F">
              <w:rPr>
                <w:rFonts w:ascii="Times New Roman" w:hAnsi="Times New Roman"/>
                <w:lang w:val="bg-BG"/>
              </w:rPr>
              <w:t>2014 г.</w:t>
            </w:r>
          </w:p>
        </w:tc>
      </w:tr>
      <w:tr w:rsidR="00554687" w:rsidRPr="00B45B4F" w:rsidTr="00E95975">
        <w:tc>
          <w:tcPr>
            <w:tcW w:w="2610" w:type="dxa"/>
          </w:tcPr>
          <w:p w:rsidR="00554687" w:rsidRPr="00B45B4F" w:rsidRDefault="00554687" w:rsidP="00E95975">
            <w:pPr>
              <w:spacing w:before="120" w:after="120"/>
              <w:rPr>
                <w:rFonts w:ascii="Times New Roman" w:hAnsi="Times New Roman"/>
                <w:color w:val="003366"/>
                <w:lang w:val="bg-BG"/>
              </w:rPr>
            </w:pPr>
            <w:r w:rsidRPr="00B45B4F">
              <w:rPr>
                <w:rFonts w:ascii="Times New Roman" w:hAnsi="Times New Roman"/>
                <w:color w:val="003366"/>
                <w:lang w:val="bg-BG"/>
              </w:rPr>
              <w:t>Вид доклад:</w:t>
            </w:r>
          </w:p>
        </w:tc>
        <w:tc>
          <w:tcPr>
            <w:tcW w:w="6701" w:type="dxa"/>
          </w:tcPr>
          <w:p w:rsidR="00554687" w:rsidRPr="00FE5A49" w:rsidRDefault="0028576E" w:rsidP="0017423E">
            <w:pPr>
              <w:spacing w:before="120" w:after="120"/>
              <w:rPr>
                <w:rFonts w:ascii="Times New Roman" w:hAnsi="Times New Roman"/>
                <w:lang w:val="bg-BG"/>
              </w:rPr>
            </w:pPr>
            <w:r>
              <w:rPr>
                <w:rFonts w:ascii="Times New Roman" w:hAnsi="Times New Roman"/>
                <w:lang w:val="bg-BG"/>
              </w:rPr>
              <w:t>О</w:t>
            </w:r>
            <w:r w:rsidR="00FE5A49">
              <w:rPr>
                <w:rFonts w:ascii="Times New Roman" w:hAnsi="Times New Roman"/>
                <w:lang w:val="bg-BG"/>
              </w:rPr>
              <w:t>кончателен доклад</w:t>
            </w:r>
          </w:p>
        </w:tc>
      </w:tr>
      <w:tr w:rsidR="00554687" w:rsidRPr="00B45B4F" w:rsidTr="00E95975">
        <w:tc>
          <w:tcPr>
            <w:tcW w:w="2610" w:type="dxa"/>
          </w:tcPr>
          <w:p w:rsidR="00554687" w:rsidRPr="00B45B4F" w:rsidRDefault="00554687" w:rsidP="00E95975">
            <w:pPr>
              <w:spacing w:before="120" w:after="120"/>
              <w:rPr>
                <w:rFonts w:ascii="Times New Roman" w:hAnsi="Times New Roman"/>
                <w:color w:val="003366"/>
                <w:lang w:val="bg-BG"/>
              </w:rPr>
            </w:pPr>
            <w:r w:rsidRPr="00B45B4F">
              <w:rPr>
                <w:rFonts w:ascii="Times New Roman" w:hAnsi="Times New Roman"/>
                <w:color w:val="003366"/>
                <w:lang w:val="bg-BG"/>
              </w:rPr>
              <w:t>Дата на изготвяне на доклада:</w:t>
            </w:r>
          </w:p>
        </w:tc>
        <w:tc>
          <w:tcPr>
            <w:tcW w:w="6701" w:type="dxa"/>
          </w:tcPr>
          <w:p w:rsidR="00554687" w:rsidRPr="00B45B4F" w:rsidRDefault="00FE5A49" w:rsidP="0028576E">
            <w:pPr>
              <w:spacing w:before="120" w:after="120"/>
              <w:rPr>
                <w:rFonts w:ascii="Times New Roman" w:hAnsi="Times New Roman"/>
                <w:lang w:val="bg-BG"/>
              </w:rPr>
            </w:pPr>
            <w:r>
              <w:rPr>
                <w:rFonts w:ascii="Times New Roman" w:hAnsi="Times New Roman"/>
              </w:rPr>
              <w:t>1</w:t>
            </w:r>
            <w:r w:rsidR="0028576E">
              <w:rPr>
                <w:rFonts w:ascii="Times New Roman" w:hAnsi="Times New Roman"/>
              </w:rPr>
              <w:t>2</w:t>
            </w:r>
            <w:r w:rsidR="00554687" w:rsidRPr="00B45B4F">
              <w:rPr>
                <w:rFonts w:ascii="Times New Roman" w:hAnsi="Times New Roman"/>
                <w:lang w:val="bg-BG"/>
              </w:rPr>
              <w:t>.</w:t>
            </w:r>
            <w:r w:rsidRPr="00B45B4F">
              <w:rPr>
                <w:rFonts w:ascii="Times New Roman" w:hAnsi="Times New Roman"/>
                <w:lang w:val="bg-BG"/>
              </w:rPr>
              <w:t>0</w:t>
            </w:r>
            <w:r w:rsidR="0028576E">
              <w:rPr>
                <w:rFonts w:ascii="Times New Roman" w:hAnsi="Times New Roman"/>
              </w:rPr>
              <w:t>8</w:t>
            </w:r>
            <w:r w:rsidR="00554687" w:rsidRPr="00B45B4F">
              <w:rPr>
                <w:rFonts w:ascii="Times New Roman" w:hAnsi="Times New Roman"/>
                <w:lang w:val="bg-BG"/>
              </w:rPr>
              <w:t>.201</w:t>
            </w:r>
            <w:r w:rsidR="00D0039E" w:rsidRPr="00B45B4F">
              <w:rPr>
                <w:rFonts w:ascii="Times New Roman" w:hAnsi="Times New Roman"/>
                <w:lang w:val="bg-BG"/>
              </w:rPr>
              <w:t>4</w:t>
            </w:r>
            <w:r w:rsidR="00554687" w:rsidRPr="00B45B4F">
              <w:rPr>
                <w:rFonts w:ascii="Times New Roman" w:hAnsi="Times New Roman"/>
                <w:lang w:val="bg-BG"/>
              </w:rPr>
              <w:t xml:space="preserve"> г.</w:t>
            </w:r>
          </w:p>
        </w:tc>
      </w:tr>
    </w:tbl>
    <w:p w:rsidR="000660BD" w:rsidRDefault="000660BD" w:rsidP="0015466E">
      <w:pPr>
        <w:rPr>
          <w:rFonts w:ascii="Times New Roman" w:hAnsi="Times New Roman"/>
          <w:b/>
          <w:i/>
          <w:color w:val="548DD4"/>
          <w:sz w:val="24"/>
          <w:szCs w:val="24"/>
          <w:lang w:val="bg-BG" w:eastAsia="nl-NL"/>
        </w:rPr>
      </w:pPr>
    </w:p>
    <w:p w:rsidR="000660BD" w:rsidRPr="000660BD" w:rsidRDefault="000660BD" w:rsidP="000660BD">
      <w:pPr>
        <w:jc w:val="both"/>
        <w:rPr>
          <w:rFonts w:ascii="Times New Roman" w:hAnsi="Times New Roman"/>
          <w:i/>
          <w:color w:val="000000"/>
          <w:sz w:val="20"/>
          <w:szCs w:val="20"/>
          <w:lang w:val="bg-BG"/>
        </w:rPr>
      </w:pPr>
      <w:proofErr w:type="spellStart"/>
      <w:r w:rsidRPr="000660BD">
        <w:rPr>
          <w:rFonts w:ascii="Times New Roman" w:hAnsi="Times New Roman"/>
          <w:i/>
          <w:sz w:val="20"/>
          <w:szCs w:val="20"/>
        </w:rPr>
        <w:t>Настоящия</w:t>
      </w:r>
      <w:proofErr w:type="spellEnd"/>
      <w:r w:rsidRPr="000660BD">
        <w:rPr>
          <w:rFonts w:ascii="Times New Roman" w:hAnsi="Times New Roman"/>
          <w:i/>
          <w:sz w:val="20"/>
          <w:szCs w:val="20"/>
        </w:rPr>
        <w:t xml:space="preserve"> </w:t>
      </w:r>
      <w:proofErr w:type="spellStart"/>
      <w:r w:rsidRPr="000660BD">
        <w:rPr>
          <w:rFonts w:ascii="Times New Roman" w:hAnsi="Times New Roman"/>
          <w:i/>
          <w:sz w:val="20"/>
          <w:szCs w:val="20"/>
        </w:rPr>
        <w:t>документ</w:t>
      </w:r>
      <w:proofErr w:type="spellEnd"/>
      <w:r w:rsidRPr="000660BD">
        <w:rPr>
          <w:rFonts w:ascii="Times New Roman" w:hAnsi="Times New Roman"/>
          <w:i/>
          <w:sz w:val="20"/>
          <w:szCs w:val="20"/>
        </w:rPr>
        <w:t xml:space="preserve"> е </w:t>
      </w:r>
      <w:proofErr w:type="spellStart"/>
      <w:r w:rsidRPr="000660BD">
        <w:rPr>
          <w:rFonts w:ascii="Times New Roman" w:hAnsi="Times New Roman"/>
          <w:i/>
          <w:sz w:val="20"/>
          <w:szCs w:val="20"/>
        </w:rPr>
        <w:t>изготвен</w:t>
      </w:r>
      <w:proofErr w:type="spellEnd"/>
      <w:r w:rsidRPr="000660BD">
        <w:rPr>
          <w:rFonts w:ascii="Times New Roman" w:hAnsi="Times New Roman"/>
          <w:i/>
          <w:sz w:val="20"/>
          <w:szCs w:val="20"/>
        </w:rPr>
        <w:t xml:space="preserve"> </w:t>
      </w:r>
      <w:proofErr w:type="spellStart"/>
      <w:r w:rsidRPr="000660BD">
        <w:rPr>
          <w:rFonts w:ascii="Times New Roman" w:hAnsi="Times New Roman"/>
          <w:i/>
          <w:sz w:val="20"/>
          <w:szCs w:val="20"/>
        </w:rPr>
        <w:t>по</w:t>
      </w:r>
      <w:proofErr w:type="spellEnd"/>
      <w:r w:rsidRPr="000660BD">
        <w:rPr>
          <w:rFonts w:ascii="Times New Roman" w:hAnsi="Times New Roman"/>
          <w:i/>
          <w:sz w:val="20"/>
          <w:szCs w:val="20"/>
        </w:rPr>
        <w:t xml:space="preserve"> </w:t>
      </w:r>
      <w:proofErr w:type="spellStart"/>
      <w:r w:rsidRPr="000660BD">
        <w:rPr>
          <w:rFonts w:ascii="Times New Roman" w:hAnsi="Times New Roman"/>
          <w:i/>
          <w:sz w:val="20"/>
          <w:szCs w:val="20"/>
        </w:rPr>
        <w:t>проект</w:t>
      </w:r>
      <w:proofErr w:type="spellEnd"/>
      <w:r w:rsidRPr="000660BD">
        <w:rPr>
          <w:rFonts w:ascii="Times New Roman" w:hAnsi="Times New Roman"/>
          <w:i/>
          <w:sz w:val="20"/>
          <w:szCs w:val="20"/>
        </w:rPr>
        <w:t xml:space="preserve"> BG051PO001-8.1-01-0001 “</w:t>
      </w:r>
      <w:proofErr w:type="spellStart"/>
      <w:r w:rsidRPr="000660BD">
        <w:rPr>
          <w:rFonts w:ascii="Times New Roman" w:hAnsi="Times New Roman"/>
          <w:i/>
          <w:sz w:val="20"/>
          <w:szCs w:val="20"/>
        </w:rPr>
        <w:t>Подкрепа</w:t>
      </w:r>
      <w:proofErr w:type="spellEnd"/>
      <w:r w:rsidRPr="000660BD">
        <w:rPr>
          <w:rFonts w:ascii="Times New Roman" w:hAnsi="Times New Roman"/>
          <w:i/>
          <w:sz w:val="20"/>
          <w:szCs w:val="20"/>
        </w:rPr>
        <w:t xml:space="preserve"> </w:t>
      </w:r>
      <w:proofErr w:type="spellStart"/>
      <w:r w:rsidRPr="000660BD">
        <w:rPr>
          <w:rFonts w:ascii="Times New Roman" w:hAnsi="Times New Roman"/>
          <w:i/>
          <w:sz w:val="20"/>
          <w:szCs w:val="20"/>
        </w:rPr>
        <w:t>на</w:t>
      </w:r>
      <w:proofErr w:type="spellEnd"/>
      <w:r w:rsidRPr="000660BD">
        <w:rPr>
          <w:rFonts w:ascii="Times New Roman" w:hAnsi="Times New Roman"/>
          <w:i/>
          <w:sz w:val="20"/>
          <w:szCs w:val="20"/>
        </w:rPr>
        <w:t xml:space="preserve"> </w:t>
      </w:r>
      <w:proofErr w:type="spellStart"/>
      <w:r w:rsidRPr="000660BD">
        <w:rPr>
          <w:rFonts w:ascii="Times New Roman" w:hAnsi="Times New Roman"/>
          <w:i/>
          <w:sz w:val="20"/>
          <w:szCs w:val="20"/>
        </w:rPr>
        <w:t>Главна</w:t>
      </w:r>
      <w:proofErr w:type="spellEnd"/>
      <w:r w:rsidRPr="000660BD">
        <w:rPr>
          <w:rFonts w:ascii="Times New Roman" w:hAnsi="Times New Roman"/>
          <w:i/>
          <w:sz w:val="20"/>
          <w:szCs w:val="20"/>
        </w:rPr>
        <w:t xml:space="preserve"> </w:t>
      </w:r>
      <w:proofErr w:type="spellStart"/>
      <w:r w:rsidRPr="000660BD">
        <w:rPr>
          <w:rFonts w:ascii="Times New Roman" w:hAnsi="Times New Roman"/>
          <w:i/>
          <w:sz w:val="20"/>
          <w:szCs w:val="20"/>
        </w:rPr>
        <w:t>дирекция</w:t>
      </w:r>
      <w:proofErr w:type="spellEnd"/>
      <w:r w:rsidRPr="000660BD">
        <w:rPr>
          <w:rFonts w:ascii="Times New Roman" w:hAnsi="Times New Roman"/>
          <w:i/>
          <w:sz w:val="20"/>
          <w:szCs w:val="20"/>
        </w:rPr>
        <w:t xml:space="preserve"> „</w:t>
      </w:r>
      <w:proofErr w:type="spellStart"/>
      <w:r w:rsidRPr="000660BD">
        <w:rPr>
          <w:rFonts w:ascii="Times New Roman" w:hAnsi="Times New Roman"/>
          <w:i/>
          <w:sz w:val="20"/>
          <w:szCs w:val="20"/>
        </w:rPr>
        <w:t>Структурни</w:t>
      </w:r>
      <w:proofErr w:type="spellEnd"/>
      <w:r w:rsidRPr="000660BD">
        <w:rPr>
          <w:rFonts w:ascii="Times New Roman" w:hAnsi="Times New Roman"/>
          <w:i/>
          <w:sz w:val="20"/>
          <w:szCs w:val="20"/>
        </w:rPr>
        <w:t xml:space="preserve"> </w:t>
      </w:r>
      <w:proofErr w:type="spellStart"/>
      <w:r w:rsidRPr="000660BD">
        <w:rPr>
          <w:rFonts w:ascii="Times New Roman" w:hAnsi="Times New Roman"/>
          <w:i/>
          <w:sz w:val="20"/>
          <w:szCs w:val="20"/>
        </w:rPr>
        <w:t>фондове</w:t>
      </w:r>
      <w:proofErr w:type="spellEnd"/>
      <w:r w:rsidRPr="000660BD">
        <w:rPr>
          <w:rFonts w:ascii="Times New Roman" w:hAnsi="Times New Roman"/>
          <w:i/>
          <w:sz w:val="20"/>
          <w:szCs w:val="20"/>
        </w:rPr>
        <w:t xml:space="preserve"> и </w:t>
      </w:r>
      <w:proofErr w:type="spellStart"/>
      <w:r w:rsidRPr="000660BD">
        <w:rPr>
          <w:rFonts w:ascii="Times New Roman" w:hAnsi="Times New Roman"/>
          <w:i/>
          <w:sz w:val="20"/>
          <w:szCs w:val="20"/>
        </w:rPr>
        <w:t>международни</w:t>
      </w:r>
      <w:proofErr w:type="spellEnd"/>
      <w:r w:rsidRPr="000660BD">
        <w:rPr>
          <w:rFonts w:ascii="Times New Roman" w:hAnsi="Times New Roman"/>
          <w:i/>
          <w:sz w:val="20"/>
          <w:szCs w:val="20"/>
        </w:rPr>
        <w:t xml:space="preserve"> </w:t>
      </w:r>
      <w:proofErr w:type="spellStart"/>
      <w:r w:rsidRPr="000660BD">
        <w:rPr>
          <w:rFonts w:ascii="Times New Roman" w:hAnsi="Times New Roman"/>
          <w:i/>
          <w:sz w:val="20"/>
          <w:szCs w:val="20"/>
        </w:rPr>
        <w:t>образователни</w:t>
      </w:r>
      <w:proofErr w:type="spellEnd"/>
      <w:r w:rsidRPr="000660BD">
        <w:rPr>
          <w:rFonts w:ascii="Times New Roman" w:hAnsi="Times New Roman"/>
          <w:i/>
          <w:sz w:val="20"/>
          <w:szCs w:val="20"/>
        </w:rPr>
        <w:t xml:space="preserve"> </w:t>
      </w:r>
      <w:proofErr w:type="spellStart"/>
      <w:r w:rsidRPr="000660BD">
        <w:rPr>
          <w:rFonts w:ascii="Times New Roman" w:hAnsi="Times New Roman"/>
          <w:i/>
          <w:sz w:val="20"/>
          <w:szCs w:val="20"/>
        </w:rPr>
        <w:t>програми</w:t>
      </w:r>
      <w:proofErr w:type="spellEnd"/>
      <w:r w:rsidRPr="000660BD">
        <w:rPr>
          <w:rFonts w:ascii="Times New Roman" w:hAnsi="Times New Roman"/>
          <w:i/>
          <w:sz w:val="20"/>
          <w:szCs w:val="20"/>
        </w:rPr>
        <w:t xml:space="preserve">” в </w:t>
      </w:r>
      <w:proofErr w:type="spellStart"/>
      <w:r w:rsidRPr="000660BD">
        <w:rPr>
          <w:rFonts w:ascii="Times New Roman" w:hAnsi="Times New Roman"/>
          <w:i/>
          <w:sz w:val="20"/>
          <w:szCs w:val="20"/>
        </w:rPr>
        <w:t>Министерството</w:t>
      </w:r>
      <w:proofErr w:type="spellEnd"/>
      <w:r w:rsidRPr="000660BD">
        <w:rPr>
          <w:rFonts w:ascii="Times New Roman" w:hAnsi="Times New Roman"/>
          <w:i/>
          <w:sz w:val="20"/>
          <w:szCs w:val="20"/>
        </w:rPr>
        <w:t xml:space="preserve"> </w:t>
      </w:r>
      <w:proofErr w:type="spellStart"/>
      <w:r w:rsidRPr="000660BD">
        <w:rPr>
          <w:rFonts w:ascii="Times New Roman" w:hAnsi="Times New Roman"/>
          <w:i/>
          <w:sz w:val="20"/>
          <w:szCs w:val="20"/>
        </w:rPr>
        <w:t>на</w:t>
      </w:r>
      <w:proofErr w:type="spellEnd"/>
      <w:r w:rsidRPr="000660BD">
        <w:rPr>
          <w:rFonts w:ascii="Times New Roman" w:hAnsi="Times New Roman"/>
          <w:i/>
          <w:sz w:val="20"/>
          <w:szCs w:val="20"/>
        </w:rPr>
        <w:t xml:space="preserve"> </w:t>
      </w:r>
      <w:proofErr w:type="spellStart"/>
      <w:r w:rsidRPr="000660BD">
        <w:rPr>
          <w:rFonts w:ascii="Times New Roman" w:hAnsi="Times New Roman"/>
          <w:i/>
          <w:sz w:val="20"/>
          <w:szCs w:val="20"/>
        </w:rPr>
        <w:t>образованието</w:t>
      </w:r>
      <w:proofErr w:type="spellEnd"/>
      <w:r w:rsidRPr="000660BD">
        <w:rPr>
          <w:rFonts w:ascii="Times New Roman" w:hAnsi="Times New Roman"/>
          <w:i/>
          <w:sz w:val="20"/>
          <w:szCs w:val="20"/>
        </w:rPr>
        <w:t xml:space="preserve"> и </w:t>
      </w:r>
      <w:proofErr w:type="spellStart"/>
      <w:r w:rsidRPr="000660BD">
        <w:rPr>
          <w:rFonts w:ascii="Times New Roman" w:hAnsi="Times New Roman"/>
          <w:i/>
          <w:sz w:val="20"/>
          <w:szCs w:val="20"/>
        </w:rPr>
        <w:t>науката</w:t>
      </w:r>
      <w:proofErr w:type="spellEnd"/>
      <w:r w:rsidRPr="000660BD">
        <w:rPr>
          <w:rFonts w:ascii="Times New Roman" w:hAnsi="Times New Roman"/>
          <w:i/>
          <w:sz w:val="20"/>
          <w:szCs w:val="20"/>
        </w:rPr>
        <w:t xml:space="preserve">  </w:t>
      </w:r>
      <w:proofErr w:type="spellStart"/>
      <w:r w:rsidRPr="000660BD">
        <w:rPr>
          <w:rFonts w:ascii="Times New Roman" w:hAnsi="Times New Roman"/>
          <w:i/>
          <w:sz w:val="20"/>
          <w:szCs w:val="20"/>
        </w:rPr>
        <w:t>за</w:t>
      </w:r>
      <w:proofErr w:type="spellEnd"/>
      <w:r w:rsidRPr="000660BD">
        <w:rPr>
          <w:rFonts w:ascii="Times New Roman" w:hAnsi="Times New Roman"/>
          <w:i/>
          <w:sz w:val="20"/>
          <w:szCs w:val="20"/>
        </w:rPr>
        <w:t xml:space="preserve"> </w:t>
      </w:r>
      <w:proofErr w:type="spellStart"/>
      <w:r w:rsidRPr="000660BD">
        <w:rPr>
          <w:rFonts w:ascii="Times New Roman" w:hAnsi="Times New Roman"/>
          <w:i/>
          <w:sz w:val="20"/>
          <w:szCs w:val="20"/>
        </w:rPr>
        <w:t>успешното</w:t>
      </w:r>
      <w:proofErr w:type="spellEnd"/>
      <w:r w:rsidRPr="000660BD">
        <w:rPr>
          <w:rFonts w:ascii="Times New Roman" w:hAnsi="Times New Roman"/>
          <w:i/>
          <w:sz w:val="20"/>
          <w:szCs w:val="20"/>
        </w:rPr>
        <w:t xml:space="preserve"> </w:t>
      </w:r>
      <w:proofErr w:type="spellStart"/>
      <w:r w:rsidRPr="000660BD">
        <w:rPr>
          <w:rFonts w:ascii="Times New Roman" w:hAnsi="Times New Roman"/>
          <w:i/>
          <w:sz w:val="20"/>
          <w:szCs w:val="20"/>
        </w:rPr>
        <w:t>управление</w:t>
      </w:r>
      <w:proofErr w:type="spellEnd"/>
      <w:r w:rsidRPr="000660BD">
        <w:rPr>
          <w:rFonts w:ascii="Times New Roman" w:hAnsi="Times New Roman"/>
          <w:i/>
          <w:sz w:val="20"/>
          <w:szCs w:val="20"/>
        </w:rPr>
        <w:t xml:space="preserve"> </w:t>
      </w:r>
      <w:proofErr w:type="spellStart"/>
      <w:r w:rsidRPr="000660BD">
        <w:rPr>
          <w:rFonts w:ascii="Times New Roman" w:hAnsi="Times New Roman"/>
          <w:i/>
          <w:sz w:val="20"/>
          <w:szCs w:val="20"/>
        </w:rPr>
        <w:t>на</w:t>
      </w:r>
      <w:proofErr w:type="spellEnd"/>
      <w:r w:rsidRPr="000660BD">
        <w:rPr>
          <w:rFonts w:ascii="Times New Roman" w:hAnsi="Times New Roman"/>
          <w:i/>
          <w:sz w:val="20"/>
          <w:szCs w:val="20"/>
        </w:rPr>
        <w:t xml:space="preserve"> </w:t>
      </w:r>
      <w:proofErr w:type="spellStart"/>
      <w:r w:rsidRPr="000660BD">
        <w:rPr>
          <w:rFonts w:ascii="Times New Roman" w:hAnsi="Times New Roman"/>
          <w:i/>
          <w:sz w:val="20"/>
          <w:szCs w:val="20"/>
        </w:rPr>
        <w:t>приоритетни</w:t>
      </w:r>
      <w:proofErr w:type="spellEnd"/>
      <w:r w:rsidRPr="000660BD">
        <w:rPr>
          <w:rFonts w:ascii="Times New Roman" w:hAnsi="Times New Roman"/>
          <w:i/>
          <w:sz w:val="20"/>
          <w:szCs w:val="20"/>
        </w:rPr>
        <w:t xml:space="preserve"> </w:t>
      </w:r>
      <w:proofErr w:type="spellStart"/>
      <w:r w:rsidRPr="000660BD">
        <w:rPr>
          <w:rFonts w:ascii="Times New Roman" w:hAnsi="Times New Roman"/>
          <w:i/>
          <w:sz w:val="20"/>
          <w:szCs w:val="20"/>
        </w:rPr>
        <w:t>оси</w:t>
      </w:r>
      <w:proofErr w:type="spellEnd"/>
      <w:r w:rsidRPr="000660BD">
        <w:rPr>
          <w:rFonts w:ascii="Times New Roman" w:hAnsi="Times New Roman"/>
          <w:i/>
          <w:sz w:val="20"/>
          <w:szCs w:val="20"/>
        </w:rPr>
        <w:t xml:space="preserve"> 3 и 4 </w:t>
      </w:r>
      <w:proofErr w:type="spellStart"/>
      <w:r w:rsidRPr="000660BD">
        <w:rPr>
          <w:rFonts w:ascii="Times New Roman" w:hAnsi="Times New Roman"/>
          <w:i/>
          <w:sz w:val="20"/>
          <w:szCs w:val="20"/>
        </w:rPr>
        <w:t>на</w:t>
      </w:r>
      <w:proofErr w:type="spellEnd"/>
      <w:r w:rsidRPr="000660BD">
        <w:rPr>
          <w:rFonts w:ascii="Times New Roman" w:hAnsi="Times New Roman"/>
          <w:i/>
          <w:sz w:val="20"/>
          <w:szCs w:val="20"/>
        </w:rPr>
        <w:t xml:space="preserve"> </w:t>
      </w:r>
      <w:proofErr w:type="spellStart"/>
      <w:r w:rsidRPr="000660BD">
        <w:rPr>
          <w:rFonts w:ascii="Times New Roman" w:hAnsi="Times New Roman"/>
          <w:i/>
          <w:sz w:val="20"/>
          <w:szCs w:val="20"/>
        </w:rPr>
        <w:t>Оперативна</w:t>
      </w:r>
      <w:proofErr w:type="spellEnd"/>
      <w:r w:rsidRPr="000660BD">
        <w:rPr>
          <w:rFonts w:ascii="Times New Roman" w:hAnsi="Times New Roman"/>
          <w:i/>
          <w:sz w:val="20"/>
          <w:szCs w:val="20"/>
        </w:rPr>
        <w:t xml:space="preserve"> </w:t>
      </w:r>
      <w:proofErr w:type="spellStart"/>
      <w:r w:rsidRPr="000660BD">
        <w:rPr>
          <w:rFonts w:ascii="Times New Roman" w:hAnsi="Times New Roman"/>
          <w:i/>
          <w:sz w:val="20"/>
          <w:szCs w:val="20"/>
        </w:rPr>
        <w:t>програма</w:t>
      </w:r>
      <w:proofErr w:type="spellEnd"/>
      <w:r w:rsidRPr="000660BD">
        <w:rPr>
          <w:rFonts w:ascii="Times New Roman" w:hAnsi="Times New Roman"/>
          <w:i/>
          <w:sz w:val="20"/>
          <w:szCs w:val="20"/>
        </w:rPr>
        <w:t xml:space="preserve"> „</w:t>
      </w:r>
      <w:proofErr w:type="spellStart"/>
      <w:r w:rsidRPr="000660BD">
        <w:rPr>
          <w:rFonts w:ascii="Times New Roman" w:hAnsi="Times New Roman"/>
          <w:i/>
          <w:sz w:val="20"/>
          <w:szCs w:val="20"/>
        </w:rPr>
        <w:t>Развитие</w:t>
      </w:r>
      <w:proofErr w:type="spellEnd"/>
      <w:r w:rsidRPr="000660BD">
        <w:rPr>
          <w:rFonts w:ascii="Times New Roman" w:hAnsi="Times New Roman"/>
          <w:i/>
          <w:sz w:val="20"/>
          <w:szCs w:val="20"/>
        </w:rPr>
        <w:t xml:space="preserve"> </w:t>
      </w:r>
      <w:proofErr w:type="spellStart"/>
      <w:r w:rsidRPr="000660BD">
        <w:rPr>
          <w:rFonts w:ascii="Times New Roman" w:hAnsi="Times New Roman"/>
          <w:i/>
          <w:sz w:val="20"/>
          <w:szCs w:val="20"/>
        </w:rPr>
        <w:t>на</w:t>
      </w:r>
      <w:proofErr w:type="spellEnd"/>
      <w:r w:rsidRPr="000660BD">
        <w:rPr>
          <w:rFonts w:ascii="Times New Roman" w:hAnsi="Times New Roman"/>
          <w:i/>
          <w:sz w:val="20"/>
          <w:szCs w:val="20"/>
        </w:rPr>
        <w:t xml:space="preserve"> </w:t>
      </w:r>
      <w:proofErr w:type="spellStart"/>
      <w:r w:rsidRPr="000660BD">
        <w:rPr>
          <w:rFonts w:ascii="Times New Roman" w:hAnsi="Times New Roman"/>
          <w:i/>
          <w:sz w:val="20"/>
          <w:szCs w:val="20"/>
        </w:rPr>
        <w:t>човешките</w:t>
      </w:r>
      <w:proofErr w:type="spellEnd"/>
      <w:r w:rsidRPr="000660BD">
        <w:rPr>
          <w:rFonts w:ascii="Times New Roman" w:hAnsi="Times New Roman"/>
          <w:i/>
          <w:sz w:val="20"/>
          <w:szCs w:val="20"/>
        </w:rPr>
        <w:t xml:space="preserve"> </w:t>
      </w:r>
      <w:proofErr w:type="spellStart"/>
      <w:r w:rsidRPr="000660BD">
        <w:rPr>
          <w:rFonts w:ascii="Times New Roman" w:hAnsi="Times New Roman"/>
          <w:i/>
          <w:sz w:val="20"/>
          <w:szCs w:val="20"/>
        </w:rPr>
        <w:t>ресурси</w:t>
      </w:r>
      <w:proofErr w:type="spellEnd"/>
      <w:r w:rsidRPr="000660BD">
        <w:rPr>
          <w:rFonts w:ascii="Times New Roman" w:hAnsi="Times New Roman"/>
          <w:i/>
          <w:sz w:val="20"/>
          <w:szCs w:val="20"/>
        </w:rPr>
        <w:t xml:space="preserve">”, </w:t>
      </w:r>
      <w:proofErr w:type="spellStart"/>
      <w:r w:rsidRPr="000660BD">
        <w:rPr>
          <w:rFonts w:ascii="Times New Roman" w:hAnsi="Times New Roman"/>
          <w:i/>
          <w:sz w:val="20"/>
          <w:szCs w:val="20"/>
        </w:rPr>
        <w:t>който</w:t>
      </w:r>
      <w:proofErr w:type="spellEnd"/>
      <w:r w:rsidRPr="000660BD">
        <w:rPr>
          <w:rFonts w:ascii="Times New Roman" w:hAnsi="Times New Roman"/>
          <w:i/>
          <w:sz w:val="20"/>
          <w:szCs w:val="20"/>
        </w:rPr>
        <w:t xml:space="preserve"> </w:t>
      </w:r>
      <w:proofErr w:type="spellStart"/>
      <w:r w:rsidRPr="000660BD">
        <w:rPr>
          <w:rFonts w:ascii="Times New Roman" w:hAnsi="Times New Roman"/>
          <w:i/>
          <w:color w:val="000000"/>
          <w:sz w:val="20"/>
          <w:szCs w:val="20"/>
        </w:rPr>
        <w:t>се</w:t>
      </w:r>
      <w:proofErr w:type="spellEnd"/>
      <w:r w:rsidRPr="000660BD">
        <w:rPr>
          <w:rFonts w:ascii="Times New Roman" w:hAnsi="Times New Roman"/>
          <w:i/>
          <w:color w:val="000000"/>
          <w:sz w:val="20"/>
          <w:szCs w:val="20"/>
        </w:rPr>
        <w:t xml:space="preserve"> </w:t>
      </w:r>
      <w:proofErr w:type="spellStart"/>
      <w:r w:rsidRPr="000660BD">
        <w:rPr>
          <w:rFonts w:ascii="Times New Roman" w:hAnsi="Times New Roman"/>
          <w:i/>
          <w:color w:val="000000"/>
          <w:sz w:val="20"/>
          <w:szCs w:val="20"/>
        </w:rPr>
        <w:t>осъществява</w:t>
      </w:r>
      <w:proofErr w:type="spellEnd"/>
      <w:r w:rsidRPr="000660BD">
        <w:rPr>
          <w:rFonts w:ascii="Times New Roman" w:hAnsi="Times New Roman"/>
          <w:i/>
          <w:color w:val="000000"/>
          <w:sz w:val="20"/>
          <w:szCs w:val="20"/>
        </w:rPr>
        <w:t xml:space="preserve"> с </w:t>
      </w:r>
      <w:proofErr w:type="spellStart"/>
      <w:r w:rsidRPr="000660BD">
        <w:rPr>
          <w:rFonts w:ascii="Times New Roman" w:hAnsi="Times New Roman"/>
          <w:i/>
          <w:color w:val="000000"/>
          <w:sz w:val="20"/>
          <w:szCs w:val="20"/>
        </w:rPr>
        <w:t>финансовата</w:t>
      </w:r>
      <w:proofErr w:type="spellEnd"/>
      <w:r w:rsidRPr="000660BD">
        <w:rPr>
          <w:rFonts w:ascii="Times New Roman" w:hAnsi="Times New Roman"/>
          <w:i/>
          <w:color w:val="000000"/>
          <w:sz w:val="20"/>
          <w:szCs w:val="20"/>
        </w:rPr>
        <w:t xml:space="preserve"> </w:t>
      </w:r>
      <w:proofErr w:type="spellStart"/>
      <w:r w:rsidRPr="000660BD">
        <w:rPr>
          <w:rFonts w:ascii="Times New Roman" w:hAnsi="Times New Roman"/>
          <w:i/>
          <w:color w:val="000000"/>
          <w:sz w:val="20"/>
          <w:szCs w:val="20"/>
        </w:rPr>
        <w:t>подкрепа</w:t>
      </w:r>
      <w:proofErr w:type="spellEnd"/>
      <w:r w:rsidRPr="000660BD">
        <w:rPr>
          <w:rFonts w:ascii="Times New Roman" w:hAnsi="Times New Roman"/>
          <w:i/>
          <w:color w:val="000000"/>
          <w:sz w:val="20"/>
          <w:szCs w:val="20"/>
        </w:rPr>
        <w:t xml:space="preserve"> </w:t>
      </w:r>
      <w:proofErr w:type="spellStart"/>
      <w:r w:rsidRPr="000660BD">
        <w:rPr>
          <w:rFonts w:ascii="Times New Roman" w:hAnsi="Times New Roman"/>
          <w:i/>
          <w:color w:val="000000"/>
          <w:sz w:val="20"/>
          <w:szCs w:val="20"/>
        </w:rPr>
        <w:t>на</w:t>
      </w:r>
      <w:proofErr w:type="spellEnd"/>
      <w:r w:rsidRPr="000660BD">
        <w:rPr>
          <w:rFonts w:ascii="Times New Roman" w:hAnsi="Times New Roman"/>
          <w:i/>
          <w:color w:val="000000"/>
          <w:sz w:val="20"/>
          <w:szCs w:val="20"/>
        </w:rPr>
        <w:t xml:space="preserve"> </w:t>
      </w:r>
      <w:proofErr w:type="spellStart"/>
      <w:r w:rsidRPr="000660BD">
        <w:rPr>
          <w:rFonts w:ascii="Times New Roman" w:hAnsi="Times New Roman"/>
          <w:i/>
          <w:color w:val="000000"/>
          <w:sz w:val="20"/>
          <w:szCs w:val="20"/>
        </w:rPr>
        <w:t>Оперативна</w:t>
      </w:r>
      <w:proofErr w:type="spellEnd"/>
      <w:r w:rsidRPr="000660BD">
        <w:rPr>
          <w:rFonts w:ascii="Times New Roman" w:hAnsi="Times New Roman"/>
          <w:i/>
          <w:color w:val="000000"/>
          <w:sz w:val="20"/>
          <w:szCs w:val="20"/>
        </w:rPr>
        <w:t xml:space="preserve"> </w:t>
      </w:r>
      <w:proofErr w:type="spellStart"/>
      <w:r w:rsidRPr="000660BD">
        <w:rPr>
          <w:rFonts w:ascii="Times New Roman" w:hAnsi="Times New Roman"/>
          <w:i/>
          <w:color w:val="000000"/>
          <w:sz w:val="20"/>
          <w:szCs w:val="20"/>
        </w:rPr>
        <w:t>програма</w:t>
      </w:r>
      <w:proofErr w:type="spellEnd"/>
      <w:r w:rsidRPr="000660BD">
        <w:rPr>
          <w:rFonts w:ascii="Times New Roman" w:hAnsi="Times New Roman"/>
          <w:i/>
          <w:color w:val="000000"/>
          <w:sz w:val="20"/>
          <w:szCs w:val="20"/>
        </w:rPr>
        <w:t xml:space="preserve"> „</w:t>
      </w:r>
      <w:proofErr w:type="spellStart"/>
      <w:r w:rsidRPr="000660BD">
        <w:rPr>
          <w:rFonts w:ascii="Times New Roman" w:hAnsi="Times New Roman"/>
          <w:i/>
          <w:color w:val="000000"/>
          <w:sz w:val="20"/>
          <w:szCs w:val="20"/>
        </w:rPr>
        <w:t>Развитие</w:t>
      </w:r>
      <w:proofErr w:type="spellEnd"/>
      <w:r w:rsidRPr="000660BD">
        <w:rPr>
          <w:rFonts w:ascii="Times New Roman" w:hAnsi="Times New Roman"/>
          <w:i/>
          <w:color w:val="000000"/>
          <w:sz w:val="20"/>
          <w:szCs w:val="20"/>
        </w:rPr>
        <w:t xml:space="preserve"> </w:t>
      </w:r>
      <w:proofErr w:type="spellStart"/>
      <w:r w:rsidRPr="000660BD">
        <w:rPr>
          <w:rFonts w:ascii="Times New Roman" w:hAnsi="Times New Roman"/>
          <w:i/>
          <w:color w:val="000000"/>
          <w:sz w:val="20"/>
          <w:szCs w:val="20"/>
        </w:rPr>
        <w:t>на</w:t>
      </w:r>
      <w:proofErr w:type="spellEnd"/>
      <w:r w:rsidRPr="000660BD">
        <w:rPr>
          <w:rFonts w:ascii="Times New Roman" w:hAnsi="Times New Roman"/>
          <w:i/>
          <w:color w:val="000000"/>
          <w:sz w:val="20"/>
          <w:szCs w:val="20"/>
        </w:rPr>
        <w:t xml:space="preserve"> </w:t>
      </w:r>
      <w:proofErr w:type="spellStart"/>
      <w:r w:rsidRPr="000660BD">
        <w:rPr>
          <w:rFonts w:ascii="Times New Roman" w:hAnsi="Times New Roman"/>
          <w:i/>
          <w:color w:val="000000"/>
          <w:sz w:val="20"/>
          <w:szCs w:val="20"/>
        </w:rPr>
        <w:t>човешките</w:t>
      </w:r>
      <w:proofErr w:type="spellEnd"/>
      <w:r w:rsidRPr="000660BD">
        <w:rPr>
          <w:rFonts w:ascii="Times New Roman" w:hAnsi="Times New Roman"/>
          <w:i/>
          <w:color w:val="000000"/>
          <w:sz w:val="20"/>
          <w:szCs w:val="20"/>
        </w:rPr>
        <w:t xml:space="preserve"> </w:t>
      </w:r>
      <w:proofErr w:type="spellStart"/>
      <w:r w:rsidRPr="000660BD">
        <w:rPr>
          <w:rFonts w:ascii="Times New Roman" w:hAnsi="Times New Roman"/>
          <w:i/>
          <w:color w:val="000000"/>
          <w:sz w:val="20"/>
          <w:szCs w:val="20"/>
        </w:rPr>
        <w:t>ресурси</w:t>
      </w:r>
      <w:proofErr w:type="spellEnd"/>
      <w:r w:rsidRPr="000660BD">
        <w:rPr>
          <w:rFonts w:ascii="Times New Roman" w:hAnsi="Times New Roman"/>
          <w:i/>
          <w:color w:val="000000"/>
          <w:sz w:val="20"/>
          <w:szCs w:val="20"/>
        </w:rPr>
        <w:t xml:space="preserve">”, </w:t>
      </w:r>
      <w:proofErr w:type="spellStart"/>
      <w:r w:rsidRPr="000660BD">
        <w:rPr>
          <w:rFonts w:ascii="Times New Roman" w:hAnsi="Times New Roman"/>
          <w:i/>
          <w:color w:val="000000"/>
          <w:sz w:val="20"/>
          <w:szCs w:val="20"/>
        </w:rPr>
        <w:t>съфинансирана</w:t>
      </w:r>
      <w:proofErr w:type="spellEnd"/>
      <w:r w:rsidRPr="000660BD">
        <w:rPr>
          <w:rFonts w:ascii="Times New Roman" w:hAnsi="Times New Roman"/>
          <w:i/>
          <w:color w:val="000000"/>
          <w:sz w:val="20"/>
          <w:szCs w:val="20"/>
        </w:rPr>
        <w:t xml:space="preserve"> </w:t>
      </w:r>
      <w:proofErr w:type="spellStart"/>
      <w:r w:rsidRPr="000660BD">
        <w:rPr>
          <w:rFonts w:ascii="Times New Roman" w:hAnsi="Times New Roman"/>
          <w:i/>
          <w:color w:val="000000"/>
          <w:sz w:val="20"/>
          <w:szCs w:val="20"/>
        </w:rPr>
        <w:t>от</w:t>
      </w:r>
      <w:proofErr w:type="spellEnd"/>
      <w:r w:rsidRPr="000660BD">
        <w:rPr>
          <w:rFonts w:ascii="Times New Roman" w:hAnsi="Times New Roman"/>
          <w:i/>
          <w:color w:val="000000"/>
          <w:sz w:val="20"/>
          <w:szCs w:val="20"/>
        </w:rPr>
        <w:t xml:space="preserve"> </w:t>
      </w:r>
      <w:proofErr w:type="spellStart"/>
      <w:r w:rsidRPr="000660BD">
        <w:rPr>
          <w:rFonts w:ascii="Times New Roman" w:hAnsi="Times New Roman"/>
          <w:i/>
          <w:color w:val="000000"/>
          <w:sz w:val="20"/>
          <w:szCs w:val="20"/>
        </w:rPr>
        <w:t>Европейския</w:t>
      </w:r>
      <w:proofErr w:type="spellEnd"/>
      <w:r w:rsidRPr="000660BD">
        <w:rPr>
          <w:rFonts w:ascii="Times New Roman" w:hAnsi="Times New Roman"/>
          <w:i/>
          <w:color w:val="000000"/>
          <w:sz w:val="20"/>
          <w:szCs w:val="20"/>
        </w:rPr>
        <w:t xml:space="preserve"> </w:t>
      </w:r>
      <w:proofErr w:type="spellStart"/>
      <w:r w:rsidRPr="000660BD">
        <w:rPr>
          <w:rFonts w:ascii="Times New Roman" w:hAnsi="Times New Roman"/>
          <w:i/>
          <w:color w:val="000000"/>
          <w:sz w:val="20"/>
          <w:szCs w:val="20"/>
        </w:rPr>
        <w:t>социален</w:t>
      </w:r>
      <w:proofErr w:type="spellEnd"/>
      <w:r w:rsidRPr="000660BD">
        <w:rPr>
          <w:rFonts w:ascii="Times New Roman" w:hAnsi="Times New Roman"/>
          <w:i/>
          <w:color w:val="000000"/>
          <w:sz w:val="20"/>
          <w:szCs w:val="20"/>
        </w:rPr>
        <w:t xml:space="preserve"> </w:t>
      </w:r>
      <w:proofErr w:type="spellStart"/>
      <w:r w:rsidRPr="000660BD">
        <w:rPr>
          <w:rFonts w:ascii="Times New Roman" w:hAnsi="Times New Roman"/>
          <w:i/>
          <w:color w:val="000000"/>
          <w:sz w:val="20"/>
          <w:szCs w:val="20"/>
        </w:rPr>
        <w:t>фонд</w:t>
      </w:r>
      <w:proofErr w:type="spellEnd"/>
      <w:r w:rsidRPr="000660BD">
        <w:rPr>
          <w:rFonts w:ascii="Times New Roman" w:hAnsi="Times New Roman"/>
          <w:i/>
          <w:color w:val="000000"/>
          <w:sz w:val="20"/>
          <w:szCs w:val="20"/>
        </w:rPr>
        <w:t xml:space="preserve"> </w:t>
      </w:r>
      <w:proofErr w:type="spellStart"/>
      <w:r w:rsidRPr="000660BD">
        <w:rPr>
          <w:rFonts w:ascii="Times New Roman" w:hAnsi="Times New Roman"/>
          <w:i/>
          <w:color w:val="000000"/>
          <w:sz w:val="20"/>
          <w:szCs w:val="20"/>
        </w:rPr>
        <w:t>на</w:t>
      </w:r>
      <w:proofErr w:type="spellEnd"/>
      <w:r w:rsidRPr="000660BD">
        <w:rPr>
          <w:rFonts w:ascii="Times New Roman" w:hAnsi="Times New Roman"/>
          <w:i/>
          <w:color w:val="000000"/>
          <w:sz w:val="20"/>
          <w:szCs w:val="20"/>
        </w:rPr>
        <w:t xml:space="preserve"> </w:t>
      </w:r>
      <w:proofErr w:type="spellStart"/>
      <w:r w:rsidRPr="000660BD">
        <w:rPr>
          <w:rFonts w:ascii="Times New Roman" w:hAnsi="Times New Roman"/>
          <w:i/>
          <w:color w:val="000000"/>
          <w:sz w:val="20"/>
          <w:szCs w:val="20"/>
        </w:rPr>
        <w:t>Европейския</w:t>
      </w:r>
      <w:proofErr w:type="spellEnd"/>
      <w:r w:rsidRPr="000660BD">
        <w:rPr>
          <w:rFonts w:ascii="Times New Roman" w:hAnsi="Times New Roman"/>
          <w:i/>
          <w:color w:val="000000"/>
          <w:sz w:val="20"/>
          <w:szCs w:val="20"/>
        </w:rPr>
        <w:t xml:space="preserve"> </w:t>
      </w:r>
      <w:proofErr w:type="spellStart"/>
      <w:r w:rsidRPr="000660BD">
        <w:rPr>
          <w:rFonts w:ascii="Times New Roman" w:hAnsi="Times New Roman"/>
          <w:i/>
          <w:color w:val="000000"/>
          <w:sz w:val="20"/>
          <w:szCs w:val="20"/>
        </w:rPr>
        <w:t>съюз</w:t>
      </w:r>
      <w:proofErr w:type="spellEnd"/>
      <w:r w:rsidRPr="000660BD">
        <w:rPr>
          <w:rFonts w:ascii="Times New Roman" w:hAnsi="Times New Roman"/>
          <w:i/>
          <w:color w:val="000000"/>
          <w:sz w:val="20"/>
          <w:szCs w:val="20"/>
          <w:lang w:val="bg-BG"/>
        </w:rPr>
        <w:t>.</w:t>
      </w:r>
    </w:p>
    <w:p w:rsidR="00554687" w:rsidRPr="00B45B4F" w:rsidRDefault="008B6834" w:rsidP="0015466E">
      <w:pPr>
        <w:rPr>
          <w:rFonts w:ascii="Times New Roman" w:hAnsi="Times New Roman"/>
          <w:b/>
          <w:i/>
          <w:color w:val="548DD4"/>
          <w:sz w:val="24"/>
          <w:szCs w:val="24"/>
          <w:lang w:val="bg-BG" w:eastAsia="nl-NL"/>
        </w:rPr>
      </w:pPr>
      <w:r w:rsidRPr="00B45B4F">
        <w:rPr>
          <w:rFonts w:ascii="Times New Roman" w:hAnsi="Times New Roman"/>
          <w:b/>
          <w:i/>
          <w:color w:val="548DD4"/>
          <w:sz w:val="24"/>
          <w:szCs w:val="24"/>
          <w:lang w:val="bg-BG" w:eastAsia="nl-NL"/>
        </w:rPr>
        <w:t>Мненията, изразени в оценката са на нейните автори и не е задължително да отразяват позицията на Министерството на образованието и науката</w:t>
      </w:r>
    </w:p>
    <w:p w:rsidR="004E1162" w:rsidRDefault="004E1162" w:rsidP="00554687">
      <w:pPr>
        <w:rPr>
          <w:lang w:val="bg-BG"/>
        </w:rPr>
        <w:sectPr w:rsidR="004E1162" w:rsidSect="00957212">
          <w:headerReference w:type="default" r:id="rId11"/>
          <w:footerReference w:type="default" r:id="rId12"/>
          <w:pgSz w:w="11907" w:h="16839" w:code="9"/>
          <w:pgMar w:top="2077" w:right="1440" w:bottom="1440" w:left="1440" w:header="708" w:footer="18" w:gutter="0"/>
          <w:pgNumType w:start="1"/>
          <w:cols w:space="708"/>
          <w:docGrid w:linePitch="360"/>
        </w:sectPr>
      </w:pPr>
    </w:p>
    <w:p w:rsidR="004E1162" w:rsidRPr="0005098D" w:rsidRDefault="004E1162" w:rsidP="004E1162">
      <w:pPr>
        <w:pStyle w:val="no-heading-blue-1"/>
        <w:spacing w:before="240" w:after="600"/>
        <w:outlineLvl w:val="0"/>
        <w:rPr>
          <w:rFonts w:ascii="Verdana" w:hAnsi="Verdana"/>
        </w:rPr>
      </w:pPr>
      <w:bookmarkStart w:id="1" w:name="_Toc376528752"/>
      <w:bookmarkStart w:id="2" w:name="_Toc376775291"/>
      <w:bookmarkStart w:id="3" w:name="_Toc379369378"/>
      <w:bookmarkStart w:id="4" w:name="_Toc379372136"/>
      <w:bookmarkStart w:id="5" w:name="_Toc388365210"/>
      <w:bookmarkStart w:id="6" w:name="_Toc390256990"/>
      <w:bookmarkStart w:id="7" w:name="_Toc395538849"/>
      <w:bookmarkStart w:id="8" w:name="_Toc395612501"/>
      <w:r w:rsidRPr="0005098D">
        <w:rPr>
          <w:rFonts w:ascii="Verdana" w:hAnsi="Verdana"/>
        </w:rPr>
        <w:lastRenderedPageBreak/>
        <w:t>За консултанта</w:t>
      </w:r>
      <w:bookmarkEnd w:id="1"/>
      <w:bookmarkEnd w:id="2"/>
      <w:bookmarkEnd w:id="3"/>
      <w:bookmarkEnd w:id="4"/>
      <w:bookmarkEnd w:id="5"/>
      <w:bookmarkEnd w:id="6"/>
      <w:bookmarkEnd w:id="7"/>
      <w:bookmarkEnd w:id="8"/>
    </w:p>
    <w:p w:rsidR="004E1162" w:rsidRDefault="004E1162" w:rsidP="004E1162">
      <w:pPr>
        <w:spacing w:after="120"/>
        <w:jc w:val="both"/>
        <w:rPr>
          <w:rFonts w:ascii="Times New Roman" w:hAnsi="Times New Roman"/>
          <w:sz w:val="24"/>
          <w:szCs w:val="24"/>
          <w:lang w:val="bg-BG"/>
        </w:rPr>
      </w:pPr>
    </w:p>
    <w:p w:rsidR="004E1162" w:rsidRPr="004E1162" w:rsidRDefault="004E1162" w:rsidP="004E1162">
      <w:pPr>
        <w:tabs>
          <w:tab w:val="left" w:pos="4331"/>
        </w:tabs>
        <w:spacing w:after="120"/>
        <w:jc w:val="both"/>
        <w:rPr>
          <w:rFonts w:ascii="Times New Roman" w:hAnsi="Times New Roman"/>
          <w:b/>
          <w:bCs/>
          <w:i/>
          <w:color w:val="006DB6"/>
          <w:sz w:val="20"/>
          <w:szCs w:val="20"/>
          <w:lang w:val="bg-BG"/>
        </w:rPr>
      </w:pPr>
      <w:r w:rsidRPr="004E1162">
        <w:rPr>
          <w:rFonts w:ascii="Verdana" w:hAnsi="Verdana"/>
          <w:b/>
          <w:bCs/>
          <w:i/>
          <w:color w:val="006DB6"/>
          <w:sz w:val="20"/>
          <w:szCs w:val="20"/>
          <w:lang w:val="bg-BG"/>
        </w:rPr>
        <w:t xml:space="preserve">ЕКОРИС </w:t>
      </w:r>
      <w:proofErr w:type="spellStart"/>
      <w:r w:rsidRPr="004E1162">
        <w:rPr>
          <w:rFonts w:ascii="Verdana" w:hAnsi="Verdana"/>
          <w:b/>
          <w:bCs/>
          <w:i/>
          <w:color w:val="006DB6"/>
          <w:sz w:val="20"/>
          <w:szCs w:val="20"/>
          <w:lang w:val="bg-BG"/>
        </w:rPr>
        <w:t>Саут</w:t>
      </w:r>
      <w:proofErr w:type="spellEnd"/>
      <w:r w:rsidRPr="004E1162">
        <w:rPr>
          <w:rFonts w:ascii="Verdana" w:hAnsi="Verdana"/>
          <w:b/>
          <w:bCs/>
          <w:i/>
          <w:color w:val="006DB6"/>
          <w:sz w:val="20"/>
          <w:szCs w:val="20"/>
          <w:lang w:val="bg-BG"/>
        </w:rPr>
        <w:t xml:space="preserve"> </w:t>
      </w:r>
      <w:proofErr w:type="spellStart"/>
      <w:r w:rsidRPr="004E1162">
        <w:rPr>
          <w:rFonts w:ascii="Verdana" w:hAnsi="Verdana"/>
          <w:b/>
          <w:bCs/>
          <w:i/>
          <w:color w:val="006DB6"/>
          <w:sz w:val="20"/>
          <w:szCs w:val="20"/>
          <w:lang w:val="bg-BG"/>
        </w:rPr>
        <w:t>Ийст</w:t>
      </w:r>
      <w:proofErr w:type="spellEnd"/>
      <w:r w:rsidRPr="004E1162">
        <w:rPr>
          <w:rFonts w:ascii="Verdana" w:hAnsi="Verdana"/>
          <w:b/>
          <w:bCs/>
          <w:i/>
          <w:color w:val="006DB6"/>
          <w:sz w:val="20"/>
          <w:szCs w:val="20"/>
          <w:lang w:val="bg-BG"/>
        </w:rPr>
        <w:t xml:space="preserve"> </w:t>
      </w:r>
      <w:proofErr w:type="spellStart"/>
      <w:r w:rsidRPr="004E1162">
        <w:rPr>
          <w:rFonts w:ascii="Verdana" w:hAnsi="Verdana"/>
          <w:b/>
          <w:bCs/>
          <w:i/>
          <w:color w:val="006DB6"/>
          <w:sz w:val="20"/>
          <w:szCs w:val="20"/>
          <w:lang w:val="bg-BG"/>
        </w:rPr>
        <w:t>Юроп</w:t>
      </w:r>
      <w:proofErr w:type="spellEnd"/>
      <w:r w:rsidRPr="004E1162">
        <w:rPr>
          <w:rFonts w:ascii="Verdana" w:hAnsi="Verdana"/>
          <w:b/>
          <w:bCs/>
          <w:i/>
          <w:color w:val="006DB6"/>
          <w:sz w:val="20"/>
          <w:szCs w:val="20"/>
          <w:lang w:val="bg-BG"/>
        </w:rPr>
        <w:t xml:space="preserve"> ЕООД (</w:t>
      </w:r>
      <w:proofErr w:type="spellStart"/>
      <w:r w:rsidRPr="004E1162">
        <w:rPr>
          <w:rFonts w:ascii="Verdana" w:hAnsi="Verdana"/>
          <w:b/>
          <w:bCs/>
          <w:i/>
          <w:color w:val="006DB6"/>
          <w:sz w:val="20"/>
          <w:szCs w:val="20"/>
          <w:lang w:val="bg-BG"/>
        </w:rPr>
        <w:t>Екорис</w:t>
      </w:r>
      <w:proofErr w:type="spellEnd"/>
      <w:r w:rsidRPr="004E1162">
        <w:rPr>
          <w:rFonts w:ascii="Verdana" w:hAnsi="Verdana"/>
          <w:b/>
          <w:bCs/>
          <w:i/>
          <w:color w:val="006DB6"/>
          <w:sz w:val="20"/>
          <w:szCs w:val="20"/>
          <w:lang w:val="bg-BG"/>
        </w:rPr>
        <w:t xml:space="preserve"> СИЮ)</w:t>
      </w:r>
      <w:r w:rsidRPr="004E1162">
        <w:rPr>
          <w:rFonts w:ascii="Verdana" w:hAnsi="Verdana"/>
          <w:sz w:val="20"/>
          <w:szCs w:val="20"/>
          <w:lang w:val="bg-BG"/>
        </w:rPr>
        <w:t xml:space="preserve"> е юридическо лице, регистрирано в България през август 2006 г. Компанията е част от европейска група от консултантски и изследователски организации – ЕКОРИС Груп (ECORYS Group), разполагаща с офиси в 10 страни в Европа, както и с представителни офиси в Украйна, Македония, Сърбия и Румъния. Мисията на </w:t>
      </w:r>
      <w:proofErr w:type="spellStart"/>
      <w:r w:rsidRPr="004E1162">
        <w:rPr>
          <w:rFonts w:ascii="Verdana" w:hAnsi="Verdana"/>
          <w:sz w:val="20"/>
          <w:szCs w:val="20"/>
          <w:lang w:val="bg-BG"/>
        </w:rPr>
        <w:t>Екорис</w:t>
      </w:r>
      <w:proofErr w:type="spellEnd"/>
      <w:r w:rsidRPr="004E1162">
        <w:rPr>
          <w:rFonts w:ascii="Verdana" w:hAnsi="Verdana"/>
          <w:sz w:val="20"/>
          <w:szCs w:val="20"/>
          <w:lang w:val="bg-BG"/>
        </w:rPr>
        <w:t xml:space="preserve"> СИЮ е да предоставя пълния набор от услуги, предлагани от ЕКОРИС Груп в този регион. </w:t>
      </w:r>
      <w:proofErr w:type="spellStart"/>
      <w:r w:rsidRPr="004E1162">
        <w:rPr>
          <w:rFonts w:ascii="Verdana" w:hAnsi="Verdana"/>
          <w:sz w:val="20"/>
          <w:szCs w:val="20"/>
          <w:lang w:val="bg-BG"/>
        </w:rPr>
        <w:t>Екорис</w:t>
      </w:r>
      <w:proofErr w:type="spellEnd"/>
      <w:r w:rsidRPr="004E1162">
        <w:rPr>
          <w:rFonts w:ascii="Verdana" w:hAnsi="Verdana"/>
          <w:sz w:val="20"/>
          <w:szCs w:val="20"/>
          <w:lang w:val="bg-BG"/>
        </w:rPr>
        <w:t xml:space="preserve"> притежава забележителна 80-годишна история и се наложи като една от най-силните европейски компании със своите иновативни, гъвкави и интегрирани многоаспектни решения и подходи, съобразени винаги и изцяло с нуждите на клиентите, както и със спецификата на пазара.</w:t>
      </w:r>
      <w:r w:rsidRPr="004E1162">
        <w:rPr>
          <w:rFonts w:ascii="Verdana" w:hAnsi="Verdana"/>
          <w:b/>
          <w:bCs/>
          <w:i/>
          <w:color w:val="006DB6"/>
          <w:sz w:val="20"/>
          <w:szCs w:val="20"/>
          <w:lang w:val="bg-BG"/>
        </w:rPr>
        <w:tab/>
      </w:r>
    </w:p>
    <w:p w:rsidR="004E1162" w:rsidRPr="0005098D" w:rsidRDefault="004E1162" w:rsidP="004E1162">
      <w:pPr>
        <w:spacing w:after="120"/>
        <w:jc w:val="both"/>
        <w:rPr>
          <w:rFonts w:ascii="Verdana" w:hAnsi="Verdana"/>
          <w:sz w:val="20"/>
          <w:szCs w:val="20"/>
          <w:lang w:val="bg-BG"/>
        </w:rPr>
      </w:pPr>
      <w:r w:rsidRPr="0005098D">
        <w:rPr>
          <w:rFonts w:ascii="Verdana" w:hAnsi="Verdana"/>
          <w:sz w:val="20"/>
          <w:szCs w:val="20"/>
          <w:lang w:val="bg-BG"/>
        </w:rPr>
        <w:t xml:space="preserve">Чрез работата си се стремим да бъдем полезни за обществото като осигуряваме за нашите клиенти в обществения, частния и неправителствения сектор по целия свят уникални перспективи и високо-стойностни решения. Ние ценим нашата и на нашите партньори независимост и почтеност. Служителите ни са </w:t>
      </w:r>
      <w:r>
        <w:rPr>
          <w:rFonts w:ascii="Verdana" w:hAnsi="Verdana"/>
          <w:sz w:val="20"/>
          <w:szCs w:val="20"/>
          <w:lang w:val="bg-BG"/>
        </w:rPr>
        <w:t xml:space="preserve">експерти, </w:t>
      </w:r>
      <w:r w:rsidRPr="0005098D">
        <w:rPr>
          <w:rFonts w:ascii="Verdana" w:hAnsi="Verdana"/>
          <w:sz w:val="20"/>
          <w:szCs w:val="20"/>
          <w:lang w:val="bg-BG"/>
        </w:rPr>
        <w:t>отдадени на работата си, които произлизат от академичните и консултантски среди. Те споделят най-добрите практики в нашите компании.</w:t>
      </w:r>
    </w:p>
    <w:p w:rsidR="004E1162" w:rsidRDefault="004E1162" w:rsidP="004E1162">
      <w:pPr>
        <w:pStyle w:val="broodtekstbold"/>
        <w:rPr>
          <w:rFonts w:ascii="Times New Roman" w:hAnsi="Times New Roman"/>
          <w:b w:val="0"/>
          <w:sz w:val="20"/>
          <w:szCs w:val="20"/>
        </w:rPr>
      </w:pPr>
    </w:p>
    <w:p w:rsidR="004E1162" w:rsidRDefault="004E1162" w:rsidP="004E1162">
      <w:pPr>
        <w:rPr>
          <w:lang w:val="bg-BG" w:eastAsia="nl-NL"/>
        </w:rPr>
      </w:pPr>
    </w:p>
    <w:p w:rsidR="004E1162" w:rsidRDefault="004E1162" w:rsidP="004E1162">
      <w:pPr>
        <w:rPr>
          <w:lang w:val="bg-BG" w:eastAsia="nl-NL"/>
        </w:rPr>
      </w:pPr>
    </w:p>
    <w:p w:rsidR="004E1162" w:rsidRDefault="004E1162" w:rsidP="004E1162">
      <w:pPr>
        <w:rPr>
          <w:lang w:val="bg-BG" w:eastAsia="nl-NL"/>
        </w:rPr>
      </w:pPr>
    </w:p>
    <w:p w:rsidR="004E1162" w:rsidRDefault="004E1162" w:rsidP="004E1162">
      <w:pPr>
        <w:rPr>
          <w:lang w:val="bg-BG" w:eastAsia="nl-NL"/>
        </w:rPr>
      </w:pPr>
    </w:p>
    <w:p w:rsidR="004E1162" w:rsidRDefault="004E1162" w:rsidP="004E1162">
      <w:pPr>
        <w:rPr>
          <w:lang w:val="bg-BG" w:eastAsia="nl-NL"/>
        </w:rPr>
      </w:pPr>
    </w:p>
    <w:p w:rsidR="004E1162" w:rsidRPr="004E1162" w:rsidRDefault="004E1162" w:rsidP="004E1162">
      <w:pPr>
        <w:rPr>
          <w:lang w:val="bg-BG" w:eastAsia="nl-NL"/>
        </w:rPr>
      </w:pPr>
    </w:p>
    <w:p w:rsidR="004E1162" w:rsidRPr="004E1162" w:rsidRDefault="004E1162" w:rsidP="004E1162">
      <w:pPr>
        <w:pStyle w:val="broodtekstbold"/>
        <w:rPr>
          <w:rFonts w:ascii="Times New Roman" w:hAnsi="Times New Roman"/>
          <w:b w:val="0"/>
          <w:sz w:val="20"/>
          <w:szCs w:val="20"/>
        </w:rPr>
      </w:pPr>
    </w:p>
    <w:p w:rsidR="004E1162" w:rsidRPr="004E1162" w:rsidRDefault="004E1162" w:rsidP="004E1162">
      <w:pPr>
        <w:pStyle w:val="broodtekstbold"/>
        <w:rPr>
          <w:rFonts w:ascii="Verdana" w:hAnsi="Verdana"/>
          <w:b w:val="0"/>
          <w:sz w:val="20"/>
          <w:szCs w:val="20"/>
        </w:rPr>
      </w:pPr>
      <w:r w:rsidRPr="004E1162">
        <w:rPr>
          <w:rFonts w:ascii="Verdana" w:hAnsi="Verdana"/>
          <w:b w:val="0"/>
          <w:sz w:val="20"/>
          <w:szCs w:val="20"/>
        </w:rPr>
        <w:t>бул. Черни връх №1</w:t>
      </w:r>
    </w:p>
    <w:p w:rsidR="004E1162" w:rsidRPr="004E1162" w:rsidRDefault="004E1162" w:rsidP="004E1162">
      <w:pPr>
        <w:pStyle w:val="broodtekstbold"/>
        <w:rPr>
          <w:rFonts w:ascii="Verdana" w:hAnsi="Verdana"/>
          <w:b w:val="0"/>
          <w:sz w:val="20"/>
          <w:szCs w:val="20"/>
        </w:rPr>
      </w:pPr>
      <w:r w:rsidRPr="004E1162">
        <w:rPr>
          <w:rFonts w:ascii="Verdana" w:hAnsi="Verdana"/>
          <w:b w:val="0"/>
          <w:sz w:val="20"/>
          <w:szCs w:val="20"/>
        </w:rPr>
        <w:t xml:space="preserve">1421 София  </w:t>
      </w:r>
    </w:p>
    <w:p w:rsidR="004E1162" w:rsidRPr="004E1162" w:rsidRDefault="004E1162" w:rsidP="004E1162">
      <w:pPr>
        <w:pStyle w:val="broodtekstbold"/>
        <w:rPr>
          <w:rFonts w:ascii="Verdana" w:hAnsi="Verdana"/>
          <w:b w:val="0"/>
          <w:sz w:val="20"/>
          <w:szCs w:val="20"/>
        </w:rPr>
      </w:pPr>
      <w:r w:rsidRPr="004E1162">
        <w:rPr>
          <w:rFonts w:ascii="Verdana" w:hAnsi="Verdana"/>
          <w:b w:val="0"/>
          <w:sz w:val="20"/>
          <w:szCs w:val="20"/>
        </w:rPr>
        <w:t xml:space="preserve">България  </w:t>
      </w:r>
    </w:p>
    <w:p w:rsidR="004E1162" w:rsidRPr="004E1162" w:rsidRDefault="004E1162" w:rsidP="004E1162">
      <w:pPr>
        <w:pStyle w:val="broodtekstbold"/>
        <w:rPr>
          <w:rFonts w:ascii="Verdana" w:hAnsi="Verdana"/>
          <w:b w:val="0"/>
          <w:sz w:val="20"/>
          <w:szCs w:val="20"/>
        </w:rPr>
      </w:pPr>
    </w:p>
    <w:p w:rsidR="004E1162" w:rsidRPr="004E1162" w:rsidRDefault="004E1162" w:rsidP="004E1162">
      <w:pPr>
        <w:pStyle w:val="broodtekstbold"/>
        <w:rPr>
          <w:rFonts w:ascii="Verdana" w:hAnsi="Verdana"/>
          <w:b w:val="0"/>
          <w:sz w:val="20"/>
          <w:szCs w:val="20"/>
        </w:rPr>
      </w:pPr>
      <w:r w:rsidRPr="004E1162">
        <w:rPr>
          <w:rFonts w:ascii="Verdana" w:hAnsi="Verdana"/>
          <w:b w:val="0"/>
          <w:sz w:val="20"/>
          <w:szCs w:val="20"/>
        </w:rPr>
        <w:t xml:space="preserve">T: 02 815 56 80 </w:t>
      </w:r>
    </w:p>
    <w:p w:rsidR="004E1162" w:rsidRPr="004E1162" w:rsidRDefault="004E1162" w:rsidP="004E1162">
      <w:pPr>
        <w:pStyle w:val="broodtekstbold"/>
        <w:rPr>
          <w:rFonts w:ascii="Verdana" w:hAnsi="Verdana"/>
          <w:b w:val="0"/>
          <w:sz w:val="20"/>
          <w:szCs w:val="20"/>
        </w:rPr>
      </w:pPr>
      <w:r w:rsidRPr="004E1162">
        <w:rPr>
          <w:rFonts w:ascii="Verdana" w:hAnsi="Verdana"/>
          <w:b w:val="0"/>
          <w:sz w:val="20"/>
          <w:szCs w:val="20"/>
        </w:rPr>
        <w:t xml:space="preserve">Ф: 02 981 60 32 </w:t>
      </w:r>
    </w:p>
    <w:p w:rsidR="004E1162" w:rsidRPr="004E1162" w:rsidRDefault="004E1162" w:rsidP="004E1162">
      <w:pPr>
        <w:pStyle w:val="broodtekstbold"/>
        <w:rPr>
          <w:rFonts w:ascii="Verdana" w:hAnsi="Verdana"/>
          <w:b w:val="0"/>
          <w:sz w:val="20"/>
          <w:szCs w:val="20"/>
        </w:rPr>
      </w:pPr>
      <w:r w:rsidRPr="004E1162">
        <w:rPr>
          <w:rFonts w:ascii="Verdana" w:hAnsi="Verdana"/>
          <w:b w:val="0"/>
          <w:sz w:val="20"/>
          <w:szCs w:val="20"/>
        </w:rPr>
        <w:t xml:space="preserve">E: ecoryssee@ecorys.com </w:t>
      </w:r>
    </w:p>
    <w:p w:rsidR="00002CEF" w:rsidRDefault="00002CEF" w:rsidP="00554687">
      <w:pPr>
        <w:rPr>
          <w:lang w:val="bg-BG"/>
        </w:rPr>
        <w:sectPr w:rsidR="00002CEF" w:rsidSect="00C826F7">
          <w:pgSz w:w="11907" w:h="16839" w:code="9"/>
          <w:pgMar w:top="2077" w:right="1440" w:bottom="1440" w:left="1440" w:header="720" w:footer="244" w:gutter="0"/>
          <w:cols w:space="720"/>
          <w:docGrid w:linePitch="360"/>
        </w:sectPr>
      </w:pPr>
    </w:p>
    <w:p w:rsidR="00A449A3" w:rsidRPr="00A449A3" w:rsidRDefault="00354F50" w:rsidP="00A449A3">
      <w:pPr>
        <w:pStyle w:val="Heading1"/>
        <w:shd w:val="clear" w:color="auto" w:fill="0063B8"/>
        <w:spacing w:before="120" w:after="40" w:line="276" w:lineRule="auto"/>
        <w:jc w:val="both"/>
        <w:rPr>
          <w:rFonts w:ascii="Verdana" w:eastAsiaTheme="minorEastAsia" w:hAnsi="Verdana" w:cstheme="minorBidi"/>
          <w:b w:val="0"/>
          <w:bCs/>
          <w:caps/>
          <w:noProof/>
          <w:lang w:val="bg-BG" w:eastAsia="bg-BG"/>
        </w:rPr>
      </w:pPr>
      <w:bookmarkStart w:id="9" w:name="_Toc381795642"/>
      <w:bookmarkStart w:id="10" w:name="_Toc381796407"/>
      <w:bookmarkStart w:id="11" w:name="_Toc381868168"/>
      <w:bookmarkStart w:id="12" w:name="_Toc381871073"/>
      <w:bookmarkStart w:id="13" w:name="_Toc381871322"/>
      <w:bookmarkStart w:id="14" w:name="_Toc383087743"/>
      <w:bookmarkStart w:id="15" w:name="_Toc384999049"/>
      <w:bookmarkStart w:id="16" w:name="_Toc385350210"/>
      <w:bookmarkStart w:id="17" w:name="_Toc387936218"/>
      <w:bookmarkStart w:id="18" w:name="_Toc388365211"/>
      <w:bookmarkStart w:id="19" w:name="_Toc390256992"/>
      <w:bookmarkStart w:id="20" w:name="_Toc390262428"/>
      <w:bookmarkStart w:id="21" w:name="_Toc395612502"/>
      <w:r w:rsidRPr="00B45B4F">
        <w:rPr>
          <w:rFonts w:ascii="Verdana" w:hAnsi="Verdana"/>
          <w:b w:val="0"/>
          <w:caps/>
          <w:color w:val="FFFFFF"/>
          <w:lang w:val="bg-BG"/>
        </w:rPr>
        <w:lastRenderedPageBreak/>
        <w:t>СЪДЪРЖАНИЕ</w:t>
      </w:r>
      <w:bookmarkEnd w:id="0"/>
      <w:bookmarkEnd w:id="9"/>
      <w:bookmarkEnd w:id="10"/>
      <w:bookmarkEnd w:id="11"/>
      <w:bookmarkEnd w:id="12"/>
      <w:bookmarkEnd w:id="13"/>
      <w:bookmarkEnd w:id="14"/>
      <w:bookmarkEnd w:id="15"/>
      <w:bookmarkEnd w:id="16"/>
      <w:bookmarkEnd w:id="17"/>
      <w:bookmarkEnd w:id="18"/>
      <w:bookmarkEnd w:id="19"/>
      <w:bookmarkEnd w:id="20"/>
      <w:bookmarkEnd w:id="21"/>
      <w:r w:rsidR="00BF1936" w:rsidRPr="00A449A3">
        <w:rPr>
          <w:rFonts w:ascii="Verdana" w:hAnsi="Verdana"/>
          <w:b w:val="0"/>
          <w:caps/>
          <w:color w:val="FFFFFF"/>
          <w:sz w:val="20"/>
          <w:lang w:val="bg-BG"/>
        </w:rPr>
        <w:fldChar w:fldCharType="begin"/>
      </w:r>
      <w:r w:rsidR="002F5309" w:rsidRPr="00A449A3">
        <w:rPr>
          <w:rFonts w:ascii="Verdana" w:hAnsi="Verdana"/>
          <w:b w:val="0"/>
          <w:caps/>
          <w:color w:val="FFFFFF"/>
          <w:sz w:val="20"/>
          <w:lang w:val="bg-BG"/>
        </w:rPr>
        <w:instrText xml:space="preserve"> TOC \o "1-3" \h \z \u </w:instrText>
      </w:r>
      <w:r w:rsidR="00BF1936" w:rsidRPr="00A449A3">
        <w:rPr>
          <w:rFonts w:ascii="Verdana" w:hAnsi="Verdana"/>
          <w:b w:val="0"/>
          <w:caps/>
          <w:color w:val="FFFFFF"/>
          <w:sz w:val="20"/>
          <w:lang w:val="bg-BG"/>
        </w:rPr>
        <w:fldChar w:fldCharType="separate"/>
      </w:r>
    </w:p>
    <w:p w:rsidR="00A449A3" w:rsidRPr="00A449A3" w:rsidRDefault="00A449A3" w:rsidP="00A449A3">
      <w:pPr>
        <w:pStyle w:val="TOC1"/>
        <w:rPr>
          <w:rFonts w:ascii="Verdana" w:eastAsiaTheme="minorEastAsia" w:hAnsi="Verdana" w:cstheme="minorBidi"/>
          <w:b w:val="0"/>
          <w:bCs w:val="0"/>
          <w:caps w:val="0"/>
          <w:noProof/>
          <w:color w:val="auto"/>
          <w:lang w:val="bg-BG" w:eastAsia="bg-BG"/>
        </w:rPr>
      </w:pPr>
    </w:p>
    <w:p w:rsidR="00A449A3" w:rsidRPr="00A449A3" w:rsidRDefault="00A449A3" w:rsidP="00A449A3">
      <w:pPr>
        <w:pStyle w:val="TOC1"/>
        <w:spacing w:after="40"/>
        <w:rPr>
          <w:rFonts w:ascii="Verdana" w:eastAsiaTheme="minorEastAsia" w:hAnsi="Verdana" w:cstheme="minorBidi"/>
          <w:b w:val="0"/>
          <w:bCs w:val="0"/>
          <w:caps w:val="0"/>
          <w:noProof/>
          <w:color w:val="auto"/>
          <w:lang w:val="bg-BG" w:eastAsia="bg-BG"/>
        </w:rPr>
      </w:pPr>
      <w:hyperlink w:anchor="_Toc395612503" w:history="1">
        <w:r w:rsidRPr="00A449A3">
          <w:rPr>
            <w:rStyle w:val="Hyperlink"/>
            <w:rFonts w:ascii="Verdana" w:hAnsi="Verdana"/>
            <w:b w:val="0"/>
            <w:noProof/>
            <w:lang w:val="bg-BG"/>
          </w:rPr>
          <w:t>Списък на използваните съкращения</w:t>
        </w:r>
        <w:r w:rsidRPr="00A449A3">
          <w:rPr>
            <w:rFonts w:ascii="Verdana" w:hAnsi="Verdana"/>
            <w:b w:val="0"/>
            <w:noProof/>
            <w:webHidden/>
          </w:rPr>
          <w:tab/>
        </w:r>
        <w:r w:rsidRPr="00A449A3">
          <w:rPr>
            <w:rFonts w:ascii="Verdana" w:hAnsi="Verdana"/>
            <w:b w:val="0"/>
            <w:noProof/>
            <w:webHidden/>
          </w:rPr>
          <w:fldChar w:fldCharType="begin"/>
        </w:r>
        <w:r w:rsidRPr="00A449A3">
          <w:rPr>
            <w:rFonts w:ascii="Verdana" w:hAnsi="Verdana"/>
            <w:b w:val="0"/>
            <w:noProof/>
            <w:webHidden/>
          </w:rPr>
          <w:instrText xml:space="preserve"> PAGEREF _Toc395612503 \h </w:instrText>
        </w:r>
        <w:r w:rsidRPr="00A449A3">
          <w:rPr>
            <w:rFonts w:ascii="Verdana" w:hAnsi="Verdana"/>
            <w:b w:val="0"/>
            <w:noProof/>
            <w:webHidden/>
          </w:rPr>
        </w:r>
        <w:r w:rsidRPr="00A449A3">
          <w:rPr>
            <w:rFonts w:ascii="Verdana" w:hAnsi="Verdana"/>
            <w:b w:val="0"/>
            <w:noProof/>
            <w:webHidden/>
          </w:rPr>
          <w:fldChar w:fldCharType="separate"/>
        </w:r>
        <w:r w:rsidR="001361E0">
          <w:rPr>
            <w:rFonts w:ascii="Verdana" w:hAnsi="Verdana"/>
            <w:b w:val="0"/>
            <w:noProof/>
            <w:webHidden/>
          </w:rPr>
          <w:t>4</w:t>
        </w:r>
        <w:r w:rsidRPr="00A449A3">
          <w:rPr>
            <w:rFonts w:ascii="Verdana" w:hAnsi="Verdana"/>
            <w:b w:val="0"/>
            <w:noProof/>
            <w:webHidden/>
          </w:rPr>
          <w:fldChar w:fldCharType="end"/>
        </w:r>
      </w:hyperlink>
    </w:p>
    <w:p w:rsidR="00A449A3" w:rsidRPr="00A449A3" w:rsidRDefault="00A449A3" w:rsidP="00A449A3">
      <w:pPr>
        <w:pStyle w:val="TOC1"/>
        <w:spacing w:after="40"/>
        <w:rPr>
          <w:rFonts w:ascii="Verdana" w:eastAsiaTheme="minorEastAsia" w:hAnsi="Verdana" w:cstheme="minorBidi"/>
          <w:b w:val="0"/>
          <w:bCs w:val="0"/>
          <w:caps w:val="0"/>
          <w:noProof/>
          <w:color w:val="auto"/>
          <w:lang w:val="bg-BG" w:eastAsia="bg-BG"/>
        </w:rPr>
      </w:pPr>
      <w:hyperlink w:anchor="_Toc395612504" w:history="1">
        <w:r w:rsidRPr="00A449A3">
          <w:rPr>
            <w:rStyle w:val="Hyperlink"/>
            <w:rFonts w:ascii="Verdana" w:hAnsi="Verdana"/>
            <w:b w:val="0"/>
            <w:noProof/>
            <w:lang w:val="bg-BG"/>
          </w:rPr>
          <w:t>Списък на таблиците</w:t>
        </w:r>
        <w:r w:rsidRPr="00A449A3">
          <w:rPr>
            <w:rFonts w:ascii="Verdana" w:hAnsi="Verdana"/>
            <w:b w:val="0"/>
            <w:noProof/>
            <w:webHidden/>
          </w:rPr>
          <w:tab/>
        </w:r>
        <w:r w:rsidRPr="00A449A3">
          <w:rPr>
            <w:rFonts w:ascii="Verdana" w:hAnsi="Verdana"/>
            <w:b w:val="0"/>
            <w:noProof/>
            <w:webHidden/>
          </w:rPr>
          <w:fldChar w:fldCharType="begin"/>
        </w:r>
        <w:r w:rsidRPr="00A449A3">
          <w:rPr>
            <w:rFonts w:ascii="Verdana" w:hAnsi="Verdana"/>
            <w:b w:val="0"/>
            <w:noProof/>
            <w:webHidden/>
          </w:rPr>
          <w:instrText xml:space="preserve"> PAGEREF _Toc395612504 \h </w:instrText>
        </w:r>
        <w:r w:rsidRPr="00A449A3">
          <w:rPr>
            <w:rFonts w:ascii="Verdana" w:hAnsi="Verdana"/>
            <w:b w:val="0"/>
            <w:noProof/>
            <w:webHidden/>
          </w:rPr>
        </w:r>
        <w:r w:rsidRPr="00A449A3">
          <w:rPr>
            <w:rFonts w:ascii="Verdana" w:hAnsi="Verdana"/>
            <w:b w:val="0"/>
            <w:noProof/>
            <w:webHidden/>
          </w:rPr>
          <w:fldChar w:fldCharType="separate"/>
        </w:r>
        <w:r w:rsidR="001361E0">
          <w:rPr>
            <w:rFonts w:ascii="Verdana" w:hAnsi="Verdana"/>
            <w:b w:val="0"/>
            <w:noProof/>
            <w:webHidden/>
          </w:rPr>
          <w:t>6</w:t>
        </w:r>
        <w:r w:rsidRPr="00A449A3">
          <w:rPr>
            <w:rFonts w:ascii="Verdana" w:hAnsi="Verdana"/>
            <w:b w:val="0"/>
            <w:noProof/>
            <w:webHidden/>
          </w:rPr>
          <w:fldChar w:fldCharType="end"/>
        </w:r>
      </w:hyperlink>
    </w:p>
    <w:p w:rsidR="00A449A3" w:rsidRPr="00A449A3" w:rsidRDefault="00A449A3" w:rsidP="00A449A3">
      <w:pPr>
        <w:pStyle w:val="TOC1"/>
        <w:spacing w:after="40"/>
        <w:rPr>
          <w:rFonts w:ascii="Verdana" w:eastAsiaTheme="minorEastAsia" w:hAnsi="Verdana" w:cstheme="minorBidi"/>
          <w:b w:val="0"/>
          <w:bCs w:val="0"/>
          <w:caps w:val="0"/>
          <w:noProof/>
          <w:color w:val="auto"/>
          <w:lang w:val="bg-BG" w:eastAsia="bg-BG"/>
        </w:rPr>
      </w:pPr>
      <w:hyperlink w:anchor="_Toc395612505" w:history="1">
        <w:r w:rsidRPr="00A449A3">
          <w:rPr>
            <w:rStyle w:val="Hyperlink"/>
            <w:rFonts w:ascii="Verdana" w:hAnsi="Verdana"/>
            <w:b w:val="0"/>
            <w:noProof/>
            <w:lang w:val="bg-BG"/>
          </w:rPr>
          <w:t>Списък на фигурите</w:t>
        </w:r>
        <w:r w:rsidRPr="00A449A3">
          <w:rPr>
            <w:rFonts w:ascii="Verdana" w:hAnsi="Verdana"/>
            <w:b w:val="0"/>
            <w:noProof/>
            <w:webHidden/>
          </w:rPr>
          <w:tab/>
        </w:r>
        <w:r w:rsidRPr="00A449A3">
          <w:rPr>
            <w:rFonts w:ascii="Verdana" w:hAnsi="Verdana"/>
            <w:b w:val="0"/>
            <w:noProof/>
            <w:webHidden/>
          </w:rPr>
          <w:fldChar w:fldCharType="begin"/>
        </w:r>
        <w:r w:rsidRPr="00A449A3">
          <w:rPr>
            <w:rFonts w:ascii="Verdana" w:hAnsi="Verdana"/>
            <w:b w:val="0"/>
            <w:noProof/>
            <w:webHidden/>
          </w:rPr>
          <w:instrText xml:space="preserve"> PAGEREF _Toc395612505 \h </w:instrText>
        </w:r>
        <w:r w:rsidRPr="00A449A3">
          <w:rPr>
            <w:rFonts w:ascii="Verdana" w:hAnsi="Verdana"/>
            <w:b w:val="0"/>
            <w:noProof/>
            <w:webHidden/>
          </w:rPr>
        </w:r>
        <w:r w:rsidRPr="00A449A3">
          <w:rPr>
            <w:rFonts w:ascii="Verdana" w:hAnsi="Verdana"/>
            <w:b w:val="0"/>
            <w:noProof/>
            <w:webHidden/>
          </w:rPr>
          <w:fldChar w:fldCharType="separate"/>
        </w:r>
        <w:r w:rsidR="001361E0">
          <w:rPr>
            <w:rFonts w:ascii="Verdana" w:hAnsi="Verdana"/>
            <w:b w:val="0"/>
            <w:noProof/>
            <w:webHidden/>
          </w:rPr>
          <w:t>8</w:t>
        </w:r>
        <w:r w:rsidRPr="00A449A3">
          <w:rPr>
            <w:rFonts w:ascii="Verdana" w:hAnsi="Verdana"/>
            <w:b w:val="0"/>
            <w:noProof/>
            <w:webHidden/>
          </w:rPr>
          <w:fldChar w:fldCharType="end"/>
        </w:r>
      </w:hyperlink>
    </w:p>
    <w:p w:rsidR="00A449A3" w:rsidRPr="00A449A3" w:rsidRDefault="00A449A3" w:rsidP="00A449A3">
      <w:pPr>
        <w:pStyle w:val="TOC1"/>
        <w:spacing w:after="40"/>
        <w:rPr>
          <w:rFonts w:ascii="Verdana" w:eastAsiaTheme="minorEastAsia" w:hAnsi="Verdana" w:cstheme="minorBidi"/>
          <w:b w:val="0"/>
          <w:bCs w:val="0"/>
          <w:caps w:val="0"/>
          <w:noProof/>
          <w:color w:val="auto"/>
          <w:lang w:val="bg-BG" w:eastAsia="bg-BG"/>
        </w:rPr>
      </w:pPr>
      <w:hyperlink w:anchor="_Toc395612506" w:history="1">
        <w:r w:rsidRPr="00A449A3">
          <w:rPr>
            <w:rStyle w:val="Hyperlink"/>
            <w:rFonts w:ascii="Verdana" w:hAnsi="Verdana"/>
            <w:b w:val="0"/>
            <w:noProof/>
            <w:lang w:val="bg-BG"/>
          </w:rPr>
          <w:t>Резюме</w:t>
        </w:r>
        <w:r w:rsidRPr="00A449A3">
          <w:rPr>
            <w:rFonts w:ascii="Verdana" w:hAnsi="Verdana"/>
            <w:b w:val="0"/>
            <w:noProof/>
            <w:webHidden/>
          </w:rPr>
          <w:tab/>
        </w:r>
        <w:r w:rsidRPr="00A449A3">
          <w:rPr>
            <w:rFonts w:ascii="Verdana" w:hAnsi="Verdana"/>
            <w:b w:val="0"/>
            <w:noProof/>
            <w:webHidden/>
          </w:rPr>
          <w:fldChar w:fldCharType="begin"/>
        </w:r>
        <w:r w:rsidRPr="00A449A3">
          <w:rPr>
            <w:rFonts w:ascii="Verdana" w:hAnsi="Verdana"/>
            <w:b w:val="0"/>
            <w:noProof/>
            <w:webHidden/>
          </w:rPr>
          <w:instrText xml:space="preserve"> PAGEREF _Toc395612506 \h </w:instrText>
        </w:r>
        <w:r w:rsidRPr="00A449A3">
          <w:rPr>
            <w:rFonts w:ascii="Verdana" w:hAnsi="Verdana"/>
            <w:b w:val="0"/>
            <w:noProof/>
            <w:webHidden/>
          </w:rPr>
        </w:r>
        <w:r w:rsidRPr="00A449A3">
          <w:rPr>
            <w:rFonts w:ascii="Verdana" w:hAnsi="Verdana"/>
            <w:b w:val="0"/>
            <w:noProof/>
            <w:webHidden/>
          </w:rPr>
          <w:fldChar w:fldCharType="separate"/>
        </w:r>
        <w:r w:rsidR="001361E0">
          <w:rPr>
            <w:rFonts w:ascii="Verdana" w:hAnsi="Verdana"/>
            <w:b w:val="0"/>
            <w:noProof/>
            <w:webHidden/>
          </w:rPr>
          <w:t>9</w:t>
        </w:r>
        <w:r w:rsidRPr="00A449A3">
          <w:rPr>
            <w:rFonts w:ascii="Verdana" w:hAnsi="Verdana"/>
            <w:b w:val="0"/>
            <w:noProof/>
            <w:webHidden/>
          </w:rPr>
          <w:fldChar w:fldCharType="end"/>
        </w:r>
      </w:hyperlink>
    </w:p>
    <w:p w:rsidR="00A449A3" w:rsidRPr="00A449A3" w:rsidRDefault="00A449A3" w:rsidP="00A449A3">
      <w:pPr>
        <w:pStyle w:val="TOC1"/>
        <w:spacing w:after="40"/>
        <w:rPr>
          <w:rFonts w:ascii="Verdana" w:eastAsiaTheme="minorEastAsia" w:hAnsi="Verdana" w:cstheme="minorBidi"/>
          <w:b w:val="0"/>
          <w:bCs w:val="0"/>
          <w:caps w:val="0"/>
          <w:noProof/>
          <w:color w:val="auto"/>
          <w:lang w:val="bg-BG" w:eastAsia="bg-BG"/>
        </w:rPr>
      </w:pPr>
      <w:hyperlink w:anchor="_Toc395612507" w:history="1">
        <w:r w:rsidRPr="00A449A3">
          <w:rPr>
            <w:rStyle w:val="Hyperlink"/>
            <w:rFonts w:ascii="Verdana" w:hAnsi="Verdana"/>
            <w:b w:val="0"/>
            <w:noProof/>
            <w:lang w:val="bg-BG"/>
          </w:rPr>
          <w:t>I.</w:t>
        </w:r>
        <w:r w:rsidRPr="00A449A3">
          <w:rPr>
            <w:rFonts w:ascii="Verdana" w:eastAsiaTheme="minorEastAsia" w:hAnsi="Verdana" w:cstheme="minorBidi"/>
            <w:b w:val="0"/>
            <w:bCs w:val="0"/>
            <w:caps w:val="0"/>
            <w:noProof/>
            <w:color w:val="auto"/>
            <w:lang w:val="bg-BG" w:eastAsia="bg-BG"/>
          </w:rPr>
          <w:tab/>
        </w:r>
        <w:r w:rsidRPr="00A449A3">
          <w:rPr>
            <w:rStyle w:val="Hyperlink"/>
            <w:rFonts w:ascii="Verdana" w:hAnsi="Verdana"/>
            <w:b w:val="0"/>
            <w:noProof/>
            <w:lang w:val="bg-BG"/>
          </w:rPr>
          <w:t>Въведение</w:t>
        </w:r>
        <w:r w:rsidRPr="00A449A3">
          <w:rPr>
            <w:rFonts w:ascii="Verdana" w:hAnsi="Verdana"/>
            <w:b w:val="0"/>
            <w:noProof/>
            <w:webHidden/>
          </w:rPr>
          <w:tab/>
        </w:r>
        <w:r w:rsidRPr="00A449A3">
          <w:rPr>
            <w:rFonts w:ascii="Verdana" w:hAnsi="Verdana"/>
            <w:b w:val="0"/>
            <w:noProof/>
            <w:webHidden/>
          </w:rPr>
          <w:fldChar w:fldCharType="begin"/>
        </w:r>
        <w:r w:rsidRPr="00A449A3">
          <w:rPr>
            <w:rFonts w:ascii="Verdana" w:hAnsi="Verdana"/>
            <w:b w:val="0"/>
            <w:noProof/>
            <w:webHidden/>
          </w:rPr>
          <w:instrText xml:space="preserve"> PAGEREF _Toc395612507 \h </w:instrText>
        </w:r>
        <w:r w:rsidRPr="00A449A3">
          <w:rPr>
            <w:rFonts w:ascii="Verdana" w:hAnsi="Verdana"/>
            <w:b w:val="0"/>
            <w:noProof/>
            <w:webHidden/>
          </w:rPr>
        </w:r>
        <w:r w:rsidRPr="00A449A3">
          <w:rPr>
            <w:rFonts w:ascii="Verdana" w:hAnsi="Verdana"/>
            <w:b w:val="0"/>
            <w:noProof/>
            <w:webHidden/>
          </w:rPr>
          <w:fldChar w:fldCharType="separate"/>
        </w:r>
        <w:r w:rsidR="001361E0">
          <w:rPr>
            <w:rFonts w:ascii="Verdana" w:hAnsi="Verdana"/>
            <w:b w:val="0"/>
            <w:noProof/>
            <w:webHidden/>
          </w:rPr>
          <w:t>23</w:t>
        </w:r>
        <w:r w:rsidRPr="00A449A3">
          <w:rPr>
            <w:rFonts w:ascii="Verdana" w:hAnsi="Verdana"/>
            <w:b w:val="0"/>
            <w:noProof/>
            <w:webHidden/>
          </w:rPr>
          <w:fldChar w:fldCharType="end"/>
        </w:r>
      </w:hyperlink>
    </w:p>
    <w:p w:rsidR="00A449A3" w:rsidRPr="00A449A3" w:rsidRDefault="00A449A3" w:rsidP="00A449A3">
      <w:pPr>
        <w:pStyle w:val="TOC1"/>
        <w:spacing w:after="40"/>
        <w:rPr>
          <w:rFonts w:ascii="Verdana" w:eastAsiaTheme="minorEastAsia" w:hAnsi="Verdana" w:cstheme="minorBidi"/>
          <w:b w:val="0"/>
          <w:bCs w:val="0"/>
          <w:caps w:val="0"/>
          <w:noProof/>
          <w:color w:val="auto"/>
          <w:lang w:val="bg-BG" w:eastAsia="bg-BG"/>
        </w:rPr>
      </w:pPr>
      <w:hyperlink w:anchor="_Toc395612508" w:history="1">
        <w:r w:rsidRPr="00A449A3">
          <w:rPr>
            <w:rStyle w:val="Hyperlink"/>
            <w:rFonts w:ascii="Verdana" w:hAnsi="Verdana"/>
            <w:b w:val="0"/>
            <w:noProof/>
            <w:lang w:val="bg-BG"/>
          </w:rPr>
          <w:t>I</w:t>
        </w:r>
        <w:r w:rsidRPr="00A449A3">
          <w:rPr>
            <w:rStyle w:val="Hyperlink"/>
            <w:rFonts w:ascii="Verdana" w:hAnsi="Verdana"/>
            <w:b w:val="0"/>
            <w:noProof/>
            <w:lang w:val="en-US"/>
          </w:rPr>
          <w:t>I</w:t>
        </w:r>
        <w:r w:rsidRPr="00A449A3">
          <w:rPr>
            <w:rStyle w:val="Hyperlink"/>
            <w:rFonts w:ascii="Verdana" w:hAnsi="Verdana"/>
            <w:b w:val="0"/>
            <w:noProof/>
            <w:lang w:val="bg-BG"/>
          </w:rPr>
          <w:t>.</w:t>
        </w:r>
        <w:r w:rsidRPr="00A449A3">
          <w:rPr>
            <w:rFonts w:ascii="Verdana" w:eastAsiaTheme="minorEastAsia" w:hAnsi="Verdana" w:cstheme="minorBidi"/>
            <w:b w:val="0"/>
            <w:bCs w:val="0"/>
            <w:caps w:val="0"/>
            <w:noProof/>
            <w:color w:val="auto"/>
            <w:lang w:val="bg-BG" w:eastAsia="bg-BG"/>
          </w:rPr>
          <w:tab/>
        </w:r>
        <w:r w:rsidRPr="00A449A3">
          <w:rPr>
            <w:rStyle w:val="Hyperlink"/>
            <w:rFonts w:ascii="Verdana" w:hAnsi="Verdana"/>
            <w:b w:val="0"/>
            <w:noProof/>
            <w:lang w:val="bg-BG"/>
          </w:rPr>
          <w:t>Цели и обхват на оценката</w:t>
        </w:r>
        <w:r w:rsidRPr="00A449A3">
          <w:rPr>
            <w:rFonts w:ascii="Verdana" w:hAnsi="Verdana"/>
            <w:b w:val="0"/>
            <w:noProof/>
            <w:webHidden/>
          </w:rPr>
          <w:tab/>
        </w:r>
        <w:r w:rsidRPr="00A449A3">
          <w:rPr>
            <w:rFonts w:ascii="Verdana" w:hAnsi="Verdana"/>
            <w:b w:val="0"/>
            <w:noProof/>
            <w:webHidden/>
          </w:rPr>
          <w:fldChar w:fldCharType="begin"/>
        </w:r>
        <w:r w:rsidRPr="00A449A3">
          <w:rPr>
            <w:rFonts w:ascii="Verdana" w:hAnsi="Verdana"/>
            <w:b w:val="0"/>
            <w:noProof/>
            <w:webHidden/>
          </w:rPr>
          <w:instrText xml:space="preserve"> PAGEREF _Toc395612508 \h </w:instrText>
        </w:r>
        <w:r w:rsidRPr="00A449A3">
          <w:rPr>
            <w:rFonts w:ascii="Verdana" w:hAnsi="Verdana"/>
            <w:b w:val="0"/>
            <w:noProof/>
            <w:webHidden/>
          </w:rPr>
        </w:r>
        <w:r w:rsidRPr="00A449A3">
          <w:rPr>
            <w:rFonts w:ascii="Verdana" w:hAnsi="Verdana"/>
            <w:b w:val="0"/>
            <w:noProof/>
            <w:webHidden/>
          </w:rPr>
          <w:fldChar w:fldCharType="separate"/>
        </w:r>
        <w:r w:rsidR="001361E0">
          <w:rPr>
            <w:rFonts w:ascii="Verdana" w:hAnsi="Verdana"/>
            <w:b w:val="0"/>
            <w:noProof/>
            <w:webHidden/>
          </w:rPr>
          <w:t>24</w:t>
        </w:r>
        <w:r w:rsidRPr="00A449A3">
          <w:rPr>
            <w:rFonts w:ascii="Verdana" w:hAnsi="Verdana"/>
            <w:b w:val="0"/>
            <w:noProof/>
            <w:webHidden/>
          </w:rPr>
          <w:fldChar w:fldCharType="end"/>
        </w:r>
      </w:hyperlink>
    </w:p>
    <w:p w:rsidR="00A449A3" w:rsidRPr="00A449A3" w:rsidRDefault="00A449A3" w:rsidP="00A449A3">
      <w:pPr>
        <w:pStyle w:val="TOC2"/>
        <w:tabs>
          <w:tab w:val="left" w:pos="440"/>
        </w:tabs>
        <w:spacing w:after="40"/>
        <w:rPr>
          <w:rFonts w:eastAsiaTheme="minorEastAsia" w:cstheme="minorBidi"/>
          <w:b w:val="0"/>
          <w:iCs w:val="0"/>
          <w:sz w:val="20"/>
          <w:szCs w:val="20"/>
          <w:lang w:eastAsia="bg-BG"/>
        </w:rPr>
      </w:pPr>
      <w:hyperlink w:anchor="_Toc395612509" w:history="1">
        <w:r w:rsidRPr="00A449A3">
          <w:rPr>
            <w:rStyle w:val="Hyperlink"/>
            <w:b w:val="0"/>
            <w:sz w:val="20"/>
            <w:szCs w:val="20"/>
          </w:rPr>
          <w:t>1.</w:t>
        </w:r>
        <w:r w:rsidRPr="00A449A3">
          <w:rPr>
            <w:rFonts w:eastAsiaTheme="minorEastAsia" w:cstheme="minorBidi"/>
            <w:b w:val="0"/>
            <w:iCs w:val="0"/>
            <w:sz w:val="20"/>
            <w:szCs w:val="20"/>
            <w:lang w:eastAsia="bg-BG"/>
          </w:rPr>
          <w:tab/>
        </w:r>
        <w:r w:rsidRPr="00A449A3">
          <w:rPr>
            <w:rStyle w:val="Hyperlink"/>
            <w:b w:val="0"/>
            <w:sz w:val="20"/>
            <w:szCs w:val="20"/>
          </w:rPr>
          <w:t>Цели на оценката</w:t>
        </w:r>
        <w:r w:rsidRPr="00A449A3">
          <w:rPr>
            <w:b w:val="0"/>
            <w:webHidden/>
            <w:sz w:val="20"/>
            <w:szCs w:val="20"/>
          </w:rPr>
          <w:tab/>
        </w:r>
        <w:r w:rsidRPr="00A449A3">
          <w:rPr>
            <w:b w:val="0"/>
            <w:webHidden/>
            <w:sz w:val="20"/>
            <w:szCs w:val="20"/>
          </w:rPr>
          <w:fldChar w:fldCharType="begin"/>
        </w:r>
        <w:r w:rsidRPr="00A449A3">
          <w:rPr>
            <w:b w:val="0"/>
            <w:webHidden/>
            <w:sz w:val="20"/>
            <w:szCs w:val="20"/>
          </w:rPr>
          <w:instrText xml:space="preserve"> PAGEREF _Toc395612509 \h </w:instrText>
        </w:r>
        <w:r w:rsidRPr="00A449A3">
          <w:rPr>
            <w:b w:val="0"/>
            <w:webHidden/>
            <w:sz w:val="20"/>
            <w:szCs w:val="20"/>
          </w:rPr>
        </w:r>
        <w:r w:rsidRPr="00A449A3">
          <w:rPr>
            <w:b w:val="0"/>
            <w:webHidden/>
            <w:sz w:val="20"/>
            <w:szCs w:val="20"/>
          </w:rPr>
          <w:fldChar w:fldCharType="separate"/>
        </w:r>
        <w:r w:rsidR="001361E0">
          <w:rPr>
            <w:b w:val="0"/>
            <w:webHidden/>
            <w:sz w:val="20"/>
            <w:szCs w:val="20"/>
          </w:rPr>
          <w:t>24</w:t>
        </w:r>
        <w:r w:rsidRPr="00A449A3">
          <w:rPr>
            <w:b w:val="0"/>
            <w:webHidden/>
            <w:sz w:val="20"/>
            <w:szCs w:val="20"/>
          </w:rPr>
          <w:fldChar w:fldCharType="end"/>
        </w:r>
      </w:hyperlink>
    </w:p>
    <w:p w:rsidR="00A449A3" w:rsidRPr="00A449A3" w:rsidRDefault="00A449A3" w:rsidP="00A449A3">
      <w:pPr>
        <w:pStyle w:val="TOC2"/>
        <w:tabs>
          <w:tab w:val="left" w:pos="440"/>
        </w:tabs>
        <w:spacing w:after="40"/>
        <w:rPr>
          <w:rFonts w:eastAsiaTheme="minorEastAsia" w:cstheme="minorBidi"/>
          <w:b w:val="0"/>
          <w:iCs w:val="0"/>
          <w:sz w:val="20"/>
          <w:szCs w:val="20"/>
          <w:lang w:eastAsia="bg-BG"/>
        </w:rPr>
      </w:pPr>
      <w:hyperlink w:anchor="_Toc395612510" w:history="1">
        <w:r w:rsidRPr="00A449A3">
          <w:rPr>
            <w:rStyle w:val="Hyperlink"/>
            <w:b w:val="0"/>
            <w:sz w:val="20"/>
            <w:szCs w:val="20"/>
          </w:rPr>
          <w:t>2.</w:t>
        </w:r>
        <w:r w:rsidRPr="00A449A3">
          <w:rPr>
            <w:rFonts w:eastAsiaTheme="minorEastAsia" w:cstheme="minorBidi"/>
            <w:b w:val="0"/>
            <w:iCs w:val="0"/>
            <w:sz w:val="20"/>
            <w:szCs w:val="20"/>
            <w:lang w:eastAsia="bg-BG"/>
          </w:rPr>
          <w:tab/>
        </w:r>
        <w:r w:rsidRPr="00A449A3">
          <w:rPr>
            <w:rStyle w:val="Hyperlink"/>
            <w:b w:val="0"/>
            <w:sz w:val="20"/>
            <w:szCs w:val="20"/>
          </w:rPr>
          <w:t>Обхват на оценката и ключови въпроси</w:t>
        </w:r>
        <w:r w:rsidRPr="00A449A3">
          <w:rPr>
            <w:b w:val="0"/>
            <w:webHidden/>
            <w:sz w:val="20"/>
            <w:szCs w:val="20"/>
          </w:rPr>
          <w:tab/>
        </w:r>
        <w:r w:rsidRPr="00A449A3">
          <w:rPr>
            <w:b w:val="0"/>
            <w:webHidden/>
            <w:sz w:val="20"/>
            <w:szCs w:val="20"/>
          </w:rPr>
          <w:fldChar w:fldCharType="begin"/>
        </w:r>
        <w:r w:rsidRPr="00A449A3">
          <w:rPr>
            <w:b w:val="0"/>
            <w:webHidden/>
            <w:sz w:val="20"/>
            <w:szCs w:val="20"/>
          </w:rPr>
          <w:instrText xml:space="preserve"> PAGEREF _Toc395612510 \h </w:instrText>
        </w:r>
        <w:r w:rsidRPr="00A449A3">
          <w:rPr>
            <w:b w:val="0"/>
            <w:webHidden/>
            <w:sz w:val="20"/>
            <w:szCs w:val="20"/>
          </w:rPr>
        </w:r>
        <w:r w:rsidRPr="00A449A3">
          <w:rPr>
            <w:b w:val="0"/>
            <w:webHidden/>
            <w:sz w:val="20"/>
            <w:szCs w:val="20"/>
          </w:rPr>
          <w:fldChar w:fldCharType="separate"/>
        </w:r>
        <w:r w:rsidR="001361E0">
          <w:rPr>
            <w:b w:val="0"/>
            <w:webHidden/>
            <w:sz w:val="20"/>
            <w:szCs w:val="20"/>
          </w:rPr>
          <w:t>24</w:t>
        </w:r>
        <w:r w:rsidRPr="00A449A3">
          <w:rPr>
            <w:b w:val="0"/>
            <w:webHidden/>
            <w:sz w:val="20"/>
            <w:szCs w:val="20"/>
          </w:rPr>
          <w:fldChar w:fldCharType="end"/>
        </w:r>
      </w:hyperlink>
    </w:p>
    <w:p w:rsidR="00A449A3" w:rsidRPr="00A449A3" w:rsidRDefault="00A449A3" w:rsidP="00A449A3">
      <w:pPr>
        <w:pStyle w:val="TOC1"/>
        <w:spacing w:after="40"/>
        <w:rPr>
          <w:rFonts w:ascii="Verdana" w:eastAsiaTheme="minorEastAsia" w:hAnsi="Verdana" w:cstheme="minorBidi"/>
          <w:b w:val="0"/>
          <w:bCs w:val="0"/>
          <w:caps w:val="0"/>
          <w:noProof/>
          <w:color w:val="auto"/>
          <w:lang w:val="bg-BG" w:eastAsia="bg-BG"/>
        </w:rPr>
      </w:pPr>
      <w:hyperlink w:anchor="_Toc395612511" w:history="1">
        <w:r w:rsidRPr="00A449A3">
          <w:rPr>
            <w:rStyle w:val="Hyperlink"/>
            <w:rFonts w:ascii="Verdana" w:hAnsi="Verdana"/>
            <w:b w:val="0"/>
            <w:noProof/>
            <w:lang w:val="bg-BG"/>
          </w:rPr>
          <w:t>I</w:t>
        </w:r>
        <w:r w:rsidRPr="00A449A3">
          <w:rPr>
            <w:rStyle w:val="Hyperlink"/>
            <w:rFonts w:ascii="Verdana" w:hAnsi="Verdana"/>
            <w:b w:val="0"/>
            <w:noProof/>
            <w:lang w:val="en-US"/>
          </w:rPr>
          <w:t>II</w:t>
        </w:r>
        <w:r w:rsidRPr="00A449A3">
          <w:rPr>
            <w:rStyle w:val="Hyperlink"/>
            <w:rFonts w:ascii="Verdana" w:hAnsi="Verdana"/>
            <w:b w:val="0"/>
            <w:noProof/>
            <w:lang w:val="bg-BG"/>
          </w:rPr>
          <w:t>.</w:t>
        </w:r>
        <w:r w:rsidRPr="00A449A3">
          <w:rPr>
            <w:rFonts w:ascii="Verdana" w:eastAsiaTheme="minorEastAsia" w:hAnsi="Verdana" w:cstheme="minorBidi"/>
            <w:b w:val="0"/>
            <w:bCs w:val="0"/>
            <w:caps w:val="0"/>
            <w:noProof/>
            <w:color w:val="auto"/>
            <w:lang w:val="bg-BG" w:eastAsia="bg-BG"/>
          </w:rPr>
          <w:tab/>
        </w:r>
        <w:r w:rsidRPr="00A449A3">
          <w:rPr>
            <w:rStyle w:val="Hyperlink"/>
            <w:rFonts w:ascii="Verdana" w:hAnsi="Verdana"/>
            <w:b w:val="0"/>
            <w:noProof/>
            <w:lang w:val="bg-BG"/>
          </w:rPr>
          <w:t>Подход и методология</w:t>
        </w:r>
        <w:r w:rsidRPr="00A449A3">
          <w:rPr>
            <w:rFonts w:ascii="Verdana" w:hAnsi="Verdana"/>
            <w:b w:val="0"/>
            <w:noProof/>
            <w:webHidden/>
          </w:rPr>
          <w:tab/>
        </w:r>
        <w:r w:rsidRPr="00A449A3">
          <w:rPr>
            <w:rFonts w:ascii="Verdana" w:hAnsi="Verdana"/>
            <w:b w:val="0"/>
            <w:noProof/>
            <w:webHidden/>
          </w:rPr>
          <w:fldChar w:fldCharType="begin"/>
        </w:r>
        <w:r w:rsidRPr="00A449A3">
          <w:rPr>
            <w:rFonts w:ascii="Verdana" w:hAnsi="Verdana"/>
            <w:b w:val="0"/>
            <w:noProof/>
            <w:webHidden/>
          </w:rPr>
          <w:instrText xml:space="preserve"> PAGEREF _Toc395612511 \h </w:instrText>
        </w:r>
        <w:r w:rsidRPr="00A449A3">
          <w:rPr>
            <w:rFonts w:ascii="Verdana" w:hAnsi="Verdana"/>
            <w:b w:val="0"/>
            <w:noProof/>
            <w:webHidden/>
          </w:rPr>
        </w:r>
        <w:r w:rsidRPr="00A449A3">
          <w:rPr>
            <w:rFonts w:ascii="Verdana" w:hAnsi="Verdana"/>
            <w:b w:val="0"/>
            <w:noProof/>
            <w:webHidden/>
          </w:rPr>
          <w:fldChar w:fldCharType="separate"/>
        </w:r>
        <w:r w:rsidR="001361E0">
          <w:rPr>
            <w:rFonts w:ascii="Verdana" w:hAnsi="Verdana"/>
            <w:b w:val="0"/>
            <w:noProof/>
            <w:webHidden/>
          </w:rPr>
          <w:t>27</w:t>
        </w:r>
        <w:r w:rsidRPr="00A449A3">
          <w:rPr>
            <w:rFonts w:ascii="Verdana" w:hAnsi="Verdana"/>
            <w:b w:val="0"/>
            <w:noProof/>
            <w:webHidden/>
          </w:rPr>
          <w:fldChar w:fldCharType="end"/>
        </w:r>
      </w:hyperlink>
    </w:p>
    <w:p w:rsidR="00A449A3" w:rsidRPr="00A449A3" w:rsidRDefault="00A449A3" w:rsidP="00A449A3">
      <w:pPr>
        <w:pStyle w:val="TOC1"/>
        <w:spacing w:after="40"/>
        <w:rPr>
          <w:rFonts w:ascii="Verdana" w:eastAsiaTheme="minorEastAsia" w:hAnsi="Verdana" w:cstheme="minorBidi"/>
          <w:b w:val="0"/>
          <w:bCs w:val="0"/>
          <w:caps w:val="0"/>
          <w:noProof/>
          <w:color w:val="auto"/>
          <w:lang w:val="bg-BG" w:eastAsia="bg-BG"/>
        </w:rPr>
      </w:pPr>
      <w:hyperlink w:anchor="_Toc395612512" w:history="1">
        <w:r w:rsidRPr="00A449A3">
          <w:rPr>
            <w:rStyle w:val="Hyperlink"/>
            <w:rFonts w:ascii="Verdana" w:hAnsi="Verdana"/>
            <w:b w:val="0"/>
            <w:noProof/>
            <w:lang w:val="bg-BG"/>
          </w:rPr>
          <w:t>I</w:t>
        </w:r>
        <w:r w:rsidRPr="00A449A3">
          <w:rPr>
            <w:rStyle w:val="Hyperlink"/>
            <w:rFonts w:ascii="Verdana" w:hAnsi="Verdana"/>
            <w:b w:val="0"/>
            <w:noProof/>
            <w:lang w:val="en-US"/>
          </w:rPr>
          <w:t>V</w:t>
        </w:r>
        <w:r w:rsidRPr="00A449A3">
          <w:rPr>
            <w:rStyle w:val="Hyperlink"/>
            <w:rFonts w:ascii="Verdana" w:hAnsi="Verdana"/>
            <w:b w:val="0"/>
            <w:noProof/>
            <w:lang w:val="bg-BG"/>
          </w:rPr>
          <w:t>. Оценка</w:t>
        </w:r>
        <w:r w:rsidRPr="00A449A3">
          <w:rPr>
            <w:rFonts w:ascii="Verdana" w:hAnsi="Verdana"/>
            <w:b w:val="0"/>
            <w:noProof/>
            <w:webHidden/>
          </w:rPr>
          <w:tab/>
        </w:r>
        <w:r w:rsidRPr="00A449A3">
          <w:rPr>
            <w:rFonts w:ascii="Verdana" w:hAnsi="Verdana"/>
            <w:b w:val="0"/>
            <w:noProof/>
            <w:webHidden/>
          </w:rPr>
          <w:fldChar w:fldCharType="begin"/>
        </w:r>
        <w:r w:rsidRPr="00A449A3">
          <w:rPr>
            <w:rFonts w:ascii="Verdana" w:hAnsi="Verdana"/>
            <w:b w:val="0"/>
            <w:noProof/>
            <w:webHidden/>
          </w:rPr>
          <w:instrText xml:space="preserve"> PAGEREF _Toc395612512 \h </w:instrText>
        </w:r>
        <w:r w:rsidRPr="00A449A3">
          <w:rPr>
            <w:rFonts w:ascii="Verdana" w:hAnsi="Verdana"/>
            <w:b w:val="0"/>
            <w:noProof/>
            <w:webHidden/>
          </w:rPr>
        </w:r>
        <w:r w:rsidRPr="00A449A3">
          <w:rPr>
            <w:rFonts w:ascii="Verdana" w:hAnsi="Verdana"/>
            <w:b w:val="0"/>
            <w:noProof/>
            <w:webHidden/>
          </w:rPr>
          <w:fldChar w:fldCharType="separate"/>
        </w:r>
        <w:r w:rsidR="001361E0">
          <w:rPr>
            <w:rFonts w:ascii="Verdana" w:hAnsi="Verdana"/>
            <w:b w:val="0"/>
            <w:noProof/>
            <w:webHidden/>
          </w:rPr>
          <w:t>31</w:t>
        </w:r>
        <w:r w:rsidRPr="00A449A3">
          <w:rPr>
            <w:rFonts w:ascii="Verdana" w:hAnsi="Verdana"/>
            <w:b w:val="0"/>
            <w:noProof/>
            <w:webHidden/>
          </w:rPr>
          <w:fldChar w:fldCharType="end"/>
        </w:r>
      </w:hyperlink>
    </w:p>
    <w:p w:rsidR="00A449A3" w:rsidRPr="00A449A3" w:rsidRDefault="00A449A3" w:rsidP="00A449A3">
      <w:pPr>
        <w:pStyle w:val="TOC2"/>
        <w:spacing w:after="40"/>
        <w:rPr>
          <w:rFonts w:eastAsiaTheme="minorEastAsia" w:cstheme="minorBidi"/>
          <w:b w:val="0"/>
          <w:iCs w:val="0"/>
          <w:sz w:val="20"/>
          <w:szCs w:val="20"/>
          <w:lang w:eastAsia="bg-BG"/>
        </w:rPr>
      </w:pPr>
      <w:hyperlink w:anchor="_Toc395612513" w:history="1">
        <w:r w:rsidRPr="00A449A3">
          <w:rPr>
            <w:rStyle w:val="Hyperlink"/>
            <w:b w:val="0"/>
            <w:sz w:val="20"/>
            <w:szCs w:val="20"/>
          </w:rPr>
          <w:t>Оценка на външната съгласуваност</w:t>
        </w:r>
        <w:r w:rsidRPr="00A449A3">
          <w:rPr>
            <w:b w:val="0"/>
            <w:webHidden/>
            <w:sz w:val="20"/>
            <w:szCs w:val="20"/>
          </w:rPr>
          <w:tab/>
        </w:r>
        <w:r w:rsidRPr="00A449A3">
          <w:rPr>
            <w:b w:val="0"/>
            <w:webHidden/>
            <w:sz w:val="20"/>
            <w:szCs w:val="20"/>
          </w:rPr>
          <w:fldChar w:fldCharType="begin"/>
        </w:r>
        <w:r w:rsidRPr="00A449A3">
          <w:rPr>
            <w:b w:val="0"/>
            <w:webHidden/>
            <w:sz w:val="20"/>
            <w:szCs w:val="20"/>
          </w:rPr>
          <w:instrText xml:space="preserve"> PAGEREF _Toc395612513 \h </w:instrText>
        </w:r>
        <w:r w:rsidRPr="00A449A3">
          <w:rPr>
            <w:b w:val="0"/>
            <w:webHidden/>
            <w:sz w:val="20"/>
            <w:szCs w:val="20"/>
          </w:rPr>
        </w:r>
        <w:r w:rsidRPr="00A449A3">
          <w:rPr>
            <w:b w:val="0"/>
            <w:webHidden/>
            <w:sz w:val="20"/>
            <w:szCs w:val="20"/>
          </w:rPr>
          <w:fldChar w:fldCharType="separate"/>
        </w:r>
        <w:r w:rsidR="001361E0">
          <w:rPr>
            <w:b w:val="0"/>
            <w:webHidden/>
            <w:sz w:val="20"/>
            <w:szCs w:val="20"/>
          </w:rPr>
          <w:t>31</w:t>
        </w:r>
        <w:r w:rsidRPr="00A449A3">
          <w:rPr>
            <w:b w:val="0"/>
            <w:webHidden/>
            <w:sz w:val="20"/>
            <w:szCs w:val="20"/>
          </w:rPr>
          <w:fldChar w:fldCharType="end"/>
        </w:r>
      </w:hyperlink>
    </w:p>
    <w:p w:rsidR="00A449A3" w:rsidRPr="00A449A3" w:rsidRDefault="00A449A3" w:rsidP="00A449A3">
      <w:pPr>
        <w:pStyle w:val="TOC3"/>
        <w:tabs>
          <w:tab w:val="right" w:leader="dot" w:pos="9080"/>
        </w:tabs>
        <w:spacing w:after="40" w:line="276" w:lineRule="auto"/>
        <w:rPr>
          <w:rFonts w:eastAsiaTheme="minorEastAsia" w:cstheme="minorBidi"/>
          <w:i w:val="0"/>
          <w:iCs w:val="0"/>
          <w:noProof/>
          <w:lang w:val="bg-BG" w:eastAsia="bg-BG"/>
        </w:rPr>
      </w:pPr>
      <w:hyperlink w:anchor="_Toc395612514" w:history="1">
        <w:r w:rsidRPr="00A449A3">
          <w:rPr>
            <w:rStyle w:val="Hyperlink"/>
            <w:noProof/>
          </w:rPr>
          <w:t>Анализ</w:t>
        </w:r>
        <w:r w:rsidRPr="00A449A3">
          <w:rPr>
            <w:noProof/>
            <w:webHidden/>
          </w:rPr>
          <w:tab/>
        </w:r>
        <w:r w:rsidRPr="00A449A3">
          <w:rPr>
            <w:noProof/>
            <w:webHidden/>
          </w:rPr>
          <w:fldChar w:fldCharType="begin"/>
        </w:r>
        <w:r w:rsidRPr="00A449A3">
          <w:rPr>
            <w:noProof/>
            <w:webHidden/>
          </w:rPr>
          <w:instrText xml:space="preserve"> PAGEREF _Toc395612514 \h </w:instrText>
        </w:r>
        <w:r w:rsidRPr="00A449A3">
          <w:rPr>
            <w:noProof/>
            <w:webHidden/>
          </w:rPr>
        </w:r>
        <w:r w:rsidRPr="00A449A3">
          <w:rPr>
            <w:noProof/>
            <w:webHidden/>
          </w:rPr>
          <w:fldChar w:fldCharType="separate"/>
        </w:r>
        <w:r w:rsidR="001361E0">
          <w:rPr>
            <w:noProof/>
            <w:webHidden/>
          </w:rPr>
          <w:t>31</w:t>
        </w:r>
        <w:r w:rsidRPr="00A449A3">
          <w:rPr>
            <w:noProof/>
            <w:webHidden/>
          </w:rPr>
          <w:fldChar w:fldCharType="end"/>
        </w:r>
      </w:hyperlink>
    </w:p>
    <w:p w:rsidR="00A449A3" w:rsidRPr="00A449A3" w:rsidRDefault="00A449A3" w:rsidP="00A449A3">
      <w:pPr>
        <w:pStyle w:val="TOC3"/>
        <w:tabs>
          <w:tab w:val="right" w:leader="dot" w:pos="9080"/>
        </w:tabs>
        <w:spacing w:after="40" w:line="276" w:lineRule="auto"/>
        <w:rPr>
          <w:rFonts w:eastAsiaTheme="minorEastAsia" w:cstheme="minorBidi"/>
          <w:i w:val="0"/>
          <w:iCs w:val="0"/>
          <w:noProof/>
          <w:lang w:val="bg-BG" w:eastAsia="bg-BG"/>
        </w:rPr>
      </w:pPr>
      <w:hyperlink w:anchor="_Toc395612515" w:history="1">
        <w:r w:rsidRPr="00A449A3">
          <w:rPr>
            <w:rStyle w:val="Hyperlink"/>
            <w:noProof/>
          </w:rPr>
          <w:t>Изводи и препоръки</w:t>
        </w:r>
        <w:r w:rsidRPr="00A449A3">
          <w:rPr>
            <w:noProof/>
            <w:webHidden/>
          </w:rPr>
          <w:tab/>
        </w:r>
        <w:r w:rsidRPr="00A449A3">
          <w:rPr>
            <w:noProof/>
            <w:webHidden/>
          </w:rPr>
          <w:fldChar w:fldCharType="begin"/>
        </w:r>
        <w:r w:rsidRPr="00A449A3">
          <w:rPr>
            <w:noProof/>
            <w:webHidden/>
          </w:rPr>
          <w:instrText xml:space="preserve"> PAGEREF _Toc395612515 \h </w:instrText>
        </w:r>
        <w:r w:rsidRPr="00A449A3">
          <w:rPr>
            <w:noProof/>
            <w:webHidden/>
          </w:rPr>
        </w:r>
        <w:r w:rsidRPr="00A449A3">
          <w:rPr>
            <w:noProof/>
            <w:webHidden/>
          </w:rPr>
          <w:fldChar w:fldCharType="separate"/>
        </w:r>
        <w:r w:rsidR="001361E0">
          <w:rPr>
            <w:noProof/>
            <w:webHidden/>
          </w:rPr>
          <w:t>66</w:t>
        </w:r>
        <w:r w:rsidRPr="00A449A3">
          <w:rPr>
            <w:noProof/>
            <w:webHidden/>
          </w:rPr>
          <w:fldChar w:fldCharType="end"/>
        </w:r>
      </w:hyperlink>
    </w:p>
    <w:p w:rsidR="00A449A3" w:rsidRPr="00A449A3" w:rsidRDefault="00A449A3" w:rsidP="00A449A3">
      <w:pPr>
        <w:pStyle w:val="TOC2"/>
        <w:spacing w:after="40"/>
        <w:rPr>
          <w:rFonts w:eastAsiaTheme="minorEastAsia" w:cstheme="minorBidi"/>
          <w:b w:val="0"/>
          <w:iCs w:val="0"/>
          <w:sz w:val="20"/>
          <w:szCs w:val="20"/>
          <w:lang w:eastAsia="bg-BG"/>
        </w:rPr>
      </w:pPr>
      <w:hyperlink w:anchor="_Toc395612516" w:history="1">
        <w:r w:rsidRPr="00A449A3">
          <w:rPr>
            <w:rStyle w:val="Hyperlink"/>
            <w:b w:val="0"/>
            <w:sz w:val="20"/>
            <w:szCs w:val="20"/>
          </w:rPr>
          <w:t>Оценка на вътрешната съгласуваност</w:t>
        </w:r>
        <w:r w:rsidRPr="00A449A3">
          <w:rPr>
            <w:b w:val="0"/>
            <w:webHidden/>
            <w:sz w:val="20"/>
            <w:szCs w:val="20"/>
          </w:rPr>
          <w:tab/>
        </w:r>
        <w:r w:rsidRPr="00A449A3">
          <w:rPr>
            <w:b w:val="0"/>
            <w:webHidden/>
            <w:sz w:val="20"/>
            <w:szCs w:val="20"/>
          </w:rPr>
          <w:fldChar w:fldCharType="begin"/>
        </w:r>
        <w:r w:rsidRPr="00A449A3">
          <w:rPr>
            <w:b w:val="0"/>
            <w:webHidden/>
            <w:sz w:val="20"/>
            <w:szCs w:val="20"/>
          </w:rPr>
          <w:instrText xml:space="preserve"> PAGEREF _Toc395612516 \h </w:instrText>
        </w:r>
        <w:r w:rsidRPr="00A449A3">
          <w:rPr>
            <w:b w:val="0"/>
            <w:webHidden/>
            <w:sz w:val="20"/>
            <w:szCs w:val="20"/>
          </w:rPr>
        </w:r>
        <w:r w:rsidRPr="00A449A3">
          <w:rPr>
            <w:b w:val="0"/>
            <w:webHidden/>
            <w:sz w:val="20"/>
            <w:szCs w:val="20"/>
          </w:rPr>
          <w:fldChar w:fldCharType="separate"/>
        </w:r>
        <w:r w:rsidR="001361E0">
          <w:rPr>
            <w:b w:val="0"/>
            <w:webHidden/>
            <w:sz w:val="20"/>
            <w:szCs w:val="20"/>
          </w:rPr>
          <w:t>67</w:t>
        </w:r>
        <w:r w:rsidRPr="00A449A3">
          <w:rPr>
            <w:b w:val="0"/>
            <w:webHidden/>
            <w:sz w:val="20"/>
            <w:szCs w:val="20"/>
          </w:rPr>
          <w:fldChar w:fldCharType="end"/>
        </w:r>
      </w:hyperlink>
    </w:p>
    <w:p w:rsidR="00A449A3" w:rsidRPr="00A449A3" w:rsidRDefault="00A449A3" w:rsidP="00A449A3">
      <w:pPr>
        <w:pStyle w:val="TOC3"/>
        <w:tabs>
          <w:tab w:val="right" w:leader="dot" w:pos="9080"/>
        </w:tabs>
        <w:spacing w:after="40" w:line="276" w:lineRule="auto"/>
        <w:rPr>
          <w:rFonts w:eastAsiaTheme="minorEastAsia" w:cstheme="minorBidi"/>
          <w:i w:val="0"/>
          <w:iCs w:val="0"/>
          <w:noProof/>
          <w:lang w:val="bg-BG" w:eastAsia="bg-BG"/>
        </w:rPr>
      </w:pPr>
      <w:hyperlink w:anchor="_Toc395612517" w:history="1">
        <w:r w:rsidRPr="00A449A3">
          <w:rPr>
            <w:rStyle w:val="Hyperlink"/>
            <w:noProof/>
          </w:rPr>
          <w:t>Анализ</w:t>
        </w:r>
        <w:r w:rsidRPr="00A449A3">
          <w:rPr>
            <w:noProof/>
            <w:webHidden/>
          </w:rPr>
          <w:tab/>
        </w:r>
        <w:r w:rsidRPr="00A449A3">
          <w:rPr>
            <w:noProof/>
            <w:webHidden/>
          </w:rPr>
          <w:fldChar w:fldCharType="begin"/>
        </w:r>
        <w:r w:rsidRPr="00A449A3">
          <w:rPr>
            <w:noProof/>
            <w:webHidden/>
          </w:rPr>
          <w:instrText xml:space="preserve"> PAGEREF _Toc395612517 \h </w:instrText>
        </w:r>
        <w:r w:rsidRPr="00A449A3">
          <w:rPr>
            <w:noProof/>
            <w:webHidden/>
          </w:rPr>
        </w:r>
        <w:r w:rsidRPr="00A449A3">
          <w:rPr>
            <w:noProof/>
            <w:webHidden/>
          </w:rPr>
          <w:fldChar w:fldCharType="separate"/>
        </w:r>
        <w:r w:rsidR="001361E0">
          <w:rPr>
            <w:noProof/>
            <w:webHidden/>
          </w:rPr>
          <w:t>67</w:t>
        </w:r>
        <w:r w:rsidRPr="00A449A3">
          <w:rPr>
            <w:noProof/>
            <w:webHidden/>
          </w:rPr>
          <w:fldChar w:fldCharType="end"/>
        </w:r>
      </w:hyperlink>
    </w:p>
    <w:p w:rsidR="00A449A3" w:rsidRPr="00A449A3" w:rsidRDefault="00A449A3" w:rsidP="00A449A3">
      <w:pPr>
        <w:pStyle w:val="TOC3"/>
        <w:tabs>
          <w:tab w:val="right" w:leader="dot" w:pos="9080"/>
        </w:tabs>
        <w:spacing w:after="40" w:line="276" w:lineRule="auto"/>
        <w:rPr>
          <w:rFonts w:eastAsiaTheme="minorEastAsia" w:cstheme="minorBidi"/>
          <w:i w:val="0"/>
          <w:iCs w:val="0"/>
          <w:noProof/>
          <w:lang w:val="bg-BG" w:eastAsia="bg-BG"/>
        </w:rPr>
      </w:pPr>
      <w:hyperlink w:anchor="_Toc395612518" w:history="1">
        <w:r w:rsidRPr="00A449A3">
          <w:rPr>
            <w:rStyle w:val="Hyperlink"/>
            <w:noProof/>
          </w:rPr>
          <w:t>Изводи и препоръки</w:t>
        </w:r>
        <w:r w:rsidRPr="00A449A3">
          <w:rPr>
            <w:noProof/>
            <w:webHidden/>
          </w:rPr>
          <w:tab/>
        </w:r>
        <w:r w:rsidRPr="00A449A3">
          <w:rPr>
            <w:noProof/>
            <w:webHidden/>
          </w:rPr>
          <w:fldChar w:fldCharType="begin"/>
        </w:r>
        <w:r w:rsidRPr="00A449A3">
          <w:rPr>
            <w:noProof/>
            <w:webHidden/>
          </w:rPr>
          <w:instrText xml:space="preserve"> PAGEREF _Toc395612518 \h </w:instrText>
        </w:r>
        <w:r w:rsidRPr="00A449A3">
          <w:rPr>
            <w:noProof/>
            <w:webHidden/>
          </w:rPr>
        </w:r>
        <w:r w:rsidRPr="00A449A3">
          <w:rPr>
            <w:noProof/>
            <w:webHidden/>
          </w:rPr>
          <w:fldChar w:fldCharType="separate"/>
        </w:r>
        <w:r w:rsidR="001361E0">
          <w:rPr>
            <w:noProof/>
            <w:webHidden/>
          </w:rPr>
          <w:t>124</w:t>
        </w:r>
        <w:r w:rsidRPr="00A449A3">
          <w:rPr>
            <w:noProof/>
            <w:webHidden/>
          </w:rPr>
          <w:fldChar w:fldCharType="end"/>
        </w:r>
      </w:hyperlink>
    </w:p>
    <w:p w:rsidR="00A449A3" w:rsidRPr="00A449A3" w:rsidRDefault="00A449A3" w:rsidP="00A449A3">
      <w:pPr>
        <w:pStyle w:val="TOC2"/>
        <w:spacing w:after="40"/>
        <w:rPr>
          <w:rFonts w:eastAsiaTheme="minorEastAsia" w:cstheme="minorBidi"/>
          <w:b w:val="0"/>
          <w:iCs w:val="0"/>
          <w:sz w:val="20"/>
          <w:szCs w:val="20"/>
          <w:lang w:eastAsia="bg-BG"/>
        </w:rPr>
      </w:pPr>
      <w:hyperlink w:anchor="_Toc395612519" w:history="1">
        <w:r w:rsidRPr="00A449A3">
          <w:rPr>
            <w:rStyle w:val="Hyperlink"/>
            <w:b w:val="0"/>
            <w:sz w:val="20"/>
            <w:szCs w:val="20"/>
          </w:rPr>
          <w:t>Оценка на системата от индикатори</w:t>
        </w:r>
        <w:r w:rsidRPr="00A449A3">
          <w:rPr>
            <w:b w:val="0"/>
            <w:webHidden/>
            <w:sz w:val="20"/>
            <w:szCs w:val="20"/>
          </w:rPr>
          <w:tab/>
        </w:r>
        <w:r w:rsidRPr="00A449A3">
          <w:rPr>
            <w:b w:val="0"/>
            <w:webHidden/>
            <w:sz w:val="20"/>
            <w:szCs w:val="20"/>
          </w:rPr>
          <w:fldChar w:fldCharType="begin"/>
        </w:r>
        <w:r w:rsidRPr="00A449A3">
          <w:rPr>
            <w:b w:val="0"/>
            <w:webHidden/>
            <w:sz w:val="20"/>
            <w:szCs w:val="20"/>
          </w:rPr>
          <w:instrText xml:space="preserve"> PAGEREF _Toc395612519 \h </w:instrText>
        </w:r>
        <w:r w:rsidRPr="00A449A3">
          <w:rPr>
            <w:b w:val="0"/>
            <w:webHidden/>
            <w:sz w:val="20"/>
            <w:szCs w:val="20"/>
          </w:rPr>
        </w:r>
        <w:r w:rsidRPr="00A449A3">
          <w:rPr>
            <w:b w:val="0"/>
            <w:webHidden/>
            <w:sz w:val="20"/>
            <w:szCs w:val="20"/>
          </w:rPr>
          <w:fldChar w:fldCharType="separate"/>
        </w:r>
        <w:r w:rsidR="001361E0">
          <w:rPr>
            <w:b w:val="0"/>
            <w:webHidden/>
            <w:sz w:val="20"/>
            <w:szCs w:val="20"/>
          </w:rPr>
          <w:t>124</w:t>
        </w:r>
        <w:r w:rsidRPr="00A449A3">
          <w:rPr>
            <w:b w:val="0"/>
            <w:webHidden/>
            <w:sz w:val="20"/>
            <w:szCs w:val="20"/>
          </w:rPr>
          <w:fldChar w:fldCharType="end"/>
        </w:r>
      </w:hyperlink>
    </w:p>
    <w:p w:rsidR="00A449A3" w:rsidRPr="00A449A3" w:rsidRDefault="00A449A3" w:rsidP="00A449A3">
      <w:pPr>
        <w:pStyle w:val="TOC3"/>
        <w:tabs>
          <w:tab w:val="right" w:leader="dot" w:pos="9080"/>
        </w:tabs>
        <w:spacing w:after="40" w:line="276" w:lineRule="auto"/>
        <w:rPr>
          <w:rFonts w:eastAsiaTheme="minorEastAsia" w:cstheme="minorBidi"/>
          <w:i w:val="0"/>
          <w:iCs w:val="0"/>
          <w:noProof/>
          <w:lang w:val="bg-BG" w:eastAsia="bg-BG"/>
        </w:rPr>
      </w:pPr>
      <w:hyperlink w:anchor="_Toc395612520" w:history="1">
        <w:r w:rsidRPr="00A449A3">
          <w:rPr>
            <w:rStyle w:val="Hyperlink"/>
            <w:rFonts w:eastAsia="Times New Roman" w:cs="Calibri"/>
            <w:noProof/>
            <w:lang w:val="bg-BG" w:eastAsia="cs-CZ"/>
          </w:rPr>
          <w:t>Анализ</w:t>
        </w:r>
        <w:r w:rsidRPr="00A449A3">
          <w:rPr>
            <w:noProof/>
            <w:webHidden/>
          </w:rPr>
          <w:tab/>
        </w:r>
        <w:r w:rsidRPr="00A449A3">
          <w:rPr>
            <w:noProof/>
            <w:webHidden/>
          </w:rPr>
          <w:fldChar w:fldCharType="begin"/>
        </w:r>
        <w:r w:rsidRPr="00A449A3">
          <w:rPr>
            <w:noProof/>
            <w:webHidden/>
          </w:rPr>
          <w:instrText xml:space="preserve"> PAGEREF _Toc395612520 \h </w:instrText>
        </w:r>
        <w:r w:rsidRPr="00A449A3">
          <w:rPr>
            <w:noProof/>
            <w:webHidden/>
          </w:rPr>
        </w:r>
        <w:r w:rsidRPr="00A449A3">
          <w:rPr>
            <w:noProof/>
            <w:webHidden/>
          </w:rPr>
          <w:fldChar w:fldCharType="separate"/>
        </w:r>
        <w:r w:rsidR="001361E0">
          <w:rPr>
            <w:noProof/>
            <w:webHidden/>
          </w:rPr>
          <w:t>124</w:t>
        </w:r>
        <w:r w:rsidRPr="00A449A3">
          <w:rPr>
            <w:noProof/>
            <w:webHidden/>
          </w:rPr>
          <w:fldChar w:fldCharType="end"/>
        </w:r>
      </w:hyperlink>
    </w:p>
    <w:p w:rsidR="00A449A3" w:rsidRPr="00A449A3" w:rsidRDefault="00A449A3" w:rsidP="00A449A3">
      <w:pPr>
        <w:pStyle w:val="TOC3"/>
        <w:tabs>
          <w:tab w:val="right" w:leader="dot" w:pos="9080"/>
        </w:tabs>
        <w:spacing w:after="40" w:line="276" w:lineRule="auto"/>
        <w:rPr>
          <w:rFonts w:eastAsiaTheme="minorEastAsia" w:cstheme="minorBidi"/>
          <w:i w:val="0"/>
          <w:iCs w:val="0"/>
          <w:noProof/>
          <w:lang w:val="bg-BG" w:eastAsia="bg-BG"/>
        </w:rPr>
      </w:pPr>
      <w:hyperlink w:anchor="_Toc395612521" w:history="1">
        <w:r w:rsidRPr="00A449A3">
          <w:rPr>
            <w:rStyle w:val="Hyperlink"/>
            <w:rFonts w:eastAsia="Times New Roman" w:cs="Calibri"/>
            <w:noProof/>
            <w:lang w:val="bg-BG" w:eastAsia="cs-CZ"/>
          </w:rPr>
          <w:t>Изводи и препоръки</w:t>
        </w:r>
        <w:r w:rsidRPr="00A449A3">
          <w:rPr>
            <w:noProof/>
            <w:webHidden/>
          </w:rPr>
          <w:tab/>
        </w:r>
        <w:r w:rsidRPr="00A449A3">
          <w:rPr>
            <w:noProof/>
            <w:webHidden/>
          </w:rPr>
          <w:fldChar w:fldCharType="begin"/>
        </w:r>
        <w:r w:rsidRPr="00A449A3">
          <w:rPr>
            <w:noProof/>
            <w:webHidden/>
          </w:rPr>
          <w:instrText xml:space="preserve"> PAGEREF _Toc395612521 \h </w:instrText>
        </w:r>
        <w:r w:rsidRPr="00A449A3">
          <w:rPr>
            <w:noProof/>
            <w:webHidden/>
          </w:rPr>
        </w:r>
        <w:r w:rsidRPr="00A449A3">
          <w:rPr>
            <w:noProof/>
            <w:webHidden/>
          </w:rPr>
          <w:fldChar w:fldCharType="separate"/>
        </w:r>
        <w:r w:rsidR="001361E0">
          <w:rPr>
            <w:noProof/>
            <w:webHidden/>
          </w:rPr>
          <w:t>153</w:t>
        </w:r>
        <w:r w:rsidRPr="00A449A3">
          <w:rPr>
            <w:noProof/>
            <w:webHidden/>
          </w:rPr>
          <w:fldChar w:fldCharType="end"/>
        </w:r>
      </w:hyperlink>
    </w:p>
    <w:p w:rsidR="00A449A3" w:rsidRPr="00A449A3" w:rsidRDefault="00A449A3" w:rsidP="00A449A3">
      <w:pPr>
        <w:pStyle w:val="TOC2"/>
        <w:spacing w:after="40"/>
        <w:rPr>
          <w:rFonts w:eastAsiaTheme="minorEastAsia" w:cstheme="minorBidi"/>
          <w:b w:val="0"/>
          <w:iCs w:val="0"/>
          <w:sz w:val="20"/>
          <w:szCs w:val="20"/>
          <w:lang w:eastAsia="bg-BG"/>
        </w:rPr>
      </w:pPr>
      <w:hyperlink w:anchor="_Toc395612522" w:history="1">
        <w:r w:rsidRPr="00A449A3">
          <w:rPr>
            <w:rStyle w:val="Hyperlink"/>
            <w:b w:val="0"/>
            <w:sz w:val="20"/>
            <w:szCs w:val="20"/>
          </w:rPr>
          <w:t>Оценка на бюджета на програмата</w:t>
        </w:r>
        <w:r w:rsidRPr="00A449A3">
          <w:rPr>
            <w:b w:val="0"/>
            <w:webHidden/>
            <w:sz w:val="20"/>
            <w:szCs w:val="20"/>
          </w:rPr>
          <w:tab/>
        </w:r>
        <w:r w:rsidRPr="00A449A3">
          <w:rPr>
            <w:b w:val="0"/>
            <w:webHidden/>
            <w:sz w:val="20"/>
            <w:szCs w:val="20"/>
          </w:rPr>
          <w:fldChar w:fldCharType="begin"/>
        </w:r>
        <w:r w:rsidRPr="00A449A3">
          <w:rPr>
            <w:b w:val="0"/>
            <w:webHidden/>
            <w:sz w:val="20"/>
            <w:szCs w:val="20"/>
          </w:rPr>
          <w:instrText xml:space="preserve"> PAGEREF _Toc395612522 \h </w:instrText>
        </w:r>
        <w:r w:rsidRPr="00A449A3">
          <w:rPr>
            <w:b w:val="0"/>
            <w:webHidden/>
            <w:sz w:val="20"/>
            <w:szCs w:val="20"/>
          </w:rPr>
        </w:r>
        <w:r w:rsidRPr="00A449A3">
          <w:rPr>
            <w:b w:val="0"/>
            <w:webHidden/>
            <w:sz w:val="20"/>
            <w:szCs w:val="20"/>
          </w:rPr>
          <w:fldChar w:fldCharType="separate"/>
        </w:r>
        <w:r w:rsidR="001361E0">
          <w:rPr>
            <w:b w:val="0"/>
            <w:webHidden/>
            <w:sz w:val="20"/>
            <w:szCs w:val="20"/>
          </w:rPr>
          <w:t>154</w:t>
        </w:r>
        <w:r w:rsidRPr="00A449A3">
          <w:rPr>
            <w:b w:val="0"/>
            <w:webHidden/>
            <w:sz w:val="20"/>
            <w:szCs w:val="20"/>
          </w:rPr>
          <w:fldChar w:fldCharType="end"/>
        </w:r>
      </w:hyperlink>
    </w:p>
    <w:p w:rsidR="00A449A3" w:rsidRPr="00A449A3" w:rsidRDefault="00A449A3" w:rsidP="00A449A3">
      <w:pPr>
        <w:pStyle w:val="TOC3"/>
        <w:tabs>
          <w:tab w:val="right" w:leader="dot" w:pos="9080"/>
        </w:tabs>
        <w:spacing w:after="40" w:line="276" w:lineRule="auto"/>
        <w:rPr>
          <w:rFonts w:eastAsiaTheme="minorEastAsia" w:cstheme="minorBidi"/>
          <w:i w:val="0"/>
          <w:iCs w:val="0"/>
          <w:noProof/>
          <w:lang w:val="bg-BG" w:eastAsia="bg-BG"/>
        </w:rPr>
      </w:pPr>
      <w:hyperlink w:anchor="_Toc395612523" w:history="1">
        <w:r w:rsidRPr="00A449A3">
          <w:rPr>
            <w:rStyle w:val="Hyperlink"/>
            <w:rFonts w:eastAsia="Times New Roman" w:cs="Calibri"/>
            <w:noProof/>
            <w:lang w:val="bg-BG" w:eastAsia="cs-CZ"/>
          </w:rPr>
          <w:t>Анализ</w:t>
        </w:r>
        <w:r w:rsidRPr="00A449A3">
          <w:rPr>
            <w:noProof/>
            <w:webHidden/>
          </w:rPr>
          <w:tab/>
        </w:r>
        <w:r w:rsidRPr="00A449A3">
          <w:rPr>
            <w:noProof/>
            <w:webHidden/>
          </w:rPr>
          <w:fldChar w:fldCharType="begin"/>
        </w:r>
        <w:r w:rsidRPr="00A449A3">
          <w:rPr>
            <w:noProof/>
            <w:webHidden/>
          </w:rPr>
          <w:instrText xml:space="preserve"> PAGEREF _Toc395612523 \h </w:instrText>
        </w:r>
        <w:r w:rsidRPr="00A449A3">
          <w:rPr>
            <w:noProof/>
            <w:webHidden/>
          </w:rPr>
        </w:r>
        <w:r w:rsidRPr="00A449A3">
          <w:rPr>
            <w:noProof/>
            <w:webHidden/>
          </w:rPr>
          <w:fldChar w:fldCharType="separate"/>
        </w:r>
        <w:r w:rsidR="001361E0">
          <w:rPr>
            <w:noProof/>
            <w:webHidden/>
          </w:rPr>
          <w:t>154</w:t>
        </w:r>
        <w:r w:rsidRPr="00A449A3">
          <w:rPr>
            <w:noProof/>
            <w:webHidden/>
          </w:rPr>
          <w:fldChar w:fldCharType="end"/>
        </w:r>
      </w:hyperlink>
    </w:p>
    <w:p w:rsidR="00A449A3" w:rsidRPr="00A449A3" w:rsidRDefault="00A449A3" w:rsidP="00A449A3">
      <w:pPr>
        <w:pStyle w:val="TOC3"/>
        <w:tabs>
          <w:tab w:val="right" w:leader="dot" w:pos="9080"/>
        </w:tabs>
        <w:spacing w:after="40" w:line="276" w:lineRule="auto"/>
        <w:rPr>
          <w:rFonts w:eastAsiaTheme="minorEastAsia" w:cstheme="minorBidi"/>
          <w:i w:val="0"/>
          <w:iCs w:val="0"/>
          <w:noProof/>
          <w:lang w:val="bg-BG" w:eastAsia="bg-BG"/>
        </w:rPr>
      </w:pPr>
      <w:hyperlink w:anchor="_Toc395612524" w:history="1">
        <w:r w:rsidRPr="00A449A3">
          <w:rPr>
            <w:rStyle w:val="Hyperlink"/>
            <w:rFonts w:eastAsia="Times New Roman" w:cs="Calibri"/>
            <w:noProof/>
            <w:lang w:val="bg-BG" w:eastAsia="cs-CZ"/>
          </w:rPr>
          <w:t>Изводи и препоръки</w:t>
        </w:r>
        <w:r w:rsidRPr="00A449A3">
          <w:rPr>
            <w:noProof/>
            <w:webHidden/>
          </w:rPr>
          <w:tab/>
        </w:r>
        <w:r w:rsidRPr="00A449A3">
          <w:rPr>
            <w:noProof/>
            <w:webHidden/>
          </w:rPr>
          <w:fldChar w:fldCharType="begin"/>
        </w:r>
        <w:r w:rsidRPr="00A449A3">
          <w:rPr>
            <w:noProof/>
            <w:webHidden/>
          </w:rPr>
          <w:instrText xml:space="preserve"> PAGEREF _Toc395612524 \h </w:instrText>
        </w:r>
        <w:r w:rsidRPr="00A449A3">
          <w:rPr>
            <w:noProof/>
            <w:webHidden/>
          </w:rPr>
        </w:r>
        <w:r w:rsidRPr="00A449A3">
          <w:rPr>
            <w:noProof/>
            <w:webHidden/>
          </w:rPr>
          <w:fldChar w:fldCharType="separate"/>
        </w:r>
        <w:r w:rsidR="001361E0">
          <w:rPr>
            <w:noProof/>
            <w:webHidden/>
          </w:rPr>
          <w:t>166</w:t>
        </w:r>
        <w:r w:rsidRPr="00A449A3">
          <w:rPr>
            <w:noProof/>
            <w:webHidden/>
          </w:rPr>
          <w:fldChar w:fldCharType="end"/>
        </w:r>
      </w:hyperlink>
    </w:p>
    <w:p w:rsidR="00A449A3" w:rsidRPr="00A449A3" w:rsidRDefault="00A449A3" w:rsidP="00A449A3">
      <w:pPr>
        <w:pStyle w:val="TOC2"/>
        <w:spacing w:after="40"/>
        <w:rPr>
          <w:rFonts w:eastAsiaTheme="minorEastAsia" w:cstheme="minorBidi"/>
          <w:b w:val="0"/>
          <w:iCs w:val="0"/>
          <w:sz w:val="20"/>
          <w:szCs w:val="20"/>
          <w:lang w:eastAsia="bg-BG"/>
        </w:rPr>
      </w:pPr>
      <w:hyperlink w:anchor="_Toc395612525" w:history="1">
        <w:r w:rsidRPr="00A449A3">
          <w:rPr>
            <w:rStyle w:val="Hyperlink"/>
            <w:b w:val="0"/>
            <w:sz w:val="20"/>
            <w:szCs w:val="20"/>
          </w:rPr>
          <w:t>Оценка на административния капацитет, управлението, наблюдението и оценката на ОПНОИР</w:t>
        </w:r>
        <w:r w:rsidRPr="00A449A3">
          <w:rPr>
            <w:b w:val="0"/>
            <w:webHidden/>
            <w:sz w:val="20"/>
            <w:szCs w:val="20"/>
          </w:rPr>
          <w:tab/>
        </w:r>
        <w:r w:rsidRPr="00A449A3">
          <w:rPr>
            <w:b w:val="0"/>
            <w:webHidden/>
            <w:sz w:val="20"/>
            <w:szCs w:val="20"/>
          </w:rPr>
          <w:fldChar w:fldCharType="begin"/>
        </w:r>
        <w:r w:rsidRPr="00A449A3">
          <w:rPr>
            <w:b w:val="0"/>
            <w:webHidden/>
            <w:sz w:val="20"/>
            <w:szCs w:val="20"/>
          </w:rPr>
          <w:instrText xml:space="preserve"> PAGEREF _Toc395612525 \h </w:instrText>
        </w:r>
        <w:r w:rsidRPr="00A449A3">
          <w:rPr>
            <w:b w:val="0"/>
            <w:webHidden/>
            <w:sz w:val="20"/>
            <w:szCs w:val="20"/>
          </w:rPr>
        </w:r>
        <w:r w:rsidRPr="00A449A3">
          <w:rPr>
            <w:b w:val="0"/>
            <w:webHidden/>
            <w:sz w:val="20"/>
            <w:szCs w:val="20"/>
          </w:rPr>
          <w:fldChar w:fldCharType="separate"/>
        </w:r>
        <w:r w:rsidR="001361E0">
          <w:rPr>
            <w:b w:val="0"/>
            <w:webHidden/>
            <w:sz w:val="20"/>
            <w:szCs w:val="20"/>
          </w:rPr>
          <w:t>167</w:t>
        </w:r>
        <w:r w:rsidRPr="00A449A3">
          <w:rPr>
            <w:b w:val="0"/>
            <w:webHidden/>
            <w:sz w:val="20"/>
            <w:szCs w:val="20"/>
          </w:rPr>
          <w:fldChar w:fldCharType="end"/>
        </w:r>
      </w:hyperlink>
    </w:p>
    <w:p w:rsidR="00A449A3" w:rsidRPr="00A449A3" w:rsidRDefault="00A449A3" w:rsidP="00A449A3">
      <w:pPr>
        <w:pStyle w:val="TOC3"/>
        <w:tabs>
          <w:tab w:val="right" w:leader="dot" w:pos="9080"/>
        </w:tabs>
        <w:spacing w:after="40" w:line="276" w:lineRule="auto"/>
        <w:rPr>
          <w:rFonts w:eastAsiaTheme="minorEastAsia" w:cstheme="minorBidi"/>
          <w:i w:val="0"/>
          <w:iCs w:val="0"/>
          <w:noProof/>
          <w:lang w:val="bg-BG" w:eastAsia="bg-BG"/>
        </w:rPr>
      </w:pPr>
      <w:hyperlink w:anchor="_Toc395612526" w:history="1">
        <w:r w:rsidRPr="00A449A3">
          <w:rPr>
            <w:rStyle w:val="Hyperlink"/>
            <w:rFonts w:eastAsia="Times New Roman" w:cs="Calibri"/>
            <w:noProof/>
            <w:lang w:val="bg-BG" w:eastAsia="cs-CZ"/>
          </w:rPr>
          <w:t>Анализ</w:t>
        </w:r>
        <w:r w:rsidRPr="00A449A3">
          <w:rPr>
            <w:noProof/>
            <w:webHidden/>
          </w:rPr>
          <w:tab/>
        </w:r>
        <w:r w:rsidRPr="00A449A3">
          <w:rPr>
            <w:noProof/>
            <w:webHidden/>
          </w:rPr>
          <w:fldChar w:fldCharType="begin"/>
        </w:r>
        <w:r w:rsidRPr="00A449A3">
          <w:rPr>
            <w:noProof/>
            <w:webHidden/>
          </w:rPr>
          <w:instrText xml:space="preserve"> PAGEREF _Toc395612526 \h </w:instrText>
        </w:r>
        <w:r w:rsidRPr="00A449A3">
          <w:rPr>
            <w:noProof/>
            <w:webHidden/>
          </w:rPr>
        </w:r>
        <w:r w:rsidRPr="00A449A3">
          <w:rPr>
            <w:noProof/>
            <w:webHidden/>
          </w:rPr>
          <w:fldChar w:fldCharType="separate"/>
        </w:r>
        <w:r w:rsidR="001361E0">
          <w:rPr>
            <w:noProof/>
            <w:webHidden/>
          </w:rPr>
          <w:t>167</w:t>
        </w:r>
        <w:r w:rsidRPr="00A449A3">
          <w:rPr>
            <w:noProof/>
            <w:webHidden/>
          </w:rPr>
          <w:fldChar w:fldCharType="end"/>
        </w:r>
      </w:hyperlink>
    </w:p>
    <w:p w:rsidR="00A449A3" w:rsidRPr="00A449A3" w:rsidRDefault="00A449A3" w:rsidP="00A449A3">
      <w:pPr>
        <w:pStyle w:val="TOC3"/>
        <w:tabs>
          <w:tab w:val="right" w:leader="dot" w:pos="9080"/>
        </w:tabs>
        <w:spacing w:after="40" w:line="276" w:lineRule="auto"/>
        <w:rPr>
          <w:rFonts w:eastAsiaTheme="minorEastAsia" w:cstheme="minorBidi"/>
          <w:i w:val="0"/>
          <w:iCs w:val="0"/>
          <w:noProof/>
          <w:lang w:val="bg-BG" w:eastAsia="bg-BG"/>
        </w:rPr>
      </w:pPr>
      <w:hyperlink w:anchor="_Toc395612527" w:history="1">
        <w:r w:rsidRPr="00A449A3">
          <w:rPr>
            <w:rStyle w:val="Hyperlink"/>
            <w:rFonts w:eastAsia="Times New Roman" w:cs="Calibri"/>
            <w:noProof/>
            <w:lang w:val="bg-BG" w:eastAsia="cs-CZ"/>
          </w:rPr>
          <w:t>Изводи и препоръки</w:t>
        </w:r>
        <w:r w:rsidRPr="00A449A3">
          <w:rPr>
            <w:noProof/>
            <w:webHidden/>
          </w:rPr>
          <w:tab/>
        </w:r>
        <w:r w:rsidRPr="00A449A3">
          <w:rPr>
            <w:noProof/>
            <w:webHidden/>
          </w:rPr>
          <w:fldChar w:fldCharType="begin"/>
        </w:r>
        <w:r w:rsidRPr="00A449A3">
          <w:rPr>
            <w:noProof/>
            <w:webHidden/>
          </w:rPr>
          <w:instrText xml:space="preserve"> PAGEREF _Toc395612527 \h </w:instrText>
        </w:r>
        <w:r w:rsidRPr="00A449A3">
          <w:rPr>
            <w:noProof/>
            <w:webHidden/>
          </w:rPr>
        </w:r>
        <w:r w:rsidRPr="00A449A3">
          <w:rPr>
            <w:noProof/>
            <w:webHidden/>
          </w:rPr>
          <w:fldChar w:fldCharType="separate"/>
        </w:r>
        <w:r w:rsidR="001361E0">
          <w:rPr>
            <w:noProof/>
            <w:webHidden/>
          </w:rPr>
          <w:t>196</w:t>
        </w:r>
        <w:r w:rsidRPr="00A449A3">
          <w:rPr>
            <w:noProof/>
            <w:webHidden/>
          </w:rPr>
          <w:fldChar w:fldCharType="end"/>
        </w:r>
      </w:hyperlink>
    </w:p>
    <w:p w:rsidR="00A449A3" w:rsidRPr="00A449A3" w:rsidRDefault="00A449A3" w:rsidP="00A449A3">
      <w:pPr>
        <w:pStyle w:val="TOC1"/>
        <w:spacing w:after="40"/>
        <w:rPr>
          <w:rFonts w:ascii="Verdana" w:eastAsiaTheme="minorEastAsia" w:hAnsi="Verdana" w:cstheme="minorBidi"/>
          <w:b w:val="0"/>
          <w:bCs w:val="0"/>
          <w:caps w:val="0"/>
          <w:noProof/>
          <w:color w:val="auto"/>
          <w:lang w:val="bg-BG" w:eastAsia="bg-BG"/>
        </w:rPr>
      </w:pPr>
      <w:hyperlink w:anchor="_Toc395612528" w:history="1">
        <w:r w:rsidRPr="00A449A3">
          <w:rPr>
            <w:rStyle w:val="Hyperlink"/>
            <w:rFonts w:ascii="Verdana" w:hAnsi="Verdana"/>
            <w:b w:val="0"/>
            <w:noProof/>
            <w:lang w:val="en-US"/>
          </w:rPr>
          <w:t>I</w:t>
        </w:r>
        <w:r w:rsidRPr="00A449A3">
          <w:rPr>
            <w:rStyle w:val="Hyperlink"/>
            <w:rFonts w:ascii="Verdana" w:hAnsi="Verdana"/>
            <w:b w:val="0"/>
            <w:noProof/>
            <w:lang w:val="bg-BG"/>
          </w:rPr>
          <w:t>V.</w:t>
        </w:r>
        <w:r w:rsidRPr="00A449A3">
          <w:rPr>
            <w:rFonts w:ascii="Verdana" w:eastAsiaTheme="minorEastAsia" w:hAnsi="Verdana" w:cstheme="minorBidi"/>
            <w:b w:val="0"/>
            <w:bCs w:val="0"/>
            <w:caps w:val="0"/>
            <w:noProof/>
            <w:color w:val="auto"/>
            <w:lang w:val="bg-BG" w:eastAsia="bg-BG"/>
          </w:rPr>
          <w:tab/>
        </w:r>
        <w:r w:rsidRPr="00A449A3">
          <w:rPr>
            <w:rStyle w:val="Hyperlink"/>
            <w:rFonts w:ascii="Verdana" w:hAnsi="Verdana"/>
            <w:b w:val="0"/>
            <w:noProof/>
            <w:lang w:val="bg-BG"/>
          </w:rPr>
          <w:t>Заключения и препоръки</w:t>
        </w:r>
        <w:r w:rsidRPr="00A449A3">
          <w:rPr>
            <w:rFonts w:ascii="Verdana" w:hAnsi="Verdana"/>
            <w:b w:val="0"/>
            <w:noProof/>
            <w:webHidden/>
          </w:rPr>
          <w:tab/>
        </w:r>
        <w:r w:rsidRPr="00A449A3">
          <w:rPr>
            <w:rFonts w:ascii="Verdana" w:hAnsi="Verdana"/>
            <w:b w:val="0"/>
            <w:noProof/>
            <w:webHidden/>
          </w:rPr>
          <w:fldChar w:fldCharType="begin"/>
        </w:r>
        <w:r w:rsidRPr="00A449A3">
          <w:rPr>
            <w:rFonts w:ascii="Verdana" w:hAnsi="Verdana"/>
            <w:b w:val="0"/>
            <w:noProof/>
            <w:webHidden/>
          </w:rPr>
          <w:instrText xml:space="preserve"> PAGEREF _Toc395612528 \h </w:instrText>
        </w:r>
        <w:r w:rsidRPr="00A449A3">
          <w:rPr>
            <w:rFonts w:ascii="Verdana" w:hAnsi="Verdana"/>
            <w:b w:val="0"/>
            <w:noProof/>
            <w:webHidden/>
          </w:rPr>
        </w:r>
        <w:r w:rsidRPr="00A449A3">
          <w:rPr>
            <w:rFonts w:ascii="Verdana" w:hAnsi="Verdana"/>
            <w:b w:val="0"/>
            <w:noProof/>
            <w:webHidden/>
          </w:rPr>
          <w:fldChar w:fldCharType="separate"/>
        </w:r>
        <w:r w:rsidR="001361E0">
          <w:rPr>
            <w:rFonts w:ascii="Verdana" w:hAnsi="Verdana"/>
            <w:b w:val="0"/>
            <w:noProof/>
            <w:webHidden/>
          </w:rPr>
          <w:t>198</w:t>
        </w:r>
        <w:r w:rsidRPr="00A449A3">
          <w:rPr>
            <w:rFonts w:ascii="Verdana" w:hAnsi="Verdana"/>
            <w:b w:val="0"/>
            <w:noProof/>
            <w:webHidden/>
          </w:rPr>
          <w:fldChar w:fldCharType="end"/>
        </w:r>
      </w:hyperlink>
    </w:p>
    <w:p w:rsidR="00A449A3" w:rsidRPr="00A449A3" w:rsidRDefault="00A449A3" w:rsidP="00A449A3">
      <w:pPr>
        <w:pStyle w:val="TOC2"/>
        <w:spacing w:after="40"/>
        <w:rPr>
          <w:rFonts w:eastAsiaTheme="minorEastAsia" w:cstheme="minorBidi"/>
          <w:b w:val="0"/>
          <w:iCs w:val="0"/>
          <w:sz w:val="20"/>
          <w:szCs w:val="20"/>
          <w:lang w:eastAsia="bg-BG"/>
        </w:rPr>
      </w:pPr>
      <w:hyperlink w:anchor="_Toc395612529" w:history="1">
        <w:r w:rsidRPr="00A449A3">
          <w:rPr>
            <w:rStyle w:val="Hyperlink"/>
            <w:b w:val="0"/>
            <w:sz w:val="20"/>
            <w:szCs w:val="20"/>
          </w:rPr>
          <w:t>Заключения</w:t>
        </w:r>
        <w:r w:rsidRPr="00A449A3">
          <w:rPr>
            <w:b w:val="0"/>
            <w:webHidden/>
            <w:sz w:val="20"/>
            <w:szCs w:val="20"/>
          </w:rPr>
          <w:tab/>
        </w:r>
        <w:r w:rsidRPr="00A449A3">
          <w:rPr>
            <w:b w:val="0"/>
            <w:webHidden/>
            <w:sz w:val="20"/>
            <w:szCs w:val="20"/>
          </w:rPr>
          <w:fldChar w:fldCharType="begin"/>
        </w:r>
        <w:r w:rsidRPr="00A449A3">
          <w:rPr>
            <w:b w:val="0"/>
            <w:webHidden/>
            <w:sz w:val="20"/>
            <w:szCs w:val="20"/>
          </w:rPr>
          <w:instrText xml:space="preserve"> PAGEREF _Toc395612529 \h </w:instrText>
        </w:r>
        <w:r w:rsidRPr="00A449A3">
          <w:rPr>
            <w:b w:val="0"/>
            <w:webHidden/>
            <w:sz w:val="20"/>
            <w:szCs w:val="20"/>
          </w:rPr>
        </w:r>
        <w:r w:rsidRPr="00A449A3">
          <w:rPr>
            <w:b w:val="0"/>
            <w:webHidden/>
            <w:sz w:val="20"/>
            <w:szCs w:val="20"/>
          </w:rPr>
          <w:fldChar w:fldCharType="separate"/>
        </w:r>
        <w:r w:rsidR="001361E0">
          <w:rPr>
            <w:b w:val="0"/>
            <w:webHidden/>
            <w:sz w:val="20"/>
            <w:szCs w:val="20"/>
          </w:rPr>
          <w:t>198</w:t>
        </w:r>
        <w:r w:rsidRPr="00A449A3">
          <w:rPr>
            <w:b w:val="0"/>
            <w:webHidden/>
            <w:sz w:val="20"/>
            <w:szCs w:val="20"/>
          </w:rPr>
          <w:fldChar w:fldCharType="end"/>
        </w:r>
      </w:hyperlink>
    </w:p>
    <w:p w:rsidR="00A449A3" w:rsidRPr="00A449A3" w:rsidRDefault="00A449A3" w:rsidP="00A449A3">
      <w:pPr>
        <w:pStyle w:val="TOC2"/>
        <w:spacing w:after="40"/>
        <w:rPr>
          <w:rFonts w:eastAsiaTheme="minorEastAsia" w:cstheme="minorBidi"/>
          <w:b w:val="0"/>
          <w:iCs w:val="0"/>
          <w:sz w:val="20"/>
          <w:szCs w:val="20"/>
          <w:lang w:eastAsia="bg-BG"/>
        </w:rPr>
      </w:pPr>
      <w:hyperlink w:anchor="_Toc395612530" w:history="1">
        <w:r w:rsidRPr="00A449A3">
          <w:rPr>
            <w:rStyle w:val="Hyperlink"/>
            <w:b w:val="0"/>
            <w:sz w:val="20"/>
            <w:szCs w:val="20"/>
          </w:rPr>
          <w:t>Препоръки</w:t>
        </w:r>
        <w:r w:rsidRPr="00A449A3">
          <w:rPr>
            <w:b w:val="0"/>
            <w:webHidden/>
            <w:sz w:val="20"/>
            <w:szCs w:val="20"/>
          </w:rPr>
          <w:tab/>
        </w:r>
        <w:r w:rsidRPr="00A449A3">
          <w:rPr>
            <w:b w:val="0"/>
            <w:webHidden/>
            <w:sz w:val="20"/>
            <w:szCs w:val="20"/>
          </w:rPr>
          <w:fldChar w:fldCharType="begin"/>
        </w:r>
        <w:r w:rsidRPr="00A449A3">
          <w:rPr>
            <w:b w:val="0"/>
            <w:webHidden/>
            <w:sz w:val="20"/>
            <w:szCs w:val="20"/>
          </w:rPr>
          <w:instrText xml:space="preserve"> PAGEREF _Toc395612530 \h </w:instrText>
        </w:r>
        <w:r w:rsidRPr="00A449A3">
          <w:rPr>
            <w:b w:val="0"/>
            <w:webHidden/>
            <w:sz w:val="20"/>
            <w:szCs w:val="20"/>
          </w:rPr>
        </w:r>
        <w:r w:rsidRPr="00A449A3">
          <w:rPr>
            <w:b w:val="0"/>
            <w:webHidden/>
            <w:sz w:val="20"/>
            <w:szCs w:val="20"/>
          </w:rPr>
          <w:fldChar w:fldCharType="separate"/>
        </w:r>
        <w:r w:rsidR="001361E0">
          <w:rPr>
            <w:b w:val="0"/>
            <w:webHidden/>
            <w:sz w:val="20"/>
            <w:szCs w:val="20"/>
          </w:rPr>
          <w:t>201</w:t>
        </w:r>
        <w:r w:rsidRPr="00A449A3">
          <w:rPr>
            <w:b w:val="0"/>
            <w:webHidden/>
            <w:sz w:val="20"/>
            <w:szCs w:val="20"/>
          </w:rPr>
          <w:fldChar w:fldCharType="end"/>
        </w:r>
      </w:hyperlink>
    </w:p>
    <w:p w:rsidR="00A449A3" w:rsidRPr="00A449A3" w:rsidRDefault="00A449A3" w:rsidP="00A449A3">
      <w:pPr>
        <w:pStyle w:val="TOC1"/>
        <w:spacing w:after="40"/>
        <w:rPr>
          <w:rFonts w:ascii="Verdana" w:eastAsiaTheme="minorEastAsia" w:hAnsi="Verdana" w:cstheme="minorBidi"/>
          <w:b w:val="0"/>
          <w:bCs w:val="0"/>
          <w:caps w:val="0"/>
          <w:noProof/>
          <w:color w:val="auto"/>
          <w:lang w:val="bg-BG" w:eastAsia="bg-BG"/>
        </w:rPr>
      </w:pPr>
      <w:hyperlink w:anchor="_Toc395612531" w:history="1">
        <w:r w:rsidRPr="00A449A3">
          <w:rPr>
            <w:rStyle w:val="Hyperlink"/>
            <w:rFonts w:ascii="Verdana" w:hAnsi="Verdana"/>
            <w:b w:val="0"/>
            <w:noProof/>
            <w:lang w:val="bg-BG"/>
          </w:rPr>
          <w:t>V.</w:t>
        </w:r>
        <w:r w:rsidRPr="00A449A3">
          <w:rPr>
            <w:rFonts w:ascii="Verdana" w:eastAsiaTheme="minorEastAsia" w:hAnsi="Verdana" w:cstheme="minorBidi"/>
            <w:b w:val="0"/>
            <w:bCs w:val="0"/>
            <w:caps w:val="0"/>
            <w:noProof/>
            <w:color w:val="auto"/>
            <w:lang w:val="bg-BG" w:eastAsia="bg-BG"/>
          </w:rPr>
          <w:tab/>
        </w:r>
        <w:r w:rsidRPr="00A449A3">
          <w:rPr>
            <w:rStyle w:val="Hyperlink"/>
            <w:rFonts w:ascii="Verdana" w:hAnsi="Verdana"/>
            <w:b w:val="0"/>
            <w:noProof/>
            <w:lang w:val="bg-BG"/>
          </w:rPr>
          <w:t>ПриложениЯ</w:t>
        </w:r>
        <w:r w:rsidRPr="00A449A3">
          <w:rPr>
            <w:rFonts w:ascii="Verdana" w:hAnsi="Verdana"/>
            <w:b w:val="0"/>
            <w:noProof/>
            <w:webHidden/>
          </w:rPr>
          <w:tab/>
        </w:r>
        <w:r w:rsidRPr="00A449A3">
          <w:rPr>
            <w:rFonts w:ascii="Verdana" w:hAnsi="Verdana"/>
            <w:b w:val="0"/>
            <w:noProof/>
            <w:webHidden/>
          </w:rPr>
          <w:fldChar w:fldCharType="begin"/>
        </w:r>
        <w:r w:rsidRPr="00A449A3">
          <w:rPr>
            <w:rFonts w:ascii="Verdana" w:hAnsi="Verdana"/>
            <w:b w:val="0"/>
            <w:noProof/>
            <w:webHidden/>
          </w:rPr>
          <w:instrText xml:space="preserve"> PAGEREF _Toc395612531 \h </w:instrText>
        </w:r>
        <w:r w:rsidRPr="00A449A3">
          <w:rPr>
            <w:rFonts w:ascii="Verdana" w:hAnsi="Verdana"/>
            <w:b w:val="0"/>
            <w:noProof/>
            <w:webHidden/>
          </w:rPr>
        </w:r>
        <w:r w:rsidRPr="00A449A3">
          <w:rPr>
            <w:rFonts w:ascii="Verdana" w:hAnsi="Verdana"/>
            <w:b w:val="0"/>
            <w:noProof/>
            <w:webHidden/>
          </w:rPr>
          <w:fldChar w:fldCharType="separate"/>
        </w:r>
        <w:r w:rsidR="001361E0">
          <w:rPr>
            <w:rFonts w:ascii="Verdana" w:hAnsi="Verdana"/>
            <w:b w:val="0"/>
            <w:noProof/>
            <w:webHidden/>
          </w:rPr>
          <w:t>211</w:t>
        </w:r>
        <w:r w:rsidRPr="00A449A3">
          <w:rPr>
            <w:rFonts w:ascii="Verdana" w:hAnsi="Verdana"/>
            <w:b w:val="0"/>
            <w:noProof/>
            <w:webHidden/>
          </w:rPr>
          <w:fldChar w:fldCharType="end"/>
        </w:r>
      </w:hyperlink>
    </w:p>
    <w:p w:rsidR="00A449A3" w:rsidRPr="00A449A3" w:rsidRDefault="00A449A3" w:rsidP="00A449A3">
      <w:pPr>
        <w:pStyle w:val="TOC2"/>
        <w:spacing w:after="40"/>
        <w:rPr>
          <w:rFonts w:eastAsiaTheme="minorEastAsia" w:cstheme="minorBidi"/>
          <w:b w:val="0"/>
          <w:iCs w:val="0"/>
          <w:sz w:val="20"/>
          <w:szCs w:val="20"/>
          <w:lang w:eastAsia="bg-BG"/>
        </w:rPr>
      </w:pPr>
      <w:hyperlink w:anchor="_Toc395612532" w:history="1">
        <w:r w:rsidRPr="00A449A3">
          <w:rPr>
            <w:rStyle w:val="Hyperlink"/>
            <w:b w:val="0"/>
            <w:sz w:val="20"/>
            <w:szCs w:val="20"/>
          </w:rPr>
          <w:t>Приложение 1: Списък на използваните документи</w:t>
        </w:r>
        <w:r w:rsidRPr="00A449A3">
          <w:rPr>
            <w:b w:val="0"/>
            <w:webHidden/>
            <w:sz w:val="20"/>
            <w:szCs w:val="20"/>
          </w:rPr>
          <w:tab/>
        </w:r>
        <w:r w:rsidRPr="00A449A3">
          <w:rPr>
            <w:b w:val="0"/>
            <w:webHidden/>
            <w:sz w:val="20"/>
            <w:szCs w:val="20"/>
          </w:rPr>
          <w:fldChar w:fldCharType="begin"/>
        </w:r>
        <w:r w:rsidRPr="00A449A3">
          <w:rPr>
            <w:b w:val="0"/>
            <w:webHidden/>
            <w:sz w:val="20"/>
            <w:szCs w:val="20"/>
          </w:rPr>
          <w:instrText xml:space="preserve"> PAGEREF _Toc395612532 \h </w:instrText>
        </w:r>
        <w:r w:rsidRPr="00A449A3">
          <w:rPr>
            <w:b w:val="0"/>
            <w:webHidden/>
            <w:sz w:val="20"/>
            <w:szCs w:val="20"/>
          </w:rPr>
        </w:r>
        <w:r w:rsidRPr="00A449A3">
          <w:rPr>
            <w:b w:val="0"/>
            <w:webHidden/>
            <w:sz w:val="20"/>
            <w:szCs w:val="20"/>
          </w:rPr>
          <w:fldChar w:fldCharType="separate"/>
        </w:r>
        <w:r w:rsidR="001361E0">
          <w:rPr>
            <w:b w:val="0"/>
            <w:webHidden/>
            <w:sz w:val="20"/>
            <w:szCs w:val="20"/>
          </w:rPr>
          <w:t>212</w:t>
        </w:r>
        <w:r w:rsidRPr="00A449A3">
          <w:rPr>
            <w:b w:val="0"/>
            <w:webHidden/>
            <w:sz w:val="20"/>
            <w:szCs w:val="20"/>
          </w:rPr>
          <w:fldChar w:fldCharType="end"/>
        </w:r>
      </w:hyperlink>
    </w:p>
    <w:p w:rsidR="00A449A3" w:rsidRPr="00A449A3" w:rsidRDefault="00A449A3" w:rsidP="00A449A3">
      <w:pPr>
        <w:pStyle w:val="TOC2"/>
        <w:spacing w:after="40"/>
        <w:rPr>
          <w:rFonts w:eastAsiaTheme="minorEastAsia" w:cstheme="minorBidi"/>
          <w:b w:val="0"/>
          <w:iCs w:val="0"/>
          <w:sz w:val="20"/>
          <w:szCs w:val="20"/>
          <w:lang w:eastAsia="bg-BG"/>
        </w:rPr>
      </w:pPr>
      <w:hyperlink w:anchor="_Toc395612533" w:history="1">
        <w:r w:rsidRPr="00A449A3">
          <w:rPr>
            <w:rStyle w:val="Hyperlink"/>
            <w:b w:val="0"/>
            <w:sz w:val="20"/>
            <w:szCs w:val="20"/>
          </w:rPr>
          <w:t>Приложение 2: Списък на участниците в проведените срещи и фокус групи</w:t>
        </w:r>
        <w:r w:rsidRPr="00A449A3">
          <w:rPr>
            <w:b w:val="0"/>
            <w:webHidden/>
            <w:sz w:val="20"/>
            <w:szCs w:val="20"/>
          </w:rPr>
          <w:tab/>
        </w:r>
        <w:r w:rsidRPr="00A449A3">
          <w:rPr>
            <w:b w:val="0"/>
            <w:webHidden/>
            <w:sz w:val="20"/>
            <w:szCs w:val="20"/>
          </w:rPr>
          <w:fldChar w:fldCharType="begin"/>
        </w:r>
        <w:r w:rsidRPr="00A449A3">
          <w:rPr>
            <w:b w:val="0"/>
            <w:webHidden/>
            <w:sz w:val="20"/>
            <w:szCs w:val="20"/>
          </w:rPr>
          <w:instrText xml:space="preserve"> PAGEREF _Toc395612533 \h </w:instrText>
        </w:r>
        <w:r w:rsidRPr="00A449A3">
          <w:rPr>
            <w:b w:val="0"/>
            <w:webHidden/>
            <w:sz w:val="20"/>
            <w:szCs w:val="20"/>
          </w:rPr>
        </w:r>
        <w:r w:rsidRPr="00A449A3">
          <w:rPr>
            <w:b w:val="0"/>
            <w:webHidden/>
            <w:sz w:val="20"/>
            <w:szCs w:val="20"/>
          </w:rPr>
          <w:fldChar w:fldCharType="separate"/>
        </w:r>
        <w:r w:rsidR="001361E0">
          <w:rPr>
            <w:b w:val="0"/>
            <w:webHidden/>
            <w:sz w:val="20"/>
            <w:szCs w:val="20"/>
          </w:rPr>
          <w:t>218</w:t>
        </w:r>
        <w:r w:rsidRPr="00A449A3">
          <w:rPr>
            <w:b w:val="0"/>
            <w:webHidden/>
            <w:sz w:val="20"/>
            <w:szCs w:val="20"/>
          </w:rPr>
          <w:fldChar w:fldCharType="end"/>
        </w:r>
      </w:hyperlink>
    </w:p>
    <w:p w:rsidR="00A449A3" w:rsidRPr="00A449A3" w:rsidRDefault="00A449A3" w:rsidP="00A449A3">
      <w:pPr>
        <w:pStyle w:val="TOC2"/>
        <w:spacing w:after="40"/>
        <w:rPr>
          <w:rFonts w:eastAsiaTheme="minorEastAsia" w:cstheme="minorBidi"/>
          <w:b w:val="0"/>
          <w:iCs w:val="0"/>
          <w:sz w:val="20"/>
          <w:szCs w:val="20"/>
          <w:lang w:eastAsia="bg-BG"/>
        </w:rPr>
      </w:pPr>
      <w:hyperlink w:anchor="_Toc395612534" w:history="1">
        <w:r w:rsidRPr="00A449A3">
          <w:rPr>
            <w:rStyle w:val="Hyperlink"/>
            <w:b w:val="0"/>
            <w:sz w:val="20"/>
            <w:szCs w:val="20"/>
          </w:rPr>
          <w:t>Приложение 3: Резултати от онлайн проучването сред потенциални бенефициенти на програмата, бъдещият УО и членове на Работната група за подготовка на програмата</w:t>
        </w:r>
        <w:r w:rsidRPr="00A449A3">
          <w:rPr>
            <w:b w:val="0"/>
            <w:webHidden/>
            <w:sz w:val="20"/>
            <w:szCs w:val="20"/>
          </w:rPr>
          <w:tab/>
        </w:r>
        <w:r w:rsidRPr="00A449A3">
          <w:rPr>
            <w:b w:val="0"/>
            <w:webHidden/>
            <w:sz w:val="20"/>
            <w:szCs w:val="20"/>
          </w:rPr>
          <w:fldChar w:fldCharType="begin"/>
        </w:r>
        <w:r w:rsidRPr="00A449A3">
          <w:rPr>
            <w:b w:val="0"/>
            <w:webHidden/>
            <w:sz w:val="20"/>
            <w:szCs w:val="20"/>
          </w:rPr>
          <w:instrText xml:space="preserve"> PAGEREF _Toc395612534 \h </w:instrText>
        </w:r>
        <w:r w:rsidRPr="00A449A3">
          <w:rPr>
            <w:b w:val="0"/>
            <w:webHidden/>
            <w:sz w:val="20"/>
            <w:szCs w:val="20"/>
          </w:rPr>
        </w:r>
        <w:r w:rsidRPr="00A449A3">
          <w:rPr>
            <w:b w:val="0"/>
            <w:webHidden/>
            <w:sz w:val="20"/>
            <w:szCs w:val="20"/>
          </w:rPr>
          <w:fldChar w:fldCharType="separate"/>
        </w:r>
        <w:r w:rsidR="001361E0">
          <w:rPr>
            <w:b w:val="0"/>
            <w:webHidden/>
            <w:sz w:val="20"/>
            <w:szCs w:val="20"/>
          </w:rPr>
          <w:t>221</w:t>
        </w:r>
        <w:r w:rsidRPr="00A449A3">
          <w:rPr>
            <w:b w:val="0"/>
            <w:webHidden/>
            <w:sz w:val="20"/>
            <w:szCs w:val="20"/>
          </w:rPr>
          <w:fldChar w:fldCharType="end"/>
        </w:r>
      </w:hyperlink>
    </w:p>
    <w:p w:rsidR="00A449A3" w:rsidRPr="00A449A3" w:rsidRDefault="00A449A3" w:rsidP="00A449A3">
      <w:pPr>
        <w:pStyle w:val="TOC2"/>
        <w:spacing w:after="40"/>
        <w:rPr>
          <w:rFonts w:eastAsiaTheme="minorEastAsia" w:cstheme="minorBidi"/>
          <w:b w:val="0"/>
          <w:iCs w:val="0"/>
          <w:sz w:val="20"/>
          <w:szCs w:val="20"/>
          <w:lang w:eastAsia="bg-BG"/>
        </w:rPr>
      </w:pPr>
      <w:hyperlink w:anchor="_Toc395612535" w:history="1">
        <w:r w:rsidRPr="00A449A3">
          <w:rPr>
            <w:rStyle w:val="Hyperlink"/>
            <w:b w:val="0"/>
            <w:sz w:val="20"/>
            <w:szCs w:val="20"/>
          </w:rPr>
          <w:t>Приложение 4: Резултати от онлайн проучването сред експерти от ГД СФМОП</w:t>
        </w:r>
        <w:r w:rsidRPr="00A449A3">
          <w:rPr>
            <w:b w:val="0"/>
            <w:webHidden/>
            <w:sz w:val="20"/>
            <w:szCs w:val="20"/>
          </w:rPr>
          <w:tab/>
        </w:r>
        <w:r w:rsidRPr="00A449A3">
          <w:rPr>
            <w:b w:val="0"/>
            <w:webHidden/>
            <w:sz w:val="20"/>
            <w:szCs w:val="20"/>
          </w:rPr>
          <w:fldChar w:fldCharType="begin"/>
        </w:r>
        <w:r w:rsidRPr="00A449A3">
          <w:rPr>
            <w:b w:val="0"/>
            <w:webHidden/>
            <w:sz w:val="20"/>
            <w:szCs w:val="20"/>
          </w:rPr>
          <w:instrText xml:space="preserve"> PAGEREF _Toc395612535 \h </w:instrText>
        </w:r>
        <w:r w:rsidRPr="00A449A3">
          <w:rPr>
            <w:b w:val="0"/>
            <w:webHidden/>
            <w:sz w:val="20"/>
            <w:szCs w:val="20"/>
          </w:rPr>
        </w:r>
        <w:r w:rsidRPr="00A449A3">
          <w:rPr>
            <w:b w:val="0"/>
            <w:webHidden/>
            <w:sz w:val="20"/>
            <w:szCs w:val="20"/>
          </w:rPr>
          <w:fldChar w:fldCharType="separate"/>
        </w:r>
        <w:r w:rsidR="001361E0">
          <w:rPr>
            <w:b w:val="0"/>
            <w:webHidden/>
            <w:sz w:val="20"/>
            <w:szCs w:val="20"/>
          </w:rPr>
          <w:t>222</w:t>
        </w:r>
        <w:r w:rsidRPr="00A449A3">
          <w:rPr>
            <w:b w:val="0"/>
            <w:webHidden/>
            <w:sz w:val="20"/>
            <w:szCs w:val="20"/>
          </w:rPr>
          <w:fldChar w:fldCharType="end"/>
        </w:r>
      </w:hyperlink>
    </w:p>
    <w:p w:rsidR="00A449A3" w:rsidRPr="00A449A3" w:rsidRDefault="00A449A3" w:rsidP="00A449A3">
      <w:pPr>
        <w:pStyle w:val="TOC2"/>
        <w:spacing w:after="40"/>
        <w:rPr>
          <w:rFonts w:eastAsiaTheme="minorEastAsia" w:cstheme="minorBidi"/>
          <w:b w:val="0"/>
          <w:iCs w:val="0"/>
          <w:sz w:val="20"/>
          <w:szCs w:val="20"/>
          <w:lang w:eastAsia="bg-BG"/>
        </w:rPr>
      </w:pPr>
      <w:hyperlink w:anchor="_Toc395612536" w:history="1">
        <w:r w:rsidRPr="00A449A3">
          <w:rPr>
            <w:rStyle w:val="Hyperlink"/>
            <w:b w:val="0"/>
            <w:sz w:val="20"/>
            <w:szCs w:val="20"/>
          </w:rPr>
          <w:t>Приложение 5: Логика на интервенция на програмата</w:t>
        </w:r>
        <w:r w:rsidRPr="00A449A3">
          <w:rPr>
            <w:b w:val="0"/>
            <w:webHidden/>
            <w:sz w:val="20"/>
            <w:szCs w:val="20"/>
          </w:rPr>
          <w:tab/>
        </w:r>
        <w:r w:rsidRPr="00A449A3">
          <w:rPr>
            <w:b w:val="0"/>
            <w:webHidden/>
            <w:sz w:val="20"/>
            <w:szCs w:val="20"/>
          </w:rPr>
          <w:fldChar w:fldCharType="begin"/>
        </w:r>
        <w:r w:rsidRPr="00A449A3">
          <w:rPr>
            <w:b w:val="0"/>
            <w:webHidden/>
            <w:sz w:val="20"/>
            <w:szCs w:val="20"/>
          </w:rPr>
          <w:instrText xml:space="preserve"> PAGEREF _Toc395612536 \h </w:instrText>
        </w:r>
        <w:r w:rsidRPr="00A449A3">
          <w:rPr>
            <w:b w:val="0"/>
            <w:webHidden/>
            <w:sz w:val="20"/>
            <w:szCs w:val="20"/>
          </w:rPr>
        </w:r>
        <w:r w:rsidRPr="00A449A3">
          <w:rPr>
            <w:b w:val="0"/>
            <w:webHidden/>
            <w:sz w:val="20"/>
            <w:szCs w:val="20"/>
          </w:rPr>
          <w:fldChar w:fldCharType="separate"/>
        </w:r>
        <w:r w:rsidR="001361E0">
          <w:rPr>
            <w:b w:val="0"/>
            <w:webHidden/>
            <w:sz w:val="20"/>
            <w:szCs w:val="20"/>
          </w:rPr>
          <w:t>223</w:t>
        </w:r>
        <w:r w:rsidRPr="00A449A3">
          <w:rPr>
            <w:b w:val="0"/>
            <w:webHidden/>
            <w:sz w:val="20"/>
            <w:szCs w:val="20"/>
          </w:rPr>
          <w:fldChar w:fldCharType="end"/>
        </w:r>
      </w:hyperlink>
    </w:p>
    <w:p w:rsidR="00A449A3" w:rsidRPr="00A449A3" w:rsidRDefault="00A449A3" w:rsidP="00A449A3">
      <w:pPr>
        <w:pStyle w:val="TOC2"/>
        <w:spacing w:after="40"/>
        <w:rPr>
          <w:rFonts w:eastAsiaTheme="minorEastAsia" w:cstheme="minorBidi"/>
          <w:b w:val="0"/>
          <w:iCs w:val="0"/>
          <w:sz w:val="20"/>
          <w:szCs w:val="20"/>
          <w:lang w:eastAsia="bg-BG"/>
        </w:rPr>
      </w:pPr>
      <w:hyperlink w:anchor="_Toc395612537" w:history="1">
        <w:r w:rsidRPr="00A449A3">
          <w:rPr>
            <w:rStyle w:val="Hyperlink"/>
            <w:b w:val="0"/>
            <w:sz w:val="20"/>
            <w:szCs w:val="20"/>
          </w:rPr>
          <w:t xml:space="preserve">Приложение </w:t>
        </w:r>
        <w:r w:rsidRPr="00A449A3">
          <w:rPr>
            <w:rStyle w:val="Hyperlink"/>
            <w:b w:val="0"/>
            <w:sz w:val="20"/>
            <w:szCs w:val="20"/>
            <w:lang w:val="en-US"/>
          </w:rPr>
          <w:t>6</w:t>
        </w:r>
        <w:r w:rsidRPr="00A449A3">
          <w:rPr>
            <w:rStyle w:val="Hyperlink"/>
            <w:b w:val="0"/>
            <w:sz w:val="20"/>
            <w:szCs w:val="20"/>
          </w:rPr>
          <w:t>: Фишове на индикаторите</w:t>
        </w:r>
        <w:r w:rsidRPr="00A449A3">
          <w:rPr>
            <w:b w:val="0"/>
            <w:webHidden/>
            <w:sz w:val="20"/>
            <w:szCs w:val="20"/>
          </w:rPr>
          <w:tab/>
        </w:r>
        <w:r w:rsidRPr="00A449A3">
          <w:rPr>
            <w:b w:val="0"/>
            <w:webHidden/>
            <w:sz w:val="20"/>
            <w:szCs w:val="20"/>
          </w:rPr>
          <w:fldChar w:fldCharType="begin"/>
        </w:r>
        <w:r w:rsidRPr="00A449A3">
          <w:rPr>
            <w:b w:val="0"/>
            <w:webHidden/>
            <w:sz w:val="20"/>
            <w:szCs w:val="20"/>
          </w:rPr>
          <w:instrText xml:space="preserve"> PAGEREF _Toc395612537 \h </w:instrText>
        </w:r>
        <w:r w:rsidRPr="00A449A3">
          <w:rPr>
            <w:b w:val="0"/>
            <w:webHidden/>
            <w:sz w:val="20"/>
            <w:szCs w:val="20"/>
          </w:rPr>
        </w:r>
        <w:r w:rsidRPr="00A449A3">
          <w:rPr>
            <w:b w:val="0"/>
            <w:webHidden/>
            <w:sz w:val="20"/>
            <w:szCs w:val="20"/>
          </w:rPr>
          <w:fldChar w:fldCharType="separate"/>
        </w:r>
        <w:r w:rsidR="001361E0">
          <w:rPr>
            <w:b w:val="0"/>
            <w:webHidden/>
            <w:sz w:val="20"/>
            <w:szCs w:val="20"/>
          </w:rPr>
          <w:t>224</w:t>
        </w:r>
        <w:r w:rsidRPr="00A449A3">
          <w:rPr>
            <w:b w:val="0"/>
            <w:webHidden/>
            <w:sz w:val="20"/>
            <w:szCs w:val="20"/>
          </w:rPr>
          <w:fldChar w:fldCharType="end"/>
        </w:r>
      </w:hyperlink>
    </w:p>
    <w:p w:rsidR="00476487" w:rsidRPr="00ED77E9" w:rsidRDefault="00BF1936" w:rsidP="00A449A3">
      <w:pPr>
        <w:pStyle w:val="TOC2"/>
        <w:spacing w:after="40"/>
        <w:rPr>
          <w:b w:val="0"/>
        </w:rPr>
      </w:pPr>
      <w:r w:rsidRPr="00A449A3">
        <w:rPr>
          <w:b w:val="0"/>
          <w:sz w:val="20"/>
          <w:szCs w:val="20"/>
        </w:rPr>
        <w:fldChar w:fldCharType="end"/>
      </w:r>
      <w:r w:rsidR="002B0264" w:rsidRPr="00ED77E9">
        <w:rPr>
          <w:b w:val="0"/>
          <w:bCs/>
        </w:rPr>
        <w:br w:type="page"/>
      </w:r>
    </w:p>
    <w:p w:rsidR="009305D7" w:rsidRPr="00B45B4F" w:rsidRDefault="009305D7" w:rsidP="00A52885">
      <w:pPr>
        <w:pStyle w:val="Heading1"/>
        <w:shd w:val="clear" w:color="auto" w:fill="0063B8"/>
        <w:tabs>
          <w:tab w:val="num" w:pos="720"/>
        </w:tabs>
        <w:spacing w:before="120" w:after="120" w:line="276" w:lineRule="auto"/>
        <w:ind w:left="720" w:hanging="720"/>
        <w:rPr>
          <w:rFonts w:ascii="Verdana" w:hAnsi="Verdana"/>
          <w:b w:val="0"/>
          <w:caps/>
          <w:color w:val="FFFFFF"/>
          <w:lang w:val="bg-BG"/>
        </w:rPr>
      </w:pPr>
      <w:bookmarkStart w:id="22" w:name="_Toc395612503"/>
      <w:r w:rsidRPr="00B45B4F">
        <w:rPr>
          <w:rFonts w:ascii="Verdana" w:hAnsi="Verdana"/>
          <w:b w:val="0"/>
          <w:caps/>
          <w:color w:val="FFFFFF"/>
          <w:lang w:val="bg-BG"/>
        </w:rPr>
        <w:lastRenderedPageBreak/>
        <w:t>Списък на използваните съкращения</w:t>
      </w:r>
      <w:bookmarkEnd w:id="22"/>
    </w:p>
    <w:p w:rsidR="009305D7" w:rsidRPr="00B45B4F" w:rsidRDefault="009305D7" w:rsidP="00526501">
      <w:pPr>
        <w:tabs>
          <w:tab w:val="left" w:pos="1701"/>
        </w:tabs>
        <w:spacing w:before="60" w:after="60" w:line="240" w:lineRule="auto"/>
        <w:ind w:left="96"/>
        <w:rPr>
          <w:rFonts w:cs="Arial"/>
          <w:sz w:val="24"/>
          <w:szCs w:val="24"/>
          <w:lang w:val="bg-BG"/>
        </w:rPr>
      </w:pPr>
    </w:p>
    <w:tbl>
      <w:tblPr>
        <w:tblW w:w="9090" w:type="dxa"/>
        <w:tblInd w:w="68" w:type="dxa"/>
        <w:tblBorders>
          <w:insideV w:val="single" w:sz="4" w:space="0" w:color="548DD4" w:themeColor="text2" w:themeTint="99"/>
        </w:tblBorders>
        <w:tblCellMar>
          <w:left w:w="68" w:type="dxa"/>
          <w:right w:w="68" w:type="dxa"/>
        </w:tblCellMar>
        <w:tblLook w:val="01E0" w:firstRow="1" w:lastRow="1" w:firstColumn="1" w:lastColumn="1" w:noHBand="0" w:noVBand="0"/>
      </w:tblPr>
      <w:tblGrid>
        <w:gridCol w:w="1440"/>
        <w:gridCol w:w="7650"/>
      </w:tblGrid>
      <w:tr w:rsidR="009305D7" w:rsidRPr="00B45B4F" w:rsidTr="00A0386E">
        <w:tc>
          <w:tcPr>
            <w:tcW w:w="1440" w:type="dxa"/>
          </w:tcPr>
          <w:p w:rsidR="009305D7" w:rsidRPr="00B45B4F" w:rsidRDefault="009F6245" w:rsidP="00526501">
            <w:pPr>
              <w:spacing w:before="60" w:after="60" w:line="240" w:lineRule="auto"/>
              <w:rPr>
                <w:rFonts w:ascii="Verdana" w:hAnsi="Verdana" w:cs="Arial"/>
                <w:b/>
                <w:sz w:val="20"/>
                <w:szCs w:val="20"/>
                <w:lang w:val="bg-BG"/>
              </w:rPr>
            </w:pPr>
            <w:r w:rsidRPr="00B45B4F">
              <w:rPr>
                <w:rFonts w:ascii="Verdana" w:hAnsi="Verdana" w:cs="Arial"/>
                <w:b/>
                <w:sz w:val="20"/>
                <w:szCs w:val="20"/>
                <w:lang w:val="bg-BG"/>
              </w:rPr>
              <w:t>БАН</w:t>
            </w:r>
          </w:p>
        </w:tc>
        <w:tc>
          <w:tcPr>
            <w:tcW w:w="7650" w:type="dxa"/>
          </w:tcPr>
          <w:p w:rsidR="009305D7" w:rsidRPr="00B45B4F" w:rsidRDefault="009F6245" w:rsidP="00BB0ECD">
            <w:pPr>
              <w:spacing w:before="60" w:after="60" w:line="240" w:lineRule="auto"/>
              <w:ind w:left="22"/>
              <w:rPr>
                <w:rFonts w:ascii="Verdana" w:hAnsi="Verdana" w:cs="Arial"/>
                <w:sz w:val="20"/>
                <w:szCs w:val="20"/>
                <w:lang w:val="bg-BG"/>
              </w:rPr>
            </w:pPr>
            <w:r w:rsidRPr="00B45B4F">
              <w:rPr>
                <w:rFonts w:ascii="Verdana" w:hAnsi="Verdana" w:cs="Arial"/>
                <w:sz w:val="20"/>
                <w:szCs w:val="20"/>
                <w:lang w:val="bg-BG"/>
              </w:rPr>
              <w:t>Българска академия на науките</w:t>
            </w:r>
          </w:p>
        </w:tc>
      </w:tr>
      <w:tr w:rsidR="009F6245" w:rsidRPr="00B45B4F" w:rsidTr="00A0386E">
        <w:tc>
          <w:tcPr>
            <w:tcW w:w="1440" w:type="dxa"/>
          </w:tcPr>
          <w:p w:rsidR="009F6245" w:rsidRPr="00B45B4F" w:rsidRDefault="009F6245" w:rsidP="009F6245">
            <w:pPr>
              <w:spacing w:before="60" w:after="60" w:line="240" w:lineRule="auto"/>
              <w:rPr>
                <w:rFonts w:ascii="Verdana" w:hAnsi="Verdana" w:cs="Arial"/>
                <w:b/>
                <w:sz w:val="20"/>
                <w:szCs w:val="20"/>
                <w:lang w:val="bg-BG"/>
              </w:rPr>
            </w:pPr>
            <w:r w:rsidRPr="00B45B4F">
              <w:rPr>
                <w:rFonts w:ascii="Verdana" w:hAnsi="Verdana" w:cs="Arial"/>
                <w:b/>
                <w:sz w:val="20"/>
                <w:szCs w:val="20"/>
                <w:lang w:val="bg-BG"/>
              </w:rPr>
              <w:t>ГД СФМОП</w:t>
            </w:r>
          </w:p>
        </w:tc>
        <w:tc>
          <w:tcPr>
            <w:tcW w:w="7650" w:type="dxa"/>
          </w:tcPr>
          <w:p w:rsidR="009F6245" w:rsidRPr="00B45B4F" w:rsidRDefault="009F6245" w:rsidP="00A0386E">
            <w:pPr>
              <w:spacing w:before="60" w:after="60" w:line="240" w:lineRule="auto"/>
              <w:ind w:left="22" w:right="-68"/>
              <w:rPr>
                <w:rFonts w:ascii="Verdana" w:hAnsi="Verdana" w:cs="Arial"/>
                <w:sz w:val="20"/>
                <w:szCs w:val="20"/>
                <w:lang w:val="bg-BG"/>
              </w:rPr>
            </w:pPr>
            <w:r w:rsidRPr="00B45B4F">
              <w:rPr>
                <w:rFonts w:ascii="Verdana" w:hAnsi="Verdana" w:cs="Arial"/>
                <w:sz w:val="20"/>
                <w:szCs w:val="20"/>
                <w:lang w:val="bg-BG"/>
              </w:rPr>
              <w:t>Главна дирекция „Структурни фондове и международни образователни програми”</w:t>
            </w:r>
          </w:p>
        </w:tc>
      </w:tr>
      <w:tr w:rsidR="00C84BF4" w:rsidRPr="00B45B4F" w:rsidTr="00A0386E">
        <w:tc>
          <w:tcPr>
            <w:tcW w:w="1440" w:type="dxa"/>
          </w:tcPr>
          <w:p w:rsidR="00C84BF4" w:rsidRPr="00B45B4F" w:rsidRDefault="00C84BF4" w:rsidP="009F6245">
            <w:pPr>
              <w:spacing w:before="60" w:after="60" w:line="240" w:lineRule="auto"/>
              <w:rPr>
                <w:rFonts w:ascii="Verdana" w:hAnsi="Verdana" w:cs="Arial"/>
                <w:b/>
                <w:sz w:val="20"/>
                <w:szCs w:val="20"/>
                <w:lang w:val="bg-BG"/>
              </w:rPr>
            </w:pPr>
            <w:r w:rsidRPr="00B45B4F">
              <w:rPr>
                <w:rFonts w:ascii="Verdana" w:hAnsi="Verdana" w:cs="Arial"/>
                <w:b/>
                <w:sz w:val="20"/>
                <w:szCs w:val="20"/>
                <w:lang w:val="bg-BG"/>
              </w:rPr>
              <w:t>ДАЗД</w:t>
            </w:r>
          </w:p>
        </w:tc>
        <w:tc>
          <w:tcPr>
            <w:tcW w:w="7650" w:type="dxa"/>
          </w:tcPr>
          <w:p w:rsidR="00C84BF4" w:rsidRPr="00B45B4F" w:rsidRDefault="00C84BF4" w:rsidP="00BB0ECD">
            <w:pPr>
              <w:spacing w:before="60" w:after="60" w:line="240" w:lineRule="auto"/>
              <w:ind w:left="22"/>
              <w:rPr>
                <w:rFonts w:ascii="Verdana" w:hAnsi="Verdana" w:cs="Arial"/>
                <w:sz w:val="20"/>
                <w:szCs w:val="20"/>
                <w:lang w:val="bg-BG"/>
              </w:rPr>
            </w:pPr>
            <w:r w:rsidRPr="00B45B4F">
              <w:rPr>
                <w:rFonts w:ascii="Verdana" w:hAnsi="Verdana" w:cs="Arial"/>
                <w:sz w:val="20"/>
                <w:szCs w:val="20"/>
                <w:lang w:val="bg-BG"/>
              </w:rPr>
              <w:t>Държавна агенция за закрила на детето</w:t>
            </w:r>
          </w:p>
        </w:tc>
      </w:tr>
      <w:tr w:rsidR="009F6245" w:rsidRPr="00B45B4F" w:rsidTr="00A0386E">
        <w:tc>
          <w:tcPr>
            <w:tcW w:w="1440" w:type="dxa"/>
          </w:tcPr>
          <w:p w:rsidR="009F6245" w:rsidRPr="00B45B4F" w:rsidRDefault="009F6245" w:rsidP="00526501">
            <w:pPr>
              <w:spacing w:before="60" w:after="60" w:line="240" w:lineRule="auto"/>
              <w:rPr>
                <w:rFonts w:ascii="Verdana" w:hAnsi="Verdana" w:cs="Arial"/>
                <w:b/>
                <w:sz w:val="20"/>
                <w:szCs w:val="20"/>
                <w:lang w:val="bg-BG"/>
              </w:rPr>
            </w:pPr>
            <w:r w:rsidRPr="00B45B4F">
              <w:rPr>
                <w:rFonts w:ascii="Verdana" w:hAnsi="Verdana" w:cs="Arial"/>
                <w:b/>
                <w:sz w:val="20"/>
                <w:szCs w:val="20"/>
                <w:lang w:val="bg-BG"/>
              </w:rPr>
              <w:t>ЕК</w:t>
            </w:r>
          </w:p>
        </w:tc>
        <w:tc>
          <w:tcPr>
            <w:tcW w:w="7650" w:type="dxa"/>
          </w:tcPr>
          <w:p w:rsidR="009F6245" w:rsidRPr="00B45B4F" w:rsidRDefault="009F6245" w:rsidP="00BB0ECD">
            <w:pPr>
              <w:spacing w:before="60" w:after="60" w:line="240" w:lineRule="auto"/>
              <w:ind w:left="22"/>
              <w:rPr>
                <w:rFonts w:ascii="Verdana" w:hAnsi="Verdana" w:cs="Arial"/>
                <w:sz w:val="20"/>
                <w:szCs w:val="20"/>
                <w:lang w:val="bg-BG"/>
              </w:rPr>
            </w:pPr>
            <w:r w:rsidRPr="00B45B4F">
              <w:rPr>
                <w:rFonts w:ascii="Verdana" w:hAnsi="Verdana" w:cs="Arial"/>
                <w:sz w:val="20"/>
                <w:szCs w:val="20"/>
                <w:lang w:val="bg-BG"/>
              </w:rPr>
              <w:t>Европейска комисия</w:t>
            </w:r>
          </w:p>
        </w:tc>
      </w:tr>
      <w:tr w:rsidR="009F6245" w:rsidRPr="00B45B4F" w:rsidTr="00A0386E">
        <w:tc>
          <w:tcPr>
            <w:tcW w:w="1440" w:type="dxa"/>
          </w:tcPr>
          <w:p w:rsidR="009F6245" w:rsidRPr="00B45B4F" w:rsidRDefault="009F6245" w:rsidP="00526501">
            <w:pPr>
              <w:spacing w:before="60" w:after="60" w:line="240" w:lineRule="auto"/>
              <w:rPr>
                <w:rFonts w:ascii="Verdana" w:hAnsi="Verdana" w:cs="Arial"/>
                <w:b/>
                <w:sz w:val="20"/>
                <w:szCs w:val="20"/>
                <w:lang w:val="bg-BG"/>
              </w:rPr>
            </w:pPr>
            <w:r w:rsidRPr="00B45B4F">
              <w:rPr>
                <w:rFonts w:ascii="Verdana" w:hAnsi="Verdana" w:cs="Arial"/>
                <w:b/>
                <w:sz w:val="20"/>
                <w:szCs w:val="20"/>
                <w:lang w:val="bg-BG"/>
              </w:rPr>
              <w:t>EС</w:t>
            </w:r>
          </w:p>
        </w:tc>
        <w:tc>
          <w:tcPr>
            <w:tcW w:w="7650" w:type="dxa"/>
          </w:tcPr>
          <w:p w:rsidR="009F6245" w:rsidRPr="00B45B4F" w:rsidRDefault="009F6245" w:rsidP="00BB0ECD">
            <w:pPr>
              <w:spacing w:before="60" w:after="60" w:line="240" w:lineRule="auto"/>
              <w:ind w:left="22"/>
              <w:rPr>
                <w:rFonts w:ascii="Verdana" w:hAnsi="Verdana" w:cs="Arial"/>
                <w:sz w:val="20"/>
                <w:szCs w:val="20"/>
                <w:lang w:val="bg-BG"/>
              </w:rPr>
            </w:pPr>
            <w:r w:rsidRPr="00B45B4F">
              <w:rPr>
                <w:rFonts w:ascii="Verdana" w:hAnsi="Verdana" w:cs="Arial"/>
                <w:sz w:val="20"/>
                <w:szCs w:val="20"/>
                <w:lang w:val="bg-BG"/>
              </w:rPr>
              <w:t>Европейски съюз</w:t>
            </w:r>
          </w:p>
        </w:tc>
      </w:tr>
      <w:tr w:rsidR="009F6245" w:rsidRPr="00B45B4F" w:rsidTr="00A0386E">
        <w:tc>
          <w:tcPr>
            <w:tcW w:w="1440" w:type="dxa"/>
          </w:tcPr>
          <w:p w:rsidR="009F6245" w:rsidRPr="00B45B4F" w:rsidRDefault="009F6245" w:rsidP="00526501">
            <w:pPr>
              <w:spacing w:before="60" w:after="60" w:line="240" w:lineRule="auto"/>
              <w:rPr>
                <w:rFonts w:ascii="Verdana" w:hAnsi="Verdana" w:cs="Arial"/>
                <w:b/>
                <w:sz w:val="20"/>
                <w:szCs w:val="20"/>
                <w:lang w:val="bg-BG"/>
              </w:rPr>
            </w:pPr>
            <w:r w:rsidRPr="00B45B4F">
              <w:rPr>
                <w:rFonts w:ascii="Verdana" w:hAnsi="Verdana" w:cs="Arial"/>
                <w:b/>
                <w:sz w:val="20"/>
                <w:szCs w:val="20"/>
                <w:lang w:val="bg-BG"/>
              </w:rPr>
              <w:t>ЕСИФ</w:t>
            </w:r>
          </w:p>
        </w:tc>
        <w:tc>
          <w:tcPr>
            <w:tcW w:w="7650" w:type="dxa"/>
          </w:tcPr>
          <w:p w:rsidR="009F6245" w:rsidRPr="00B45B4F" w:rsidRDefault="009F6245" w:rsidP="00BB0ECD">
            <w:pPr>
              <w:spacing w:before="60" w:after="60" w:line="240" w:lineRule="auto"/>
              <w:ind w:left="22"/>
              <w:rPr>
                <w:rFonts w:ascii="Verdana" w:hAnsi="Verdana" w:cs="Arial"/>
                <w:sz w:val="20"/>
                <w:szCs w:val="20"/>
                <w:lang w:val="bg-BG"/>
              </w:rPr>
            </w:pPr>
            <w:r w:rsidRPr="00B45B4F">
              <w:rPr>
                <w:rFonts w:ascii="Verdana" w:hAnsi="Verdana" w:cs="Arial"/>
                <w:sz w:val="20"/>
                <w:szCs w:val="20"/>
                <w:lang w:val="bg-BG"/>
              </w:rPr>
              <w:t>Европейски структурни и инвестиционни фондове</w:t>
            </w:r>
          </w:p>
        </w:tc>
      </w:tr>
      <w:tr w:rsidR="009F6245" w:rsidRPr="00B45B4F" w:rsidTr="00A0386E">
        <w:tc>
          <w:tcPr>
            <w:tcW w:w="1440" w:type="dxa"/>
          </w:tcPr>
          <w:p w:rsidR="009F6245" w:rsidRPr="00B45B4F" w:rsidRDefault="009F6245" w:rsidP="00526501">
            <w:pPr>
              <w:spacing w:before="60" w:after="60" w:line="240" w:lineRule="auto"/>
              <w:rPr>
                <w:rFonts w:ascii="Verdana" w:hAnsi="Verdana" w:cs="Arial"/>
                <w:b/>
                <w:sz w:val="20"/>
                <w:szCs w:val="20"/>
                <w:lang w:val="bg-BG"/>
              </w:rPr>
            </w:pPr>
            <w:r w:rsidRPr="00B45B4F">
              <w:rPr>
                <w:rFonts w:ascii="Verdana" w:hAnsi="Verdana" w:cs="Arial"/>
                <w:b/>
                <w:sz w:val="20"/>
                <w:szCs w:val="20"/>
                <w:lang w:val="bg-BG"/>
              </w:rPr>
              <w:t>ЕСФ</w:t>
            </w:r>
          </w:p>
        </w:tc>
        <w:tc>
          <w:tcPr>
            <w:tcW w:w="7650" w:type="dxa"/>
          </w:tcPr>
          <w:p w:rsidR="009F6245" w:rsidRPr="00B45B4F" w:rsidRDefault="009F6245" w:rsidP="00BB0ECD">
            <w:pPr>
              <w:spacing w:before="60" w:after="60" w:line="240" w:lineRule="auto"/>
              <w:ind w:left="22"/>
              <w:rPr>
                <w:rFonts w:ascii="Verdana" w:hAnsi="Verdana" w:cs="Arial"/>
                <w:sz w:val="20"/>
                <w:szCs w:val="20"/>
                <w:lang w:val="bg-BG"/>
              </w:rPr>
            </w:pPr>
            <w:r w:rsidRPr="00B45B4F">
              <w:rPr>
                <w:rFonts w:ascii="Verdana" w:hAnsi="Verdana" w:cs="Arial"/>
                <w:sz w:val="20"/>
                <w:szCs w:val="20"/>
                <w:lang w:val="bg-BG"/>
              </w:rPr>
              <w:t>Европейски социален фонд</w:t>
            </w:r>
          </w:p>
        </w:tc>
      </w:tr>
      <w:tr w:rsidR="006569A6" w:rsidRPr="00B45B4F" w:rsidTr="00A0386E">
        <w:tc>
          <w:tcPr>
            <w:tcW w:w="1440" w:type="dxa"/>
          </w:tcPr>
          <w:p w:rsidR="006569A6" w:rsidRPr="00B45B4F" w:rsidRDefault="006569A6" w:rsidP="00526501">
            <w:pPr>
              <w:spacing w:before="60" w:after="60" w:line="240" w:lineRule="auto"/>
              <w:rPr>
                <w:rFonts w:ascii="Verdana" w:hAnsi="Verdana" w:cs="Arial"/>
                <w:b/>
                <w:sz w:val="20"/>
                <w:szCs w:val="20"/>
                <w:lang w:val="bg-BG"/>
              </w:rPr>
            </w:pPr>
            <w:r w:rsidRPr="00B45B4F">
              <w:rPr>
                <w:rFonts w:ascii="Verdana" w:hAnsi="Verdana" w:cs="Arial"/>
                <w:b/>
                <w:sz w:val="20"/>
                <w:szCs w:val="20"/>
                <w:lang w:val="bg-BG"/>
              </w:rPr>
              <w:t>ИП</w:t>
            </w:r>
          </w:p>
        </w:tc>
        <w:tc>
          <w:tcPr>
            <w:tcW w:w="7650" w:type="dxa"/>
          </w:tcPr>
          <w:p w:rsidR="006569A6" w:rsidRPr="00B45B4F" w:rsidRDefault="006569A6" w:rsidP="00BB0ECD">
            <w:pPr>
              <w:spacing w:before="60" w:after="60" w:line="240" w:lineRule="auto"/>
              <w:ind w:left="22"/>
              <w:rPr>
                <w:rFonts w:ascii="Verdana" w:hAnsi="Verdana" w:cs="Arial"/>
                <w:sz w:val="20"/>
                <w:szCs w:val="20"/>
                <w:lang w:val="bg-BG"/>
              </w:rPr>
            </w:pPr>
            <w:r w:rsidRPr="00B45B4F">
              <w:rPr>
                <w:rFonts w:ascii="Verdana" w:hAnsi="Verdana" w:cs="Arial"/>
                <w:sz w:val="20"/>
                <w:szCs w:val="20"/>
                <w:lang w:val="bg-BG"/>
              </w:rPr>
              <w:t>Инвестиционен приоритет</w:t>
            </w:r>
          </w:p>
        </w:tc>
      </w:tr>
      <w:tr w:rsidR="009F6245" w:rsidRPr="00B45B4F" w:rsidTr="00A0386E">
        <w:tc>
          <w:tcPr>
            <w:tcW w:w="1440" w:type="dxa"/>
          </w:tcPr>
          <w:p w:rsidR="009F6245" w:rsidRPr="00B45B4F" w:rsidRDefault="009F6245" w:rsidP="009305D7">
            <w:pPr>
              <w:spacing w:before="60" w:after="60" w:line="240" w:lineRule="auto"/>
              <w:rPr>
                <w:rFonts w:ascii="Verdana" w:hAnsi="Verdana" w:cs="Arial"/>
                <w:b/>
                <w:sz w:val="20"/>
                <w:szCs w:val="20"/>
                <w:lang w:val="bg-BG"/>
              </w:rPr>
            </w:pPr>
            <w:r w:rsidRPr="00B45B4F">
              <w:rPr>
                <w:rFonts w:ascii="Verdana" w:hAnsi="Verdana" w:cs="Arial"/>
                <w:b/>
                <w:sz w:val="20"/>
                <w:szCs w:val="20"/>
                <w:lang w:val="bg-BG"/>
              </w:rPr>
              <w:t>МС</w:t>
            </w:r>
          </w:p>
        </w:tc>
        <w:tc>
          <w:tcPr>
            <w:tcW w:w="7650" w:type="dxa"/>
          </w:tcPr>
          <w:p w:rsidR="009F6245" w:rsidRPr="00B45B4F" w:rsidRDefault="009F6245" w:rsidP="00BB0ECD">
            <w:pPr>
              <w:spacing w:before="60" w:after="60" w:line="240" w:lineRule="auto"/>
              <w:ind w:left="22"/>
              <w:rPr>
                <w:rFonts w:ascii="Verdana" w:hAnsi="Verdana" w:cs="Arial"/>
                <w:sz w:val="20"/>
                <w:szCs w:val="20"/>
                <w:lang w:val="bg-BG"/>
              </w:rPr>
            </w:pPr>
            <w:r w:rsidRPr="00B45B4F">
              <w:rPr>
                <w:rFonts w:ascii="Verdana" w:hAnsi="Verdana" w:cs="Arial"/>
                <w:sz w:val="20"/>
                <w:szCs w:val="20"/>
                <w:lang w:val="bg-BG"/>
              </w:rPr>
              <w:t>Министерски съвет</w:t>
            </w:r>
          </w:p>
        </w:tc>
      </w:tr>
      <w:tr w:rsidR="009F6245" w:rsidRPr="00B45B4F" w:rsidTr="00A0386E">
        <w:tc>
          <w:tcPr>
            <w:tcW w:w="1440" w:type="dxa"/>
          </w:tcPr>
          <w:p w:rsidR="009F6245" w:rsidRPr="00B45B4F" w:rsidRDefault="009F6245" w:rsidP="00C52D46">
            <w:pPr>
              <w:spacing w:before="60" w:after="60" w:line="240" w:lineRule="auto"/>
              <w:rPr>
                <w:rFonts w:ascii="Verdana" w:hAnsi="Verdana" w:cs="Arial"/>
                <w:b/>
                <w:sz w:val="20"/>
                <w:szCs w:val="20"/>
                <w:lang w:val="bg-BG"/>
              </w:rPr>
            </w:pPr>
            <w:r w:rsidRPr="00B45B4F">
              <w:rPr>
                <w:rFonts w:ascii="Verdana" w:hAnsi="Verdana" w:cs="Arial"/>
                <w:b/>
                <w:sz w:val="20"/>
                <w:szCs w:val="20"/>
                <w:lang w:val="bg-BG"/>
              </w:rPr>
              <w:t>МОН</w:t>
            </w:r>
          </w:p>
        </w:tc>
        <w:tc>
          <w:tcPr>
            <w:tcW w:w="7650" w:type="dxa"/>
          </w:tcPr>
          <w:p w:rsidR="009F6245" w:rsidRPr="00B45B4F" w:rsidRDefault="009F6245" w:rsidP="00BB0ECD">
            <w:pPr>
              <w:spacing w:before="60" w:after="60" w:line="240" w:lineRule="auto"/>
              <w:ind w:left="22"/>
              <w:rPr>
                <w:rFonts w:ascii="Verdana" w:hAnsi="Verdana" w:cs="Arial"/>
                <w:sz w:val="20"/>
                <w:szCs w:val="20"/>
                <w:lang w:val="bg-BG"/>
              </w:rPr>
            </w:pPr>
            <w:r w:rsidRPr="00B45B4F">
              <w:rPr>
                <w:rFonts w:ascii="Verdana" w:hAnsi="Verdana" w:cs="Arial"/>
                <w:sz w:val="20"/>
                <w:szCs w:val="20"/>
                <w:lang w:val="bg-BG"/>
              </w:rPr>
              <w:t>Министерство на образованието и науката</w:t>
            </w:r>
          </w:p>
        </w:tc>
      </w:tr>
      <w:tr w:rsidR="009F6245" w:rsidRPr="00B45B4F" w:rsidTr="00A0386E">
        <w:tc>
          <w:tcPr>
            <w:tcW w:w="1440" w:type="dxa"/>
          </w:tcPr>
          <w:p w:rsidR="009F6245" w:rsidRPr="00B45B4F" w:rsidRDefault="009F6245" w:rsidP="00C52D46">
            <w:pPr>
              <w:spacing w:before="60" w:after="60" w:line="240" w:lineRule="auto"/>
              <w:rPr>
                <w:rFonts w:ascii="Verdana" w:hAnsi="Verdana" w:cs="Arial"/>
                <w:b/>
                <w:sz w:val="20"/>
                <w:szCs w:val="20"/>
                <w:lang w:val="bg-BG"/>
              </w:rPr>
            </w:pPr>
            <w:r w:rsidRPr="00B45B4F">
              <w:rPr>
                <w:rFonts w:ascii="Verdana" w:hAnsi="Verdana" w:cs="Arial"/>
                <w:b/>
                <w:sz w:val="20"/>
                <w:szCs w:val="20"/>
                <w:lang w:val="bg-BG"/>
              </w:rPr>
              <w:t>НИРД</w:t>
            </w:r>
          </w:p>
        </w:tc>
        <w:tc>
          <w:tcPr>
            <w:tcW w:w="7650" w:type="dxa"/>
          </w:tcPr>
          <w:p w:rsidR="009F6245" w:rsidRPr="00B45B4F" w:rsidRDefault="009F6245" w:rsidP="00BB0ECD">
            <w:pPr>
              <w:spacing w:before="60" w:after="60" w:line="240" w:lineRule="auto"/>
              <w:ind w:left="22"/>
              <w:rPr>
                <w:rFonts w:ascii="Verdana" w:hAnsi="Verdana" w:cs="Arial"/>
                <w:sz w:val="20"/>
                <w:szCs w:val="20"/>
                <w:lang w:val="bg-BG"/>
              </w:rPr>
            </w:pPr>
            <w:r w:rsidRPr="00B45B4F">
              <w:rPr>
                <w:rFonts w:ascii="Verdana" w:hAnsi="Verdana" w:cs="Arial"/>
                <w:sz w:val="20"/>
                <w:szCs w:val="20"/>
                <w:lang w:val="bg-BG"/>
              </w:rPr>
              <w:t>Научноизследователска и развойна дейност</w:t>
            </w:r>
          </w:p>
        </w:tc>
      </w:tr>
      <w:tr w:rsidR="009F6245" w:rsidRPr="00B45B4F" w:rsidTr="00A0386E">
        <w:tc>
          <w:tcPr>
            <w:tcW w:w="1440" w:type="dxa"/>
          </w:tcPr>
          <w:p w:rsidR="009F6245" w:rsidRPr="00B45B4F" w:rsidRDefault="009F6245" w:rsidP="005F5148">
            <w:pPr>
              <w:spacing w:before="60" w:after="60" w:line="240" w:lineRule="auto"/>
              <w:rPr>
                <w:rFonts w:ascii="Verdana" w:hAnsi="Verdana" w:cs="Arial"/>
                <w:b/>
                <w:sz w:val="20"/>
                <w:szCs w:val="20"/>
                <w:lang w:val="bg-BG"/>
              </w:rPr>
            </w:pPr>
            <w:r w:rsidRPr="00B45B4F">
              <w:rPr>
                <w:rFonts w:ascii="Verdana" w:hAnsi="Verdana" w:cs="Arial"/>
                <w:b/>
                <w:sz w:val="20"/>
                <w:szCs w:val="20"/>
                <w:lang w:val="bg-BG"/>
              </w:rPr>
              <w:t>ОПАК</w:t>
            </w:r>
          </w:p>
        </w:tc>
        <w:tc>
          <w:tcPr>
            <w:tcW w:w="7650" w:type="dxa"/>
          </w:tcPr>
          <w:p w:rsidR="009F6245" w:rsidRPr="00B45B4F" w:rsidRDefault="009F6245" w:rsidP="00BB0ECD">
            <w:pPr>
              <w:spacing w:before="60" w:after="60" w:line="240" w:lineRule="auto"/>
              <w:ind w:left="22"/>
              <w:rPr>
                <w:rFonts w:ascii="Verdana" w:hAnsi="Verdana" w:cs="Arial"/>
                <w:sz w:val="20"/>
                <w:szCs w:val="20"/>
                <w:lang w:val="bg-BG"/>
              </w:rPr>
            </w:pPr>
            <w:r w:rsidRPr="00B45B4F">
              <w:rPr>
                <w:rFonts w:ascii="Verdana" w:hAnsi="Verdana" w:cs="Arial"/>
                <w:sz w:val="20"/>
                <w:szCs w:val="20"/>
                <w:lang w:val="bg-BG"/>
              </w:rPr>
              <w:t>Оперативна програма „Административен капацитет” 2007–2013</w:t>
            </w:r>
          </w:p>
        </w:tc>
      </w:tr>
      <w:tr w:rsidR="009F6245" w:rsidRPr="00B45B4F" w:rsidTr="00A0386E">
        <w:tc>
          <w:tcPr>
            <w:tcW w:w="1440" w:type="dxa"/>
          </w:tcPr>
          <w:p w:rsidR="009F6245" w:rsidRPr="00B45B4F" w:rsidRDefault="009F6245" w:rsidP="00526501">
            <w:pPr>
              <w:spacing w:before="60" w:after="60" w:line="240" w:lineRule="auto"/>
              <w:rPr>
                <w:rFonts w:ascii="Verdana" w:hAnsi="Verdana" w:cs="Arial"/>
                <w:b/>
                <w:sz w:val="20"/>
                <w:szCs w:val="20"/>
                <w:lang w:val="bg-BG"/>
              </w:rPr>
            </w:pPr>
            <w:r w:rsidRPr="00B45B4F">
              <w:rPr>
                <w:rFonts w:ascii="Verdana" w:hAnsi="Verdana" w:cs="Arial"/>
                <w:b/>
                <w:sz w:val="20"/>
                <w:szCs w:val="20"/>
                <w:lang w:val="bg-BG"/>
              </w:rPr>
              <w:t>ОПДУ</w:t>
            </w:r>
          </w:p>
        </w:tc>
        <w:tc>
          <w:tcPr>
            <w:tcW w:w="7650" w:type="dxa"/>
          </w:tcPr>
          <w:p w:rsidR="009F6245" w:rsidRPr="00B45B4F" w:rsidRDefault="009F6245" w:rsidP="00BB0ECD">
            <w:pPr>
              <w:spacing w:before="60" w:after="60" w:line="240" w:lineRule="auto"/>
              <w:ind w:left="22"/>
              <w:rPr>
                <w:rFonts w:ascii="Verdana" w:hAnsi="Verdana" w:cs="Arial"/>
                <w:sz w:val="20"/>
                <w:szCs w:val="20"/>
                <w:lang w:val="bg-BG"/>
              </w:rPr>
            </w:pPr>
            <w:r w:rsidRPr="00B45B4F">
              <w:rPr>
                <w:rFonts w:ascii="Verdana" w:hAnsi="Verdana" w:cs="Arial"/>
                <w:sz w:val="20"/>
                <w:szCs w:val="20"/>
                <w:lang w:val="bg-BG"/>
              </w:rPr>
              <w:t>Оперативна програма „Добро управление“</w:t>
            </w:r>
          </w:p>
        </w:tc>
      </w:tr>
      <w:tr w:rsidR="009F6245" w:rsidRPr="00B45B4F" w:rsidTr="00A0386E">
        <w:tc>
          <w:tcPr>
            <w:tcW w:w="1440" w:type="dxa"/>
          </w:tcPr>
          <w:p w:rsidR="009F6245" w:rsidRPr="00B45B4F" w:rsidRDefault="009F6245" w:rsidP="00526501">
            <w:pPr>
              <w:spacing w:before="60" w:after="60" w:line="240" w:lineRule="auto"/>
              <w:rPr>
                <w:rFonts w:ascii="Verdana" w:hAnsi="Verdana" w:cs="Arial"/>
                <w:b/>
                <w:sz w:val="20"/>
                <w:szCs w:val="20"/>
                <w:lang w:val="bg-BG"/>
              </w:rPr>
            </w:pPr>
            <w:r w:rsidRPr="00B45B4F">
              <w:rPr>
                <w:rFonts w:ascii="Verdana" w:hAnsi="Verdana" w:cs="Arial"/>
                <w:b/>
                <w:sz w:val="20"/>
                <w:szCs w:val="20"/>
                <w:lang w:val="bg-BG"/>
              </w:rPr>
              <w:t>ОПИК</w:t>
            </w:r>
          </w:p>
        </w:tc>
        <w:tc>
          <w:tcPr>
            <w:tcW w:w="7650" w:type="dxa"/>
          </w:tcPr>
          <w:p w:rsidR="009F6245" w:rsidRPr="00B45B4F" w:rsidRDefault="009F6245" w:rsidP="00BB0ECD">
            <w:pPr>
              <w:spacing w:before="60" w:after="60" w:line="240" w:lineRule="auto"/>
              <w:ind w:left="22"/>
              <w:rPr>
                <w:rFonts w:ascii="Verdana" w:hAnsi="Verdana" w:cs="Arial"/>
                <w:sz w:val="20"/>
                <w:szCs w:val="20"/>
                <w:lang w:val="bg-BG"/>
              </w:rPr>
            </w:pPr>
            <w:r w:rsidRPr="00B45B4F">
              <w:rPr>
                <w:rFonts w:ascii="Verdana" w:hAnsi="Verdana" w:cs="Arial"/>
                <w:sz w:val="20"/>
                <w:szCs w:val="20"/>
                <w:lang w:val="bg-BG"/>
              </w:rPr>
              <w:t>Оперативна програма „Иновации и конкурентоспособност“ 2014–2020</w:t>
            </w:r>
          </w:p>
        </w:tc>
      </w:tr>
      <w:tr w:rsidR="009F6245" w:rsidRPr="00B45B4F" w:rsidTr="00A0386E">
        <w:tc>
          <w:tcPr>
            <w:tcW w:w="1440" w:type="dxa"/>
          </w:tcPr>
          <w:p w:rsidR="009F6245" w:rsidRPr="00B45B4F" w:rsidRDefault="009F6245" w:rsidP="00526501">
            <w:pPr>
              <w:spacing w:before="60" w:after="60" w:line="240" w:lineRule="auto"/>
              <w:rPr>
                <w:rFonts w:ascii="Verdana" w:hAnsi="Verdana" w:cs="Arial"/>
                <w:b/>
                <w:sz w:val="20"/>
                <w:szCs w:val="20"/>
                <w:lang w:val="bg-BG"/>
              </w:rPr>
            </w:pPr>
            <w:r w:rsidRPr="00B45B4F">
              <w:rPr>
                <w:rFonts w:ascii="Verdana" w:hAnsi="Verdana" w:cs="Arial"/>
                <w:b/>
                <w:sz w:val="20"/>
                <w:szCs w:val="20"/>
                <w:lang w:val="bg-BG"/>
              </w:rPr>
              <w:t>ОПНОИР</w:t>
            </w:r>
          </w:p>
        </w:tc>
        <w:tc>
          <w:tcPr>
            <w:tcW w:w="7650" w:type="dxa"/>
          </w:tcPr>
          <w:p w:rsidR="009F6245" w:rsidRPr="00B45B4F" w:rsidRDefault="009F6245" w:rsidP="00BB0ECD">
            <w:pPr>
              <w:spacing w:before="60" w:after="60" w:line="240" w:lineRule="auto"/>
              <w:ind w:left="22"/>
              <w:rPr>
                <w:rFonts w:ascii="Verdana" w:hAnsi="Verdana" w:cs="Arial"/>
                <w:sz w:val="20"/>
                <w:szCs w:val="20"/>
                <w:lang w:val="bg-BG"/>
              </w:rPr>
            </w:pPr>
            <w:r w:rsidRPr="00B45B4F">
              <w:rPr>
                <w:rFonts w:ascii="Verdana" w:hAnsi="Verdana" w:cs="Arial"/>
                <w:sz w:val="20"/>
                <w:szCs w:val="20"/>
                <w:lang w:val="bg-BG"/>
              </w:rPr>
              <w:t>Оперативна програма „Наука и образование за интелигентен растеж”</w:t>
            </w:r>
          </w:p>
        </w:tc>
      </w:tr>
      <w:tr w:rsidR="009F6245" w:rsidRPr="00B45B4F" w:rsidTr="00A0386E">
        <w:tc>
          <w:tcPr>
            <w:tcW w:w="1440" w:type="dxa"/>
          </w:tcPr>
          <w:p w:rsidR="009F6245" w:rsidRPr="00B45B4F" w:rsidRDefault="009F6245" w:rsidP="00526501">
            <w:pPr>
              <w:spacing w:before="60" w:after="60" w:line="240" w:lineRule="auto"/>
              <w:rPr>
                <w:rFonts w:ascii="Verdana" w:hAnsi="Verdana" w:cs="Arial"/>
                <w:b/>
                <w:sz w:val="20"/>
                <w:szCs w:val="20"/>
                <w:lang w:val="bg-BG"/>
              </w:rPr>
            </w:pPr>
            <w:r w:rsidRPr="00B45B4F">
              <w:rPr>
                <w:rFonts w:ascii="Verdana" w:hAnsi="Verdana" w:cs="Arial"/>
                <w:b/>
                <w:sz w:val="20"/>
                <w:szCs w:val="20"/>
                <w:lang w:val="bg-BG"/>
              </w:rPr>
              <w:t>ОПОС</w:t>
            </w:r>
          </w:p>
        </w:tc>
        <w:tc>
          <w:tcPr>
            <w:tcW w:w="7650" w:type="dxa"/>
          </w:tcPr>
          <w:p w:rsidR="009F6245" w:rsidRPr="00B45B4F" w:rsidRDefault="009F6245" w:rsidP="00BB0ECD">
            <w:pPr>
              <w:spacing w:before="60" w:after="60" w:line="240" w:lineRule="auto"/>
              <w:ind w:left="22"/>
              <w:rPr>
                <w:rFonts w:ascii="Verdana" w:hAnsi="Verdana" w:cs="Arial"/>
                <w:sz w:val="20"/>
                <w:szCs w:val="20"/>
                <w:lang w:val="bg-BG"/>
              </w:rPr>
            </w:pPr>
            <w:r w:rsidRPr="00B45B4F">
              <w:rPr>
                <w:rFonts w:ascii="Verdana" w:hAnsi="Verdana" w:cs="Arial"/>
                <w:sz w:val="20"/>
                <w:szCs w:val="20"/>
                <w:lang w:val="bg-BG"/>
              </w:rPr>
              <w:t>Оперативна програма „Околна среда“</w:t>
            </w:r>
          </w:p>
        </w:tc>
      </w:tr>
      <w:tr w:rsidR="009F6245" w:rsidRPr="00B45B4F" w:rsidTr="00A0386E">
        <w:tc>
          <w:tcPr>
            <w:tcW w:w="1440" w:type="dxa"/>
          </w:tcPr>
          <w:p w:rsidR="009F6245" w:rsidRPr="00B45B4F" w:rsidRDefault="009F6245" w:rsidP="00526501">
            <w:pPr>
              <w:spacing w:before="60" w:after="60" w:line="240" w:lineRule="auto"/>
              <w:rPr>
                <w:rFonts w:ascii="Verdana" w:hAnsi="Verdana" w:cs="Arial"/>
                <w:b/>
                <w:sz w:val="20"/>
                <w:szCs w:val="20"/>
                <w:lang w:val="bg-BG"/>
              </w:rPr>
            </w:pPr>
            <w:r w:rsidRPr="00B45B4F">
              <w:rPr>
                <w:rFonts w:ascii="Verdana" w:hAnsi="Verdana" w:cs="Arial"/>
                <w:b/>
                <w:sz w:val="20"/>
                <w:szCs w:val="20"/>
                <w:lang w:val="bg-BG"/>
              </w:rPr>
              <w:t>ОПРР</w:t>
            </w:r>
          </w:p>
        </w:tc>
        <w:tc>
          <w:tcPr>
            <w:tcW w:w="7650" w:type="dxa"/>
          </w:tcPr>
          <w:p w:rsidR="009F6245" w:rsidRPr="00B45B4F" w:rsidRDefault="009F6245" w:rsidP="00BB0ECD">
            <w:pPr>
              <w:spacing w:before="60" w:after="60" w:line="240" w:lineRule="auto"/>
              <w:ind w:left="22"/>
              <w:rPr>
                <w:rFonts w:ascii="Verdana" w:hAnsi="Verdana" w:cs="Arial"/>
                <w:sz w:val="20"/>
                <w:szCs w:val="20"/>
                <w:lang w:val="bg-BG"/>
              </w:rPr>
            </w:pPr>
            <w:r w:rsidRPr="00B45B4F">
              <w:rPr>
                <w:rFonts w:ascii="Verdana" w:hAnsi="Verdana" w:cs="Arial"/>
                <w:sz w:val="20"/>
                <w:szCs w:val="20"/>
                <w:lang w:val="bg-BG"/>
              </w:rPr>
              <w:t>Оперативна програма „Регионално развитие” 2007–2013 и Оперативна програма „Региони в растеж“ 2014–2020</w:t>
            </w:r>
          </w:p>
        </w:tc>
      </w:tr>
      <w:tr w:rsidR="009F6245" w:rsidRPr="00B45B4F" w:rsidTr="00A0386E">
        <w:tc>
          <w:tcPr>
            <w:tcW w:w="1440" w:type="dxa"/>
          </w:tcPr>
          <w:p w:rsidR="009F6245" w:rsidRPr="00B45B4F" w:rsidRDefault="009F6245" w:rsidP="00526501">
            <w:pPr>
              <w:spacing w:before="60" w:after="60" w:line="240" w:lineRule="auto"/>
              <w:rPr>
                <w:rFonts w:ascii="Verdana" w:hAnsi="Verdana" w:cs="Arial"/>
                <w:b/>
                <w:sz w:val="20"/>
                <w:szCs w:val="20"/>
                <w:lang w:val="bg-BG"/>
              </w:rPr>
            </w:pPr>
            <w:r w:rsidRPr="00B45B4F">
              <w:rPr>
                <w:rFonts w:ascii="Verdana" w:hAnsi="Verdana" w:cs="Arial"/>
                <w:b/>
                <w:sz w:val="20"/>
                <w:szCs w:val="20"/>
                <w:lang w:val="bg-BG"/>
              </w:rPr>
              <w:t>ОПРКБИ</w:t>
            </w:r>
          </w:p>
        </w:tc>
        <w:tc>
          <w:tcPr>
            <w:tcW w:w="7650" w:type="dxa"/>
          </w:tcPr>
          <w:p w:rsidR="009F6245" w:rsidRPr="00B45B4F" w:rsidRDefault="009F6245" w:rsidP="00BB0ECD">
            <w:pPr>
              <w:spacing w:before="60" w:after="60" w:line="240" w:lineRule="auto"/>
              <w:ind w:left="22"/>
              <w:rPr>
                <w:rFonts w:ascii="Verdana" w:hAnsi="Verdana" w:cs="Arial"/>
                <w:sz w:val="20"/>
                <w:szCs w:val="20"/>
                <w:lang w:val="bg-BG"/>
              </w:rPr>
            </w:pPr>
            <w:r w:rsidRPr="00B45B4F">
              <w:rPr>
                <w:rFonts w:ascii="Verdana" w:hAnsi="Verdana" w:cs="Arial"/>
                <w:sz w:val="20"/>
                <w:szCs w:val="20"/>
                <w:lang w:val="bg-BG"/>
              </w:rPr>
              <w:t>Оперативна програма „Развитие на конкурентоспособността на българската икономика”</w:t>
            </w:r>
          </w:p>
        </w:tc>
      </w:tr>
      <w:tr w:rsidR="009F6245" w:rsidRPr="00B45B4F" w:rsidTr="00A0386E">
        <w:tc>
          <w:tcPr>
            <w:tcW w:w="1440" w:type="dxa"/>
          </w:tcPr>
          <w:p w:rsidR="009F6245" w:rsidRPr="00B45B4F" w:rsidRDefault="009F6245" w:rsidP="00526501">
            <w:pPr>
              <w:spacing w:before="60" w:after="60" w:line="240" w:lineRule="auto"/>
              <w:rPr>
                <w:rFonts w:ascii="Verdana" w:hAnsi="Verdana" w:cs="Arial"/>
                <w:b/>
                <w:sz w:val="20"/>
                <w:szCs w:val="20"/>
                <w:lang w:val="bg-BG"/>
              </w:rPr>
            </w:pPr>
            <w:r w:rsidRPr="00B45B4F">
              <w:rPr>
                <w:rFonts w:ascii="Verdana" w:hAnsi="Verdana" w:cs="Arial"/>
                <w:b/>
                <w:sz w:val="20"/>
                <w:szCs w:val="20"/>
                <w:lang w:val="bg-BG"/>
              </w:rPr>
              <w:t>ОПРЧР</w:t>
            </w:r>
          </w:p>
        </w:tc>
        <w:tc>
          <w:tcPr>
            <w:tcW w:w="7650" w:type="dxa"/>
          </w:tcPr>
          <w:p w:rsidR="009F6245" w:rsidRPr="00B45B4F" w:rsidRDefault="009F6245" w:rsidP="00BB0ECD">
            <w:pPr>
              <w:spacing w:before="60" w:after="60" w:line="240" w:lineRule="auto"/>
              <w:ind w:left="22"/>
              <w:rPr>
                <w:rFonts w:ascii="Verdana" w:hAnsi="Verdana" w:cs="Arial"/>
                <w:sz w:val="20"/>
                <w:szCs w:val="20"/>
                <w:lang w:val="bg-BG"/>
              </w:rPr>
            </w:pPr>
            <w:r w:rsidRPr="00B45B4F">
              <w:rPr>
                <w:rFonts w:ascii="Verdana" w:hAnsi="Verdana" w:cs="Arial"/>
                <w:sz w:val="20"/>
                <w:szCs w:val="20"/>
                <w:lang w:val="bg-BG"/>
              </w:rPr>
              <w:t>Оперативна програма „Развитие на човешките ресурси“</w:t>
            </w:r>
          </w:p>
        </w:tc>
      </w:tr>
      <w:tr w:rsidR="009F6245" w:rsidRPr="00B45B4F" w:rsidTr="00A0386E">
        <w:tc>
          <w:tcPr>
            <w:tcW w:w="1440" w:type="dxa"/>
          </w:tcPr>
          <w:p w:rsidR="009F6245" w:rsidRPr="00B45B4F" w:rsidRDefault="009F6245" w:rsidP="00526501">
            <w:pPr>
              <w:spacing w:before="60" w:after="60" w:line="240" w:lineRule="auto"/>
              <w:rPr>
                <w:rFonts w:ascii="Verdana" w:hAnsi="Verdana" w:cs="Arial"/>
                <w:b/>
                <w:sz w:val="20"/>
                <w:szCs w:val="20"/>
                <w:lang w:val="bg-BG"/>
              </w:rPr>
            </w:pPr>
            <w:r w:rsidRPr="00B45B4F">
              <w:rPr>
                <w:rFonts w:ascii="Verdana" w:hAnsi="Verdana" w:cs="Arial"/>
                <w:b/>
                <w:sz w:val="20"/>
                <w:szCs w:val="20"/>
                <w:lang w:val="bg-BG"/>
              </w:rPr>
              <w:t>ОСР</w:t>
            </w:r>
          </w:p>
        </w:tc>
        <w:tc>
          <w:tcPr>
            <w:tcW w:w="7650" w:type="dxa"/>
          </w:tcPr>
          <w:p w:rsidR="009F6245" w:rsidRPr="00B45B4F" w:rsidRDefault="009F6245" w:rsidP="00BB0ECD">
            <w:pPr>
              <w:spacing w:before="60" w:after="60" w:line="240" w:lineRule="auto"/>
              <w:ind w:left="22"/>
              <w:rPr>
                <w:rFonts w:ascii="Verdana" w:hAnsi="Verdana" w:cs="Arial"/>
                <w:sz w:val="20"/>
                <w:szCs w:val="20"/>
                <w:lang w:val="bg-BG"/>
              </w:rPr>
            </w:pPr>
            <w:r w:rsidRPr="00B45B4F">
              <w:rPr>
                <w:rFonts w:ascii="Verdana" w:hAnsi="Verdana" w:cs="Arial"/>
                <w:sz w:val="20"/>
                <w:szCs w:val="20"/>
                <w:lang w:val="bg-BG"/>
              </w:rPr>
              <w:t>Обща стратегическа рамка</w:t>
            </w:r>
          </w:p>
        </w:tc>
      </w:tr>
      <w:tr w:rsidR="009F6245" w:rsidRPr="00B45B4F" w:rsidTr="00A0386E">
        <w:tc>
          <w:tcPr>
            <w:tcW w:w="1440" w:type="dxa"/>
          </w:tcPr>
          <w:p w:rsidR="009F6245" w:rsidRPr="00B45B4F" w:rsidRDefault="009F6245" w:rsidP="009F6245">
            <w:pPr>
              <w:spacing w:before="60" w:after="60" w:line="240" w:lineRule="auto"/>
              <w:rPr>
                <w:rFonts w:ascii="Verdana" w:hAnsi="Verdana" w:cs="Arial"/>
                <w:b/>
                <w:sz w:val="20"/>
                <w:szCs w:val="20"/>
                <w:lang w:val="bg-BG"/>
              </w:rPr>
            </w:pPr>
            <w:r w:rsidRPr="00B45B4F">
              <w:rPr>
                <w:rFonts w:ascii="Verdana" w:hAnsi="Verdana" w:cs="Arial"/>
                <w:b/>
                <w:sz w:val="20"/>
                <w:szCs w:val="20"/>
                <w:lang w:val="bg-BG"/>
              </w:rPr>
              <w:t>ОПТТИ</w:t>
            </w:r>
          </w:p>
        </w:tc>
        <w:tc>
          <w:tcPr>
            <w:tcW w:w="7650" w:type="dxa"/>
          </w:tcPr>
          <w:p w:rsidR="009F6245" w:rsidRPr="00B45B4F" w:rsidRDefault="009F6245" w:rsidP="00BB0ECD">
            <w:pPr>
              <w:spacing w:before="60" w:after="60" w:line="240" w:lineRule="auto"/>
              <w:ind w:left="22"/>
              <w:rPr>
                <w:rFonts w:ascii="Verdana" w:hAnsi="Verdana" w:cs="Arial"/>
                <w:sz w:val="20"/>
                <w:szCs w:val="20"/>
                <w:lang w:val="bg-BG"/>
              </w:rPr>
            </w:pPr>
            <w:r w:rsidRPr="00B45B4F">
              <w:rPr>
                <w:rFonts w:ascii="Verdana" w:hAnsi="Verdana" w:cs="Arial"/>
                <w:sz w:val="20"/>
                <w:szCs w:val="20"/>
                <w:lang w:val="bg-BG"/>
              </w:rPr>
              <w:t>Оперативна програма „Транспорт и транспортна инфраструктура“ 2014–2020</w:t>
            </w:r>
          </w:p>
        </w:tc>
      </w:tr>
      <w:tr w:rsidR="009F6245" w:rsidRPr="00B45B4F" w:rsidTr="00A0386E">
        <w:tc>
          <w:tcPr>
            <w:tcW w:w="1440" w:type="dxa"/>
          </w:tcPr>
          <w:p w:rsidR="009F6245" w:rsidRPr="00B45B4F" w:rsidRDefault="009F6245" w:rsidP="00526501">
            <w:pPr>
              <w:spacing w:before="60" w:after="60" w:line="240" w:lineRule="auto"/>
              <w:rPr>
                <w:rFonts w:ascii="Verdana" w:hAnsi="Verdana" w:cs="Arial"/>
                <w:b/>
                <w:sz w:val="20"/>
                <w:szCs w:val="20"/>
                <w:lang w:val="bg-BG"/>
              </w:rPr>
            </w:pPr>
            <w:r w:rsidRPr="00B45B4F">
              <w:rPr>
                <w:rFonts w:ascii="Verdana" w:hAnsi="Verdana" w:cs="Arial"/>
                <w:b/>
                <w:sz w:val="20"/>
                <w:szCs w:val="20"/>
                <w:lang w:val="bg-BG"/>
              </w:rPr>
              <w:t>ПИК</w:t>
            </w:r>
          </w:p>
        </w:tc>
        <w:tc>
          <w:tcPr>
            <w:tcW w:w="7650" w:type="dxa"/>
          </w:tcPr>
          <w:p w:rsidR="009F6245" w:rsidRPr="00B45B4F" w:rsidRDefault="009F6245" w:rsidP="00BB0ECD">
            <w:pPr>
              <w:spacing w:before="60" w:after="60" w:line="240" w:lineRule="auto"/>
              <w:ind w:left="22"/>
              <w:rPr>
                <w:rFonts w:ascii="Verdana" w:hAnsi="Verdana" w:cs="Arial"/>
                <w:sz w:val="20"/>
                <w:szCs w:val="20"/>
                <w:lang w:val="bg-BG"/>
              </w:rPr>
            </w:pPr>
            <w:r w:rsidRPr="00B45B4F">
              <w:rPr>
                <w:rFonts w:ascii="Verdana" w:hAnsi="Verdana" w:cs="Arial"/>
                <w:sz w:val="20"/>
                <w:szCs w:val="20"/>
                <w:lang w:val="bg-BG"/>
              </w:rPr>
              <w:t>Политика по изменението на климата</w:t>
            </w:r>
          </w:p>
        </w:tc>
      </w:tr>
      <w:tr w:rsidR="009F6245" w:rsidRPr="00B45B4F" w:rsidTr="00A0386E">
        <w:tc>
          <w:tcPr>
            <w:tcW w:w="1440" w:type="dxa"/>
          </w:tcPr>
          <w:p w:rsidR="009F6245" w:rsidRPr="00B45B4F" w:rsidRDefault="009F6245" w:rsidP="00526501">
            <w:pPr>
              <w:spacing w:before="60" w:after="60" w:line="240" w:lineRule="auto"/>
              <w:rPr>
                <w:rFonts w:ascii="Verdana" w:hAnsi="Verdana" w:cs="Arial"/>
                <w:b/>
                <w:sz w:val="20"/>
                <w:szCs w:val="20"/>
                <w:lang w:val="bg-BG"/>
              </w:rPr>
            </w:pPr>
            <w:r w:rsidRPr="00B45B4F">
              <w:rPr>
                <w:rFonts w:ascii="Verdana" w:hAnsi="Verdana" w:cs="Arial"/>
                <w:b/>
                <w:sz w:val="20"/>
                <w:szCs w:val="20"/>
                <w:lang w:val="bg-BG"/>
              </w:rPr>
              <w:t>ПМДР</w:t>
            </w:r>
          </w:p>
        </w:tc>
        <w:tc>
          <w:tcPr>
            <w:tcW w:w="7650" w:type="dxa"/>
          </w:tcPr>
          <w:p w:rsidR="009F6245" w:rsidRPr="00B45B4F" w:rsidRDefault="009F6245" w:rsidP="00BB0ECD">
            <w:pPr>
              <w:spacing w:before="60" w:after="60" w:line="240" w:lineRule="auto"/>
              <w:ind w:left="22"/>
              <w:rPr>
                <w:rFonts w:ascii="Verdana" w:hAnsi="Verdana" w:cs="Arial"/>
                <w:sz w:val="20"/>
                <w:szCs w:val="20"/>
                <w:lang w:val="bg-BG"/>
              </w:rPr>
            </w:pPr>
            <w:r w:rsidRPr="00B45B4F">
              <w:rPr>
                <w:rFonts w:ascii="Verdana" w:hAnsi="Verdana" w:cs="Arial"/>
                <w:sz w:val="20"/>
                <w:szCs w:val="20"/>
                <w:lang w:val="bg-BG"/>
              </w:rPr>
              <w:t>Програма за морско дело и рибарство 2014–2020</w:t>
            </w:r>
          </w:p>
        </w:tc>
      </w:tr>
      <w:tr w:rsidR="009F6245" w:rsidRPr="00B45B4F" w:rsidTr="00A0386E">
        <w:tc>
          <w:tcPr>
            <w:tcW w:w="1440" w:type="dxa"/>
          </w:tcPr>
          <w:p w:rsidR="009F6245" w:rsidRPr="00B45B4F" w:rsidRDefault="009F6245" w:rsidP="00951183">
            <w:pPr>
              <w:spacing w:before="60" w:after="60" w:line="240" w:lineRule="auto"/>
              <w:rPr>
                <w:rFonts w:ascii="Verdana" w:hAnsi="Verdana" w:cs="Arial"/>
                <w:b/>
                <w:sz w:val="20"/>
                <w:szCs w:val="20"/>
                <w:lang w:val="bg-BG"/>
              </w:rPr>
            </w:pPr>
            <w:r w:rsidRPr="00B45B4F">
              <w:rPr>
                <w:rFonts w:ascii="Verdana" w:hAnsi="Verdana" w:cs="Arial"/>
                <w:b/>
                <w:sz w:val="20"/>
                <w:szCs w:val="20"/>
                <w:lang w:val="bg-BG"/>
              </w:rPr>
              <w:t>ПО</w:t>
            </w:r>
          </w:p>
        </w:tc>
        <w:tc>
          <w:tcPr>
            <w:tcW w:w="7650" w:type="dxa"/>
          </w:tcPr>
          <w:p w:rsidR="009F6245" w:rsidRPr="00B45B4F" w:rsidRDefault="009F6245" w:rsidP="00BB0ECD">
            <w:pPr>
              <w:spacing w:before="60" w:after="60" w:line="240" w:lineRule="auto"/>
              <w:ind w:left="22"/>
              <w:rPr>
                <w:rFonts w:ascii="Verdana" w:hAnsi="Verdana" w:cs="Arial"/>
                <w:sz w:val="20"/>
                <w:szCs w:val="20"/>
                <w:lang w:val="bg-BG"/>
              </w:rPr>
            </w:pPr>
            <w:r w:rsidRPr="00B45B4F">
              <w:rPr>
                <w:rFonts w:ascii="Verdana" w:hAnsi="Verdana" w:cs="Arial"/>
                <w:sz w:val="20"/>
                <w:szCs w:val="20"/>
                <w:lang w:val="bg-BG"/>
              </w:rPr>
              <w:t>Приоритетна ос</w:t>
            </w:r>
          </w:p>
        </w:tc>
      </w:tr>
      <w:tr w:rsidR="009F6245" w:rsidRPr="00B45B4F" w:rsidTr="00A0386E">
        <w:tc>
          <w:tcPr>
            <w:tcW w:w="1440" w:type="dxa"/>
          </w:tcPr>
          <w:p w:rsidR="009F6245" w:rsidRPr="00B45B4F" w:rsidRDefault="009F6245" w:rsidP="001B37FE">
            <w:pPr>
              <w:spacing w:before="60" w:after="60" w:line="240" w:lineRule="auto"/>
              <w:rPr>
                <w:rFonts w:ascii="Verdana" w:hAnsi="Verdana" w:cs="Arial"/>
                <w:b/>
                <w:sz w:val="20"/>
                <w:szCs w:val="20"/>
                <w:lang w:val="bg-BG"/>
              </w:rPr>
            </w:pPr>
            <w:r w:rsidRPr="00B45B4F">
              <w:rPr>
                <w:rFonts w:ascii="Verdana" w:hAnsi="Verdana" w:cs="Arial"/>
                <w:b/>
                <w:sz w:val="20"/>
                <w:szCs w:val="20"/>
                <w:lang w:val="bg-BG"/>
              </w:rPr>
              <w:t>ПОС</w:t>
            </w:r>
          </w:p>
        </w:tc>
        <w:tc>
          <w:tcPr>
            <w:tcW w:w="7650" w:type="dxa"/>
          </w:tcPr>
          <w:p w:rsidR="009F6245" w:rsidRPr="00B45B4F" w:rsidRDefault="009F6245" w:rsidP="00BB0ECD">
            <w:pPr>
              <w:spacing w:before="60" w:after="60" w:line="240" w:lineRule="auto"/>
              <w:ind w:left="22"/>
              <w:rPr>
                <w:rFonts w:ascii="Verdana" w:hAnsi="Verdana" w:cs="Arial"/>
                <w:sz w:val="20"/>
                <w:szCs w:val="20"/>
                <w:lang w:val="bg-BG"/>
              </w:rPr>
            </w:pPr>
            <w:r w:rsidRPr="00B45B4F">
              <w:rPr>
                <w:rFonts w:ascii="Verdana" w:hAnsi="Verdana" w:cs="Arial"/>
                <w:sz w:val="20"/>
                <w:szCs w:val="20"/>
                <w:lang w:val="bg-BG"/>
              </w:rPr>
              <w:t>Политика по околната среда</w:t>
            </w:r>
          </w:p>
        </w:tc>
      </w:tr>
      <w:tr w:rsidR="009F6245" w:rsidRPr="00B45B4F" w:rsidTr="00A0386E">
        <w:tc>
          <w:tcPr>
            <w:tcW w:w="1440" w:type="dxa"/>
          </w:tcPr>
          <w:p w:rsidR="009F6245" w:rsidRPr="00B45B4F" w:rsidRDefault="009F6245" w:rsidP="00951183">
            <w:pPr>
              <w:spacing w:before="60" w:after="60" w:line="240" w:lineRule="auto"/>
              <w:rPr>
                <w:rFonts w:ascii="Verdana" w:hAnsi="Verdana" w:cs="Arial"/>
                <w:b/>
                <w:sz w:val="20"/>
                <w:szCs w:val="20"/>
                <w:lang w:val="bg-BG"/>
              </w:rPr>
            </w:pPr>
            <w:r w:rsidRPr="00B45B4F">
              <w:rPr>
                <w:rFonts w:ascii="Verdana" w:hAnsi="Verdana" w:cs="Arial"/>
                <w:b/>
                <w:sz w:val="20"/>
                <w:szCs w:val="20"/>
                <w:lang w:val="bg-BG"/>
              </w:rPr>
              <w:t>ПОО</w:t>
            </w:r>
          </w:p>
        </w:tc>
        <w:tc>
          <w:tcPr>
            <w:tcW w:w="7650" w:type="dxa"/>
          </w:tcPr>
          <w:p w:rsidR="009F6245" w:rsidRPr="00B45B4F" w:rsidRDefault="009F6245" w:rsidP="00BB0ECD">
            <w:pPr>
              <w:spacing w:before="60" w:after="60" w:line="240" w:lineRule="auto"/>
              <w:ind w:left="22"/>
              <w:rPr>
                <w:rFonts w:ascii="Verdana" w:hAnsi="Verdana" w:cs="Arial"/>
                <w:sz w:val="20"/>
                <w:szCs w:val="20"/>
                <w:lang w:val="bg-BG"/>
              </w:rPr>
            </w:pPr>
            <w:r w:rsidRPr="00B45B4F">
              <w:rPr>
                <w:rFonts w:ascii="Verdana" w:hAnsi="Verdana" w:cs="Arial"/>
                <w:sz w:val="20"/>
                <w:szCs w:val="20"/>
                <w:lang w:val="bg-BG"/>
              </w:rPr>
              <w:t>Професионално образование и обучение</w:t>
            </w:r>
          </w:p>
        </w:tc>
      </w:tr>
      <w:tr w:rsidR="00BB0ECD" w:rsidRPr="00B45B4F" w:rsidTr="00A0386E">
        <w:tc>
          <w:tcPr>
            <w:tcW w:w="1440" w:type="dxa"/>
          </w:tcPr>
          <w:p w:rsidR="00BB0ECD" w:rsidRPr="00B45B4F" w:rsidRDefault="00BB0ECD" w:rsidP="00BB0ECD">
            <w:pPr>
              <w:spacing w:before="60" w:after="60" w:line="240" w:lineRule="auto"/>
              <w:rPr>
                <w:rFonts w:ascii="Verdana" w:hAnsi="Verdana" w:cs="Arial"/>
                <w:b/>
                <w:sz w:val="20"/>
                <w:szCs w:val="20"/>
                <w:lang w:val="bg-BG"/>
              </w:rPr>
            </w:pPr>
            <w:r w:rsidRPr="00B45B4F">
              <w:rPr>
                <w:rFonts w:ascii="Verdana" w:hAnsi="Verdana" w:cs="Arial"/>
                <w:b/>
                <w:sz w:val="20"/>
                <w:szCs w:val="20"/>
                <w:lang w:val="bg-BG"/>
              </w:rPr>
              <w:t>ПРСР</w:t>
            </w:r>
          </w:p>
        </w:tc>
        <w:tc>
          <w:tcPr>
            <w:tcW w:w="7650" w:type="dxa"/>
          </w:tcPr>
          <w:p w:rsidR="00BB0ECD" w:rsidRPr="00B45B4F" w:rsidRDefault="00BB0ECD" w:rsidP="00BB0ECD">
            <w:pPr>
              <w:spacing w:before="60" w:after="60" w:line="240" w:lineRule="auto"/>
              <w:ind w:left="22"/>
              <w:rPr>
                <w:rFonts w:ascii="Verdana" w:hAnsi="Verdana" w:cs="Arial"/>
                <w:sz w:val="20"/>
                <w:szCs w:val="20"/>
                <w:lang w:val="bg-BG"/>
              </w:rPr>
            </w:pPr>
            <w:r w:rsidRPr="00B45B4F">
              <w:rPr>
                <w:rFonts w:ascii="Verdana" w:hAnsi="Verdana" w:cs="Arial"/>
                <w:sz w:val="20"/>
                <w:szCs w:val="20"/>
                <w:lang w:val="bg-BG"/>
              </w:rPr>
              <w:t>Програма за развитие на селските райони 2014–2020</w:t>
            </w:r>
          </w:p>
        </w:tc>
      </w:tr>
      <w:tr w:rsidR="00BB0ECD" w:rsidRPr="00B45B4F" w:rsidTr="00A0386E">
        <w:tc>
          <w:tcPr>
            <w:tcW w:w="1440" w:type="dxa"/>
          </w:tcPr>
          <w:p w:rsidR="00BB0ECD" w:rsidRPr="00B45B4F" w:rsidRDefault="00BB0ECD" w:rsidP="00393E5F">
            <w:pPr>
              <w:spacing w:before="60" w:after="60" w:line="240" w:lineRule="auto"/>
              <w:rPr>
                <w:rFonts w:ascii="Verdana" w:hAnsi="Verdana" w:cs="Arial"/>
                <w:b/>
                <w:sz w:val="20"/>
                <w:szCs w:val="20"/>
                <w:lang w:val="bg-BG"/>
              </w:rPr>
            </w:pPr>
            <w:r w:rsidRPr="00B45B4F">
              <w:rPr>
                <w:rFonts w:ascii="Verdana" w:hAnsi="Verdana" w:cs="Arial"/>
                <w:b/>
                <w:sz w:val="20"/>
                <w:szCs w:val="20"/>
                <w:lang w:val="bg-BG"/>
              </w:rPr>
              <w:t>РД</w:t>
            </w:r>
          </w:p>
        </w:tc>
        <w:tc>
          <w:tcPr>
            <w:tcW w:w="7650" w:type="dxa"/>
          </w:tcPr>
          <w:p w:rsidR="00BB0ECD" w:rsidRPr="00B45B4F" w:rsidRDefault="00BB0ECD" w:rsidP="00BB0ECD">
            <w:pPr>
              <w:spacing w:before="60" w:after="60" w:line="240" w:lineRule="auto"/>
              <w:ind w:left="22"/>
              <w:rPr>
                <w:rFonts w:ascii="Verdana" w:hAnsi="Verdana" w:cs="Arial"/>
                <w:sz w:val="20"/>
                <w:szCs w:val="20"/>
                <w:lang w:val="bg-BG"/>
              </w:rPr>
            </w:pPr>
            <w:r w:rsidRPr="00B45B4F">
              <w:rPr>
                <w:rFonts w:ascii="Verdana" w:hAnsi="Verdana" w:cs="Arial"/>
                <w:sz w:val="20"/>
                <w:szCs w:val="20"/>
                <w:lang w:val="bg-BG"/>
              </w:rPr>
              <w:t>Работен документ</w:t>
            </w:r>
          </w:p>
        </w:tc>
      </w:tr>
      <w:tr w:rsidR="00BB0ECD" w:rsidRPr="00B45B4F" w:rsidTr="00A0386E">
        <w:tc>
          <w:tcPr>
            <w:tcW w:w="1440" w:type="dxa"/>
          </w:tcPr>
          <w:p w:rsidR="00BB0ECD" w:rsidRPr="00B45B4F" w:rsidRDefault="00BB0ECD" w:rsidP="00951183">
            <w:pPr>
              <w:spacing w:before="60" w:after="60" w:line="240" w:lineRule="auto"/>
              <w:rPr>
                <w:rFonts w:ascii="Verdana" w:hAnsi="Verdana" w:cs="Arial"/>
                <w:b/>
                <w:sz w:val="20"/>
                <w:szCs w:val="20"/>
                <w:lang w:val="bg-BG"/>
              </w:rPr>
            </w:pPr>
            <w:r w:rsidRPr="00B45B4F">
              <w:rPr>
                <w:rFonts w:ascii="Verdana" w:hAnsi="Verdana" w:cs="Arial"/>
                <w:b/>
                <w:sz w:val="20"/>
                <w:szCs w:val="20"/>
                <w:lang w:val="bg-BG"/>
              </w:rPr>
              <w:t>РЕ</w:t>
            </w:r>
          </w:p>
        </w:tc>
        <w:tc>
          <w:tcPr>
            <w:tcW w:w="7650" w:type="dxa"/>
          </w:tcPr>
          <w:p w:rsidR="00BB0ECD" w:rsidRPr="00B45B4F" w:rsidRDefault="00BB0ECD" w:rsidP="00BB0ECD">
            <w:pPr>
              <w:spacing w:before="60" w:after="60" w:line="240" w:lineRule="auto"/>
              <w:ind w:left="22"/>
              <w:rPr>
                <w:rFonts w:ascii="Verdana" w:hAnsi="Verdana" w:cs="Arial"/>
                <w:sz w:val="20"/>
                <w:szCs w:val="20"/>
                <w:lang w:val="bg-BG"/>
              </w:rPr>
            </w:pPr>
            <w:r w:rsidRPr="00B45B4F">
              <w:rPr>
                <w:rFonts w:ascii="Verdana" w:hAnsi="Verdana" w:cs="Arial"/>
                <w:sz w:val="20"/>
                <w:szCs w:val="20"/>
                <w:lang w:val="bg-BG"/>
              </w:rPr>
              <w:t>Ръководител на екип</w:t>
            </w:r>
          </w:p>
        </w:tc>
      </w:tr>
      <w:tr w:rsidR="00BB0ECD" w:rsidRPr="00B45B4F" w:rsidTr="00A0386E">
        <w:tc>
          <w:tcPr>
            <w:tcW w:w="1440" w:type="dxa"/>
          </w:tcPr>
          <w:p w:rsidR="00BB0ECD" w:rsidRPr="00B45B4F" w:rsidRDefault="00BB0ECD" w:rsidP="00951183">
            <w:pPr>
              <w:spacing w:before="60" w:after="60" w:line="240" w:lineRule="auto"/>
              <w:rPr>
                <w:rFonts w:ascii="Verdana" w:hAnsi="Verdana" w:cs="Arial"/>
                <w:b/>
                <w:sz w:val="20"/>
                <w:szCs w:val="20"/>
                <w:lang w:val="bg-BG"/>
              </w:rPr>
            </w:pPr>
            <w:r w:rsidRPr="00B45B4F">
              <w:rPr>
                <w:rFonts w:ascii="Verdana" w:hAnsi="Verdana" w:cs="Arial"/>
                <w:b/>
                <w:sz w:val="20"/>
                <w:szCs w:val="20"/>
                <w:lang w:val="bg-BG"/>
              </w:rPr>
              <w:t>РМС</w:t>
            </w:r>
          </w:p>
        </w:tc>
        <w:tc>
          <w:tcPr>
            <w:tcW w:w="7650" w:type="dxa"/>
          </w:tcPr>
          <w:p w:rsidR="00BB0ECD" w:rsidRPr="00B45B4F" w:rsidRDefault="00BB0ECD" w:rsidP="00BB0ECD">
            <w:pPr>
              <w:spacing w:before="60" w:after="60" w:line="240" w:lineRule="auto"/>
              <w:ind w:left="22"/>
              <w:rPr>
                <w:rFonts w:ascii="Verdana" w:hAnsi="Verdana" w:cs="Arial"/>
                <w:sz w:val="20"/>
                <w:szCs w:val="20"/>
                <w:lang w:val="bg-BG"/>
              </w:rPr>
            </w:pPr>
            <w:r w:rsidRPr="00B45B4F">
              <w:rPr>
                <w:rFonts w:ascii="Verdana" w:hAnsi="Verdana" w:cs="Arial"/>
                <w:sz w:val="20"/>
                <w:szCs w:val="20"/>
                <w:lang w:val="bg-BG"/>
              </w:rPr>
              <w:t>Решение на Министерски съвет</w:t>
            </w:r>
          </w:p>
        </w:tc>
      </w:tr>
      <w:tr w:rsidR="00BB0ECD" w:rsidRPr="00B45B4F" w:rsidTr="00A0386E">
        <w:tc>
          <w:tcPr>
            <w:tcW w:w="1440" w:type="dxa"/>
          </w:tcPr>
          <w:p w:rsidR="00BB0ECD" w:rsidRPr="00B45B4F" w:rsidRDefault="00BB0ECD" w:rsidP="00526501">
            <w:pPr>
              <w:spacing w:before="60" w:after="60" w:line="240" w:lineRule="auto"/>
              <w:rPr>
                <w:rFonts w:ascii="Verdana" w:hAnsi="Verdana" w:cs="Arial"/>
                <w:b/>
                <w:sz w:val="20"/>
                <w:szCs w:val="20"/>
                <w:lang w:val="bg-BG"/>
              </w:rPr>
            </w:pPr>
            <w:r w:rsidRPr="00B45B4F">
              <w:rPr>
                <w:rFonts w:ascii="Verdana" w:hAnsi="Verdana" w:cs="Arial"/>
                <w:b/>
                <w:sz w:val="20"/>
                <w:szCs w:val="20"/>
                <w:lang w:val="bg-BG"/>
              </w:rPr>
              <w:t>СКФ</w:t>
            </w:r>
          </w:p>
        </w:tc>
        <w:tc>
          <w:tcPr>
            <w:tcW w:w="7650" w:type="dxa"/>
          </w:tcPr>
          <w:p w:rsidR="00BB0ECD" w:rsidRPr="00B45B4F" w:rsidRDefault="00BB0ECD" w:rsidP="00BB0ECD">
            <w:pPr>
              <w:spacing w:before="60" w:after="60" w:line="240" w:lineRule="auto"/>
              <w:ind w:left="22"/>
              <w:rPr>
                <w:rFonts w:ascii="Verdana" w:hAnsi="Verdana" w:cs="Arial"/>
                <w:sz w:val="20"/>
                <w:szCs w:val="20"/>
                <w:lang w:val="bg-BG"/>
              </w:rPr>
            </w:pPr>
            <w:r w:rsidRPr="00B45B4F">
              <w:rPr>
                <w:rFonts w:ascii="Verdana" w:hAnsi="Verdana" w:cs="Arial"/>
                <w:sz w:val="20"/>
                <w:szCs w:val="20"/>
                <w:lang w:val="bg-BG"/>
              </w:rPr>
              <w:t>Структурните и Кохезионния фонд на ЕС</w:t>
            </w:r>
          </w:p>
        </w:tc>
      </w:tr>
      <w:tr w:rsidR="00BB0ECD" w:rsidRPr="00B45B4F" w:rsidTr="00A0386E">
        <w:tc>
          <w:tcPr>
            <w:tcW w:w="1440" w:type="dxa"/>
          </w:tcPr>
          <w:p w:rsidR="00BB0ECD" w:rsidRPr="00B45B4F" w:rsidRDefault="00BB0ECD" w:rsidP="00526501">
            <w:pPr>
              <w:spacing w:before="60" w:after="60" w:line="240" w:lineRule="auto"/>
              <w:rPr>
                <w:rFonts w:ascii="Verdana" w:hAnsi="Verdana" w:cs="Arial"/>
                <w:b/>
                <w:sz w:val="20"/>
                <w:szCs w:val="20"/>
                <w:lang w:val="bg-BG"/>
              </w:rPr>
            </w:pPr>
            <w:r w:rsidRPr="00B45B4F">
              <w:rPr>
                <w:rFonts w:ascii="Verdana" w:hAnsi="Verdana" w:cs="Arial"/>
                <w:b/>
                <w:sz w:val="20"/>
                <w:szCs w:val="20"/>
                <w:lang w:val="bg-BG"/>
              </w:rPr>
              <w:lastRenderedPageBreak/>
              <w:t>СОП</w:t>
            </w:r>
          </w:p>
        </w:tc>
        <w:tc>
          <w:tcPr>
            <w:tcW w:w="7650" w:type="dxa"/>
          </w:tcPr>
          <w:p w:rsidR="00BB0ECD" w:rsidRPr="00B45B4F" w:rsidRDefault="00BB0ECD" w:rsidP="00BB0ECD">
            <w:pPr>
              <w:spacing w:before="60" w:after="60" w:line="240" w:lineRule="auto"/>
              <w:ind w:left="22"/>
              <w:rPr>
                <w:rFonts w:ascii="Verdana" w:hAnsi="Verdana" w:cs="Arial"/>
                <w:sz w:val="20"/>
                <w:szCs w:val="20"/>
                <w:lang w:val="bg-BG"/>
              </w:rPr>
            </w:pPr>
            <w:r w:rsidRPr="00B45B4F">
              <w:rPr>
                <w:rFonts w:ascii="Verdana" w:hAnsi="Verdana" w:cs="Arial"/>
                <w:sz w:val="20"/>
                <w:szCs w:val="20"/>
                <w:lang w:val="bg-BG"/>
              </w:rPr>
              <w:t>Специални образователни потребности</w:t>
            </w:r>
          </w:p>
        </w:tc>
      </w:tr>
      <w:tr w:rsidR="00BB0ECD" w:rsidRPr="00B45B4F" w:rsidTr="00A0386E">
        <w:tc>
          <w:tcPr>
            <w:tcW w:w="1440" w:type="dxa"/>
          </w:tcPr>
          <w:p w:rsidR="00BB0ECD" w:rsidRPr="00B45B4F" w:rsidRDefault="00BB0ECD" w:rsidP="00526501">
            <w:pPr>
              <w:spacing w:before="60" w:after="60" w:line="240" w:lineRule="auto"/>
              <w:rPr>
                <w:rFonts w:ascii="Verdana" w:hAnsi="Verdana" w:cs="Arial"/>
                <w:b/>
                <w:sz w:val="20"/>
                <w:szCs w:val="20"/>
                <w:lang w:val="bg-BG"/>
              </w:rPr>
            </w:pPr>
            <w:r w:rsidRPr="00B45B4F">
              <w:rPr>
                <w:rFonts w:ascii="Verdana" w:hAnsi="Verdana" w:cs="Arial"/>
                <w:b/>
                <w:sz w:val="20"/>
                <w:szCs w:val="20"/>
                <w:lang w:val="bg-BG"/>
              </w:rPr>
              <w:t>СП</w:t>
            </w:r>
          </w:p>
        </w:tc>
        <w:tc>
          <w:tcPr>
            <w:tcW w:w="7650" w:type="dxa"/>
          </w:tcPr>
          <w:p w:rsidR="00BB0ECD" w:rsidRPr="00B45B4F" w:rsidRDefault="00BB0ECD" w:rsidP="00BB0ECD">
            <w:pPr>
              <w:spacing w:before="60" w:after="60" w:line="240" w:lineRule="auto"/>
              <w:ind w:left="22"/>
              <w:rPr>
                <w:rFonts w:ascii="Verdana" w:hAnsi="Verdana" w:cs="Arial"/>
                <w:sz w:val="20"/>
                <w:szCs w:val="20"/>
                <w:lang w:val="bg-BG"/>
              </w:rPr>
            </w:pPr>
            <w:r w:rsidRPr="00B45B4F">
              <w:rPr>
                <w:rFonts w:ascii="Verdana" w:hAnsi="Verdana" w:cs="Arial"/>
                <w:sz w:val="20"/>
                <w:szCs w:val="20"/>
                <w:lang w:val="bg-BG"/>
              </w:rPr>
              <w:t>Споразумение за партньорство на Република България, очертаващо помощта от европейските структурни и инвестиционни фондове за периода 2014–2020 г.</w:t>
            </w:r>
          </w:p>
        </w:tc>
      </w:tr>
      <w:tr w:rsidR="00BB0ECD" w:rsidRPr="00B45B4F" w:rsidTr="00A0386E">
        <w:tc>
          <w:tcPr>
            <w:tcW w:w="1440" w:type="dxa"/>
          </w:tcPr>
          <w:p w:rsidR="00BB0ECD" w:rsidRPr="00B45B4F" w:rsidRDefault="00BB0ECD" w:rsidP="00526501">
            <w:pPr>
              <w:spacing w:before="60" w:after="60" w:line="240" w:lineRule="auto"/>
              <w:rPr>
                <w:rFonts w:ascii="Verdana" w:hAnsi="Verdana" w:cs="Arial"/>
                <w:b/>
                <w:sz w:val="20"/>
                <w:szCs w:val="20"/>
                <w:lang w:val="bg-BG"/>
              </w:rPr>
            </w:pPr>
            <w:r w:rsidRPr="00B45B4F">
              <w:rPr>
                <w:rFonts w:ascii="Verdana" w:hAnsi="Verdana" w:cs="Arial"/>
                <w:b/>
                <w:sz w:val="20"/>
                <w:szCs w:val="20"/>
                <w:lang w:val="bg-BG"/>
              </w:rPr>
              <w:t>ССА</w:t>
            </w:r>
          </w:p>
        </w:tc>
        <w:tc>
          <w:tcPr>
            <w:tcW w:w="7650" w:type="dxa"/>
          </w:tcPr>
          <w:p w:rsidR="00BB0ECD" w:rsidRPr="00B45B4F" w:rsidRDefault="00BB0ECD" w:rsidP="00BB0ECD">
            <w:pPr>
              <w:spacing w:before="60" w:after="60" w:line="240" w:lineRule="auto"/>
              <w:ind w:left="22"/>
              <w:rPr>
                <w:rFonts w:ascii="Verdana" w:hAnsi="Verdana" w:cs="Arial"/>
                <w:sz w:val="20"/>
                <w:szCs w:val="20"/>
                <w:lang w:val="bg-BG"/>
              </w:rPr>
            </w:pPr>
            <w:r w:rsidRPr="00B45B4F">
              <w:rPr>
                <w:rFonts w:ascii="Verdana" w:hAnsi="Verdana" w:cs="Arial"/>
                <w:sz w:val="20"/>
                <w:szCs w:val="20"/>
                <w:lang w:val="bg-BG"/>
              </w:rPr>
              <w:t>Селскостопанска академия</w:t>
            </w:r>
          </w:p>
        </w:tc>
      </w:tr>
      <w:tr w:rsidR="00BB0ECD" w:rsidRPr="00B45B4F" w:rsidTr="00A0386E">
        <w:tc>
          <w:tcPr>
            <w:tcW w:w="1440" w:type="dxa"/>
          </w:tcPr>
          <w:p w:rsidR="00BB0ECD" w:rsidRPr="00B45B4F" w:rsidRDefault="00BB0ECD" w:rsidP="00526501">
            <w:pPr>
              <w:spacing w:before="60" w:after="60" w:line="240" w:lineRule="auto"/>
              <w:rPr>
                <w:rFonts w:ascii="Verdana" w:hAnsi="Verdana" w:cs="Arial"/>
                <w:b/>
                <w:sz w:val="20"/>
                <w:szCs w:val="20"/>
                <w:lang w:val="bg-BG"/>
              </w:rPr>
            </w:pPr>
            <w:r w:rsidRPr="00B45B4F">
              <w:rPr>
                <w:rFonts w:ascii="Verdana" w:hAnsi="Verdana" w:cs="Arial"/>
                <w:b/>
                <w:sz w:val="20"/>
                <w:szCs w:val="20"/>
                <w:lang w:val="bg-BG"/>
              </w:rPr>
              <w:t>СЦ</w:t>
            </w:r>
          </w:p>
        </w:tc>
        <w:tc>
          <w:tcPr>
            <w:tcW w:w="7650" w:type="dxa"/>
          </w:tcPr>
          <w:p w:rsidR="00BB0ECD" w:rsidRPr="00B45B4F" w:rsidRDefault="00BB0ECD" w:rsidP="00BB0ECD">
            <w:pPr>
              <w:spacing w:before="60" w:after="60" w:line="240" w:lineRule="auto"/>
              <w:ind w:left="22"/>
              <w:rPr>
                <w:rFonts w:ascii="Verdana" w:hAnsi="Verdana" w:cs="Arial"/>
                <w:sz w:val="20"/>
                <w:szCs w:val="20"/>
                <w:lang w:val="bg-BG"/>
              </w:rPr>
            </w:pPr>
            <w:r w:rsidRPr="00B45B4F">
              <w:rPr>
                <w:rFonts w:ascii="Verdana" w:hAnsi="Verdana" w:cs="Arial"/>
                <w:sz w:val="20"/>
                <w:szCs w:val="20"/>
                <w:lang w:val="bg-BG"/>
              </w:rPr>
              <w:t>Специфична цел</w:t>
            </w:r>
          </w:p>
        </w:tc>
      </w:tr>
      <w:tr w:rsidR="004819AF" w:rsidRPr="00B45B4F" w:rsidTr="00A0386E">
        <w:tc>
          <w:tcPr>
            <w:tcW w:w="1440" w:type="dxa"/>
          </w:tcPr>
          <w:p w:rsidR="004819AF" w:rsidRPr="00B45B4F" w:rsidRDefault="004819AF" w:rsidP="00526501">
            <w:pPr>
              <w:spacing w:before="60" w:after="60" w:line="240" w:lineRule="auto"/>
              <w:rPr>
                <w:rFonts w:ascii="Verdana" w:hAnsi="Verdana" w:cs="Arial"/>
                <w:b/>
                <w:sz w:val="20"/>
                <w:szCs w:val="20"/>
                <w:lang w:val="bg-BG"/>
              </w:rPr>
            </w:pPr>
            <w:r w:rsidRPr="00B45B4F">
              <w:rPr>
                <w:rFonts w:ascii="Verdana" w:hAnsi="Verdana" w:cs="Arial"/>
                <w:b/>
                <w:sz w:val="20"/>
                <w:szCs w:val="20"/>
                <w:lang w:val="bg-BG"/>
              </w:rPr>
              <w:t>ТРГ</w:t>
            </w:r>
          </w:p>
        </w:tc>
        <w:tc>
          <w:tcPr>
            <w:tcW w:w="7650" w:type="dxa"/>
          </w:tcPr>
          <w:p w:rsidR="004819AF" w:rsidRPr="00B45B4F" w:rsidRDefault="004819AF" w:rsidP="00BB0ECD">
            <w:pPr>
              <w:spacing w:before="60" w:after="60" w:line="240" w:lineRule="auto"/>
              <w:ind w:left="22"/>
              <w:rPr>
                <w:rFonts w:ascii="Verdana" w:hAnsi="Verdana" w:cs="Arial"/>
                <w:sz w:val="20"/>
                <w:szCs w:val="20"/>
                <w:lang w:val="bg-BG"/>
              </w:rPr>
            </w:pPr>
            <w:r w:rsidRPr="00B45B4F">
              <w:rPr>
                <w:rFonts w:ascii="Verdana" w:hAnsi="Verdana" w:cs="Arial"/>
                <w:sz w:val="20"/>
                <w:szCs w:val="20"/>
                <w:lang w:val="bg-BG"/>
              </w:rPr>
              <w:t>Тематична работна група</w:t>
            </w:r>
          </w:p>
        </w:tc>
      </w:tr>
      <w:tr w:rsidR="00BB0ECD" w:rsidRPr="00B45B4F" w:rsidTr="00A0386E">
        <w:tc>
          <w:tcPr>
            <w:tcW w:w="1440" w:type="dxa"/>
          </w:tcPr>
          <w:p w:rsidR="00BB0ECD" w:rsidRPr="00B45B4F" w:rsidRDefault="00BB0ECD" w:rsidP="00526501">
            <w:pPr>
              <w:spacing w:before="60" w:after="60" w:line="240" w:lineRule="auto"/>
              <w:rPr>
                <w:rFonts w:ascii="Verdana" w:hAnsi="Verdana" w:cs="Arial"/>
                <w:b/>
                <w:sz w:val="20"/>
                <w:szCs w:val="20"/>
                <w:lang w:val="bg-BG"/>
              </w:rPr>
            </w:pPr>
            <w:r w:rsidRPr="00B45B4F">
              <w:rPr>
                <w:rFonts w:ascii="Verdana" w:hAnsi="Verdana" w:cs="Arial"/>
                <w:b/>
                <w:sz w:val="20"/>
                <w:szCs w:val="20"/>
                <w:lang w:val="bg-BG"/>
              </w:rPr>
              <w:t>ТС</w:t>
            </w:r>
          </w:p>
        </w:tc>
        <w:tc>
          <w:tcPr>
            <w:tcW w:w="7650" w:type="dxa"/>
          </w:tcPr>
          <w:p w:rsidR="00BB0ECD" w:rsidRPr="00B45B4F" w:rsidRDefault="00BB0ECD" w:rsidP="00BB0ECD">
            <w:pPr>
              <w:spacing w:before="60" w:after="60" w:line="240" w:lineRule="auto"/>
              <w:ind w:left="22"/>
              <w:rPr>
                <w:rFonts w:ascii="Verdana" w:hAnsi="Verdana" w:cs="Arial"/>
                <w:sz w:val="20"/>
                <w:szCs w:val="20"/>
                <w:lang w:val="bg-BG"/>
              </w:rPr>
            </w:pPr>
            <w:r w:rsidRPr="00B45B4F">
              <w:rPr>
                <w:rFonts w:ascii="Verdana" w:hAnsi="Verdana" w:cs="Arial"/>
                <w:sz w:val="20"/>
                <w:szCs w:val="20"/>
                <w:lang w:val="bg-BG"/>
              </w:rPr>
              <w:t>Техническа спецификация</w:t>
            </w:r>
          </w:p>
        </w:tc>
      </w:tr>
      <w:tr w:rsidR="00BB0ECD" w:rsidRPr="00B45B4F" w:rsidTr="00A0386E">
        <w:tc>
          <w:tcPr>
            <w:tcW w:w="1440" w:type="dxa"/>
          </w:tcPr>
          <w:p w:rsidR="00BB0ECD" w:rsidRPr="00B45B4F" w:rsidRDefault="00BB0ECD" w:rsidP="00526501">
            <w:pPr>
              <w:spacing w:before="60" w:after="60" w:line="240" w:lineRule="auto"/>
              <w:rPr>
                <w:rFonts w:ascii="Verdana" w:hAnsi="Verdana" w:cs="Arial"/>
                <w:b/>
                <w:sz w:val="20"/>
                <w:szCs w:val="20"/>
                <w:lang w:val="bg-BG"/>
              </w:rPr>
            </w:pPr>
            <w:r w:rsidRPr="00B45B4F">
              <w:rPr>
                <w:rFonts w:ascii="Verdana" w:hAnsi="Verdana" w:cs="Arial"/>
                <w:b/>
                <w:sz w:val="20"/>
                <w:szCs w:val="20"/>
                <w:lang w:val="bg-BG"/>
              </w:rPr>
              <w:t>УО</w:t>
            </w:r>
          </w:p>
        </w:tc>
        <w:tc>
          <w:tcPr>
            <w:tcW w:w="7650" w:type="dxa"/>
          </w:tcPr>
          <w:p w:rsidR="00BB0ECD" w:rsidRPr="00B45B4F" w:rsidRDefault="00BB0ECD" w:rsidP="00BB0ECD">
            <w:pPr>
              <w:spacing w:before="60" w:after="60" w:line="240" w:lineRule="auto"/>
              <w:ind w:left="22"/>
              <w:rPr>
                <w:rFonts w:ascii="Verdana" w:hAnsi="Verdana" w:cs="Arial"/>
                <w:sz w:val="20"/>
                <w:szCs w:val="20"/>
                <w:lang w:val="bg-BG"/>
              </w:rPr>
            </w:pPr>
            <w:r w:rsidRPr="00B45B4F">
              <w:rPr>
                <w:rFonts w:ascii="Verdana" w:hAnsi="Verdana" w:cs="Arial"/>
                <w:sz w:val="20"/>
                <w:szCs w:val="20"/>
                <w:lang w:val="bg-BG"/>
              </w:rPr>
              <w:t>Управляващ орган</w:t>
            </w:r>
          </w:p>
        </w:tc>
      </w:tr>
      <w:tr w:rsidR="00BB0ECD" w:rsidRPr="00B45B4F" w:rsidTr="00A0386E">
        <w:tc>
          <w:tcPr>
            <w:tcW w:w="1440" w:type="dxa"/>
          </w:tcPr>
          <w:p w:rsidR="00BB0ECD" w:rsidRPr="00B45B4F" w:rsidRDefault="00BB0ECD" w:rsidP="00526501">
            <w:pPr>
              <w:spacing w:before="60" w:after="60" w:line="240" w:lineRule="auto"/>
              <w:rPr>
                <w:rFonts w:ascii="Verdana" w:hAnsi="Verdana" w:cs="Arial"/>
                <w:b/>
                <w:sz w:val="20"/>
                <w:szCs w:val="20"/>
                <w:lang w:val="bg-BG"/>
              </w:rPr>
            </w:pPr>
            <w:r w:rsidRPr="00B45B4F">
              <w:rPr>
                <w:rFonts w:ascii="Verdana" w:hAnsi="Verdana" w:cs="Arial"/>
                <w:b/>
                <w:sz w:val="20"/>
                <w:szCs w:val="20"/>
                <w:lang w:val="bg-BG"/>
              </w:rPr>
              <w:t>ЦКЗ</w:t>
            </w:r>
          </w:p>
        </w:tc>
        <w:tc>
          <w:tcPr>
            <w:tcW w:w="7650" w:type="dxa"/>
          </w:tcPr>
          <w:p w:rsidR="00BB0ECD" w:rsidRPr="00B45B4F" w:rsidRDefault="00BB0ECD" w:rsidP="00BB0ECD">
            <w:pPr>
              <w:spacing w:before="60" w:after="60" w:line="240" w:lineRule="auto"/>
              <w:ind w:left="22"/>
              <w:rPr>
                <w:rFonts w:ascii="Verdana" w:hAnsi="Verdana" w:cs="Arial"/>
                <w:sz w:val="20"/>
                <w:szCs w:val="20"/>
                <w:lang w:val="bg-BG"/>
              </w:rPr>
            </w:pPr>
            <w:r w:rsidRPr="00B45B4F">
              <w:rPr>
                <w:rFonts w:ascii="Verdana" w:hAnsi="Verdana" w:cs="Arial"/>
                <w:sz w:val="20"/>
                <w:szCs w:val="20"/>
                <w:lang w:val="bg-BG"/>
              </w:rPr>
              <w:t>Централно координационно звено</w:t>
            </w:r>
          </w:p>
        </w:tc>
      </w:tr>
    </w:tbl>
    <w:p w:rsidR="0015412F" w:rsidRPr="00B45B4F" w:rsidRDefault="0015412F" w:rsidP="00230D6B">
      <w:pPr>
        <w:rPr>
          <w:rFonts w:ascii="Verdana" w:hAnsi="Verdana"/>
          <w:b/>
          <w:lang w:val="bg-BG"/>
        </w:rPr>
        <w:sectPr w:rsidR="0015412F" w:rsidRPr="00B45B4F" w:rsidSect="00957212">
          <w:footerReference w:type="default" r:id="rId13"/>
          <w:pgSz w:w="11907" w:h="16839" w:code="9"/>
          <w:pgMar w:top="2164" w:right="1377" w:bottom="1440" w:left="1440" w:header="720" w:footer="18" w:gutter="0"/>
          <w:cols w:space="720"/>
          <w:docGrid w:linePitch="360"/>
        </w:sectPr>
      </w:pPr>
    </w:p>
    <w:p w:rsidR="0015412F" w:rsidRPr="00B45B4F" w:rsidRDefault="0015412F" w:rsidP="00A52885">
      <w:pPr>
        <w:pStyle w:val="Heading1"/>
        <w:shd w:val="clear" w:color="auto" w:fill="0063B8"/>
        <w:tabs>
          <w:tab w:val="num" w:pos="720"/>
        </w:tabs>
        <w:spacing w:before="120" w:after="120" w:line="276" w:lineRule="auto"/>
        <w:ind w:left="720" w:hanging="720"/>
        <w:rPr>
          <w:rFonts w:ascii="Verdana" w:hAnsi="Verdana"/>
          <w:b w:val="0"/>
          <w:caps/>
          <w:color w:val="FFFFFF"/>
          <w:lang w:val="bg-BG"/>
        </w:rPr>
      </w:pPr>
      <w:bookmarkStart w:id="23" w:name="_Toc395612504"/>
      <w:r w:rsidRPr="00B45B4F">
        <w:rPr>
          <w:rFonts w:ascii="Verdana" w:hAnsi="Verdana"/>
          <w:b w:val="0"/>
          <w:caps/>
          <w:color w:val="FFFFFF"/>
          <w:lang w:val="bg-BG"/>
        </w:rPr>
        <w:lastRenderedPageBreak/>
        <w:t>Списък на таблиците</w:t>
      </w:r>
      <w:bookmarkEnd w:id="23"/>
    </w:p>
    <w:p w:rsidR="0015412F" w:rsidRPr="00B45B4F" w:rsidRDefault="0015412F" w:rsidP="00230D6B">
      <w:pPr>
        <w:rPr>
          <w:rFonts w:ascii="Verdana" w:hAnsi="Verdana"/>
          <w:b/>
          <w:sz w:val="20"/>
          <w:szCs w:val="20"/>
          <w:lang w:val="bg-BG"/>
        </w:rPr>
      </w:pPr>
    </w:p>
    <w:p w:rsidR="00A449A3" w:rsidRPr="00A449A3" w:rsidRDefault="00BF1936">
      <w:pPr>
        <w:pStyle w:val="TableofFigures"/>
        <w:tabs>
          <w:tab w:val="right" w:leader="dot" w:pos="9017"/>
        </w:tabs>
        <w:rPr>
          <w:rFonts w:ascii="Verdana" w:eastAsiaTheme="minorEastAsia" w:hAnsi="Verdana" w:cstheme="minorBidi"/>
          <w:noProof/>
          <w:sz w:val="20"/>
          <w:szCs w:val="20"/>
          <w:lang w:val="bg-BG" w:eastAsia="bg-BG"/>
        </w:rPr>
      </w:pPr>
      <w:r w:rsidRPr="00A449A3">
        <w:rPr>
          <w:rFonts w:ascii="Verdana" w:hAnsi="Verdana"/>
          <w:sz w:val="20"/>
          <w:szCs w:val="20"/>
          <w:lang w:val="bg-BG"/>
        </w:rPr>
        <w:fldChar w:fldCharType="begin"/>
      </w:r>
      <w:r w:rsidR="007F00AA" w:rsidRPr="00A449A3">
        <w:rPr>
          <w:rFonts w:ascii="Verdana" w:hAnsi="Verdana"/>
          <w:sz w:val="20"/>
          <w:szCs w:val="20"/>
          <w:lang w:val="bg-BG"/>
        </w:rPr>
        <w:instrText xml:space="preserve"> TOC \h \z \c "Таблица" </w:instrText>
      </w:r>
      <w:r w:rsidRPr="00A449A3">
        <w:rPr>
          <w:rFonts w:ascii="Verdana" w:hAnsi="Verdana"/>
          <w:sz w:val="20"/>
          <w:szCs w:val="20"/>
          <w:lang w:val="bg-BG"/>
        </w:rPr>
        <w:fldChar w:fldCharType="separate"/>
      </w:r>
      <w:hyperlink w:anchor="_Toc395612557" w:history="1">
        <w:r w:rsidR="00A449A3" w:rsidRPr="00A449A3">
          <w:rPr>
            <w:rStyle w:val="Hyperlink"/>
            <w:rFonts w:ascii="Verdana" w:hAnsi="Verdana"/>
            <w:noProof/>
            <w:sz w:val="20"/>
            <w:szCs w:val="20"/>
          </w:rPr>
          <w:t>Таблица 1. Връзки между приоритетите на ОПНОИР и ОПРР</w:t>
        </w:r>
        <w:r w:rsidR="00A449A3" w:rsidRPr="00A449A3">
          <w:rPr>
            <w:rFonts w:ascii="Verdana" w:hAnsi="Verdana"/>
            <w:noProof/>
            <w:webHidden/>
            <w:sz w:val="20"/>
            <w:szCs w:val="20"/>
          </w:rPr>
          <w:tab/>
        </w:r>
        <w:r w:rsidR="00A449A3" w:rsidRPr="00A449A3">
          <w:rPr>
            <w:rFonts w:ascii="Verdana" w:hAnsi="Verdana"/>
            <w:noProof/>
            <w:webHidden/>
            <w:sz w:val="20"/>
            <w:szCs w:val="20"/>
          </w:rPr>
          <w:fldChar w:fldCharType="begin"/>
        </w:r>
        <w:r w:rsidR="00A449A3" w:rsidRPr="00A449A3">
          <w:rPr>
            <w:rFonts w:ascii="Verdana" w:hAnsi="Verdana"/>
            <w:noProof/>
            <w:webHidden/>
            <w:sz w:val="20"/>
            <w:szCs w:val="20"/>
          </w:rPr>
          <w:instrText xml:space="preserve"> PAGEREF _Toc395612557 \h </w:instrText>
        </w:r>
        <w:r w:rsidR="00A449A3" w:rsidRPr="00A449A3">
          <w:rPr>
            <w:rFonts w:ascii="Verdana" w:hAnsi="Verdana"/>
            <w:noProof/>
            <w:webHidden/>
            <w:sz w:val="20"/>
            <w:szCs w:val="20"/>
          </w:rPr>
        </w:r>
        <w:r w:rsidR="00A449A3" w:rsidRPr="00A449A3">
          <w:rPr>
            <w:rFonts w:ascii="Verdana" w:hAnsi="Verdana"/>
            <w:noProof/>
            <w:webHidden/>
            <w:sz w:val="20"/>
            <w:szCs w:val="20"/>
          </w:rPr>
          <w:fldChar w:fldCharType="separate"/>
        </w:r>
        <w:r w:rsidR="001361E0">
          <w:rPr>
            <w:rFonts w:ascii="Verdana" w:hAnsi="Verdana"/>
            <w:noProof/>
            <w:webHidden/>
            <w:sz w:val="20"/>
            <w:szCs w:val="20"/>
          </w:rPr>
          <w:t>49</w:t>
        </w:r>
        <w:r w:rsidR="00A449A3" w:rsidRPr="00A449A3">
          <w:rPr>
            <w:rFonts w:ascii="Verdana" w:hAnsi="Verdana"/>
            <w:noProof/>
            <w:webHidden/>
            <w:sz w:val="20"/>
            <w:szCs w:val="20"/>
          </w:rPr>
          <w:fldChar w:fldCharType="end"/>
        </w:r>
      </w:hyperlink>
    </w:p>
    <w:p w:rsidR="00A449A3" w:rsidRPr="00A449A3" w:rsidRDefault="00A449A3">
      <w:pPr>
        <w:pStyle w:val="TableofFigures"/>
        <w:tabs>
          <w:tab w:val="right" w:leader="dot" w:pos="9017"/>
        </w:tabs>
        <w:rPr>
          <w:rFonts w:ascii="Verdana" w:eastAsiaTheme="minorEastAsia" w:hAnsi="Verdana" w:cstheme="minorBidi"/>
          <w:noProof/>
          <w:sz w:val="20"/>
          <w:szCs w:val="20"/>
          <w:lang w:val="bg-BG" w:eastAsia="bg-BG"/>
        </w:rPr>
      </w:pPr>
      <w:hyperlink w:anchor="_Toc395612558" w:history="1">
        <w:r w:rsidRPr="00A449A3">
          <w:rPr>
            <w:rStyle w:val="Hyperlink"/>
            <w:rFonts w:ascii="Verdana" w:hAnsi="Verdana"/>
            <w:noProof/>
            <w:sz w:val="20"/>
            <w:szCs w:val="20"/>
          </w:rPr>
          <w:t>Таблица 2. Допълване и разграничаване между ОПНОИР и ОПРР</w:t>
        </w:r>
        <w:r w:rsidRPr="00A449A3">
          <w:rPr>
            <w:rFonts w:ascii="Verdana" w:hAnsi="Verdana"/>
            <w:noProof/>
            <w:webHidden/>
            <w:sz w:val="20"/>
            <w:szCs w:val="20"/>
          </w:rPr>
          <w:tab/>
        </w:r>
        <w:r w:rsidRPr="00A449A3">
          <w:rPr>
            <w:rFonts w:ascii="Verdana" w:hAnsi="Verdana"/>
            <w:noProof/>
            <w:webHidden/>
            <w:sz w:val="20"/>
            <w:szCs w:val="20"/>
          </w:rPr>
          <w:fldChar w:fldCharType="begin"/>
        </w:r>
        <w:r w:rsidRPr="00A449A3">
          <w:rPr>
            <w:rFonts w:ascii="Verdana" w:hAnsi="Verdana"/>
            <w:noProof/>
            <w:webHidden/>
            <w:sz w:val="20"/>
            <w:szCs w:val="20"/>
          </w:rPr>
          <w:instrText xml:space="preserve"> PAGEREF _Toc395612558 \h </w:instrText>
        </w:r>
        <w:r w:rsidRPr="00A449A3">
          <w:rPr>
            <w:rFonts w:ascii="Verdana" w:hAnsi="Verdana"/>
            <w:noProof/>
            <w:webHidden/>
            <w:sz w:val="20"/>
            <w:szCs w:val="20"/>
          </w:rPr>
        </w:r>
        <w:r w:rsidRPr="00A449A3">
          <w:rPr>
            <w:rFonts w:ascii="Verdana" w:hAnsi="Verdana"/>
            <w:noProof/>
            <w:webHidden/>
            <w:sz w:val="20"/>
            <w:szCs w:val="20"/>
          </w:rPr>
          <w:fldChar w:fldCharType="separate"/>
        </w:r>
        <w:r w:rsidR="001361E0">
          <w:rPr>
            <w:rFonts w:ascii="Verdana" w:hAnsi="Verdana"/>
            <w:noProof/>
            <w:webHidden/>
            <w:sz w:val="20"/>
            <w:szCs w:val="20"/>
          </w:rPr>
          <w:t>50</w:t>
        </w:r>
        <w:r w:rsidRPr="00A449A3">
          <w:rPr>
            <w:rFonts w:ascii="Verdana" w:hAnsi="Verdana"/>
            <w:noProof/>
            <w:webHidden/>
            <w:sz w:val="20"/>
            <w:szCs w:val="20"/>
          </w:rPr>
          <w:fldChar w:fldCharType="end"/>
        </w:r>
      </w:hyperlink>
    </w:p>
    <w:p w:rsidR="00A449A3" w:rsidRPr="00A449A3" w:rsidRDefault="00A449A3">
      <w:pPr>
        <w:pStyle w:val="TableofFigures"/>
        <w:tabs>
          <w:tab w:val="right" w:leader="dot" w:pos="9017"/>
        </w:tabs>
        <w:rPr>
          <w:rFonts w:ascii="Verdana" w:eastAsiaTheme="minorEastAsia" w:hAnsi="Verdana" w:cstheme="minorBidi"/>
          <w:noProof/>
          <w:sz w:val="20"/>
          <w:szCs w:val="20"/>
          <w:lang w:val="bg-BG" w:eastAsia="bg-BG"/>
        </w:rPr>
      </w:pPr>
      <w:hyperlink w:anchor="_Toc395612559" w:history="1">
        <w:r w:rsidRPr="00A449A3">
          <w:rPr>
            <w:rStyle w:val="Hyperlink"/>
            <w:rFonts w:ascii="Verdana" w:hAnsi="Verdana"/>
            <w:noProof/>
            <w:sz w:val="20"/>
            <w:szCs w:val="20"/>
            <w:lang w:val="bg-BG"/>
          </w:rPr>
          <w:t>Таблица 3: Връзки между приоритетите на ОПНОИР и ОПИК</w:t>
        </w:r>
        <w:r w:rsidRPr="00A449A3">
          <w:rPr>
            <w:rFonts w:ascii="Verdana" w:hAnsi="Verdana"/>
            <w:noProof/>
            <w:webHidden/>
            <w:sz w:val="20"/>
            <w:szCs w:val="20"/>
          </w:rPr>
          <w:tab/>
        </w:r>
        <w:r w:rsidRPr="00A449A3">
          <w:rPr>
            <w:rFonts w:ascii="Verdana" w:hAnsi="Verdana"/>
            <w:noProof/>
            <w:webHidden/>
            <w:sz w:val="20"/>
            <w:szCs w:val="20"/>
          </w:rPr>
          <w:fldChar w:fldCharType="begin"/>
        </w:r>
        <w:r w:rsidRPr="00A449A3">
          <w:rPr>
            <w:rFonts w:ascii="Verdana" w:hAnsi="Verdana"/>
            <w:noProof/>
            <w:webHidden/>
            <w:sz w:val="20"/>
            <w:szCs w:val="20"/>
          </w:rPr>
          <w:instrText xml:space="preserve"> PAGEREF _Toc395612559 \h </w:instrText>
        </w:r>
        <w:r w:rsidRPr="00A449A3">
          <w:rPr>
            <w:rFonts w:ascii="Verdana" w:hAnsi="Verdana"/>
            <w:noProof/>
            <w:webHidden/>
            <w:sz w:val="20"/>
            <w:szCs w:val="20"/>
          </w:rPr>
        </w:r>
        <w:r w:rsidRPr="00A449A3">
          <w:rPr>
            <w:rFonts w:ascii="Verdana" w:hAnsi="Verdana"/>
            <w:noProof/>
            <w:webHidden/>
            <w:sz w:val="20"/>
            <w:szCs w:val="20"/>
          </w:rPr>
          <w:fldChar w:fldCharType="separate"/>
        </w:r>
        <w:r w:rsidR="001361E0">
          <w:rPr>
            <w:rFonts w:ascii="Verdana" w:hAnsi="Verdana"/>
            <w:noProof/>
            <w:webHidden/>
            <w:sz w:val="20"/>
            <w:szCs w:val="20"/>
          </w:rPr>
          <w:t>51</w:t>
        </w:r>
        <w:r w:rsidRPr="00A449A3">
          <w:rPr>
            <w:rFonts w:ascii="Verdana" w:hAnsi="Verdana"/>
            <w:noProof/>
            <w:webHidden/>
            <w:sz w:val="20"/>
            <w:szCs w:val="20"/>
          </w:rPr>
          <w:fldChar w:fldCharType="end"/>
        </w:r>
      </w:hyperlink>
    </w:p>
    <w:p w:rsidR="00A449A3" w:rsidRPr="00A449A3" w:rsidRDefault="00A449A3">
      <w:pPr>
        <w:pStyle w:val="TableofFigures"/>
        <w:tabs>
          <w:tab w:val="right" w:leader="dot" w:pos="9017"/>
        </w:tabs>
        <w:rPr>
          <w:rFonts w:ascii="Verdana" w:eastAsiaTheme="minorEastAsia" w:hAnsi="Verdana" w:cstheme="minorBidi"/>
          <w:noProof/>
          <w:sz w:val="20"/>
          <w:szCs w:val="20"/>
          <w:lang w:val="bg-BG" w:eastAsia="bg-BG"/>
        </w:rPr>
      </w:pPr>
      <w:hyperlink w:anchor="_Toc395612560" w:history="1">
        <w:r w:rsidRPr="00A449A3">
          <w:rPr>
            <w:rStyle w:val="Hyperlink"/>
            <w:rFonts w:ascii="Verdana" w:hAnsi="Verdana"/>
            <w:noProof/>
            <w:sz w:val="20"/>
            <w:szCs w:val="20"/>
            <w:lang w:val="bg-BG"/>
          </w:rPr>
          <w:t>Таблица 4. Допълване и разграничаване между ОПНОИР и ОПИК</w:t>
        </w:r>
        <w:r w:rsidRPr="00A449A3">
          <w:rPr>
            <w:rFonts w:ascii="Verdana" w:hAnsi="Verdana"/>
            <w:noProof/>
            <w:webHidden/>
            <w:sz w:val="20"/>
            <w:szCs w:val="20"/>
          </w:rPr>
          <w:tab/>
        </w:r>
        <w:r w:rsidRPr="00A449A3">
          <w:rPr>
            <w:rFonts w:ascii="Verdana" w:hAnsi="Verdana"/>
            <w:noProof/>
            <w:webHidden/>
            <w:sz w:val="20"/>
            <w:szCs w:val="20"/>
          </w:rPr>
          <w:fldChar w:fldCharType="begin"/>
        </w:r>
        <w:r w:rsidRPr="00A449A3">
          <w:rPr>
            <w:rFonts w:ascii="Verdana" w:hAnsi="Verdana"/>
            <w:noProof/>
            <w:webHidden/>
            <w:sz w:val="20"/>
            <w:szCs w:val="20"/>
          </w:rPr>
          <w:instrText xml:space="preserve"> PAGEREF _Toc395612560 \h </w:instrText>
        </w:r>
        <w:r w:rsidRPr="00A449A3">
          <w:rPr>
            <w:rFonts w:ascii="Verdana" w:hAnsi="Verdana"/>
            <w:noProof/>
            <w:webHidden/>
            <w:sz w:val="20"/>
            <w:szCs w:val="20"/>
          </w:rPr>
        </w:r>
        <w:r w:rsidRPr="00A449A3">
          <w:rPr>
            <w:rFonts w:ascii="Verdana" w:hAnsi="Verdana"/>
            <w:noProof/>
            <w:webHidden/>
            <w:sz w:val="20"/>
            <w:szCs w:val="20"/>
          </w:rPr>
          <w:fldChar w:fldCharType="separate"/>
        </w:r>
        <w:r w:rsidR="001361E0">
          <w:rPr>
            <w:rFonts w:ascii="Verdana" w:hAnsi="Verdana"/>
            <w:noProof/>
            <w:webHidden/>
            <w:sz w:val="20"/>
            <w:szCs w:val="20"/>
          </w:rPr>
          <w:t>51</w:t>
        </w:r>
        <w:r w:rsidRPr="00A449A3">
          <w:rPr>
            <w:rFonts w:ascii="Verdana" w:hAnsi="Verdana"/>
            <w:noProof/>
            <w:webHidden/>
            <w:sz w:val="20"/>
            <w:szCs w:val="20"/>
          </w:rPr>
          <w:fldChar w:fldCharType="end"/>
        </w:r>
      </w:hyperlink>
    </w:p>
    <w:p w:rsidR="00A449A3" w:rsidRPr="00A449A3" w:rsidRDefault="00A449A3">
      <w:pPr>
        <w:pStyle w:val="TableofFigures"/>
        <w:tabs>
          <w:tab w:val="right" w:leader="dot" w:pos="9017"/>
        </w:tabs>
        <w:rPr>
          <w:rFonts w:ascii="Verdana" w:eastAsiaTheme="minorEastAsia" w:hAnsi="Verdana" w:cstheme="minorBidi"/>
          <w:noProof/>
          <w:sz w:val="20"/>
          <w:szCs w:val="20"/>
          <w:lang w:val="bg-BG" w:eastAsia="bg-BG"/>
        </w:rPr>
      </w:pPr>
      <w:hyperlink w:anchor="_Toc395612561" w:history="1">
        <w:r w:rsidRPr="00A449A3">
          <w:rPr>
            <w:rStyle w:val="Hyperlink"/>
            <w:rFonts w:ascii="Verdana" w:hAnsi="Verdana"/>
            <w:noProof/>
            <w:sz w:val="20"/>
            <w:szCs w:val="20"/>
            <w:lang w:val="bg-BG"/>
          </w:rPr>
          <w:t>Таблица 5: Връзки между приоритетите на ОПНОИР и ОПОС</w:t>
        </w:r>
        <w:r w:rsidRPr="00A449A3">
          <w:rPr>
            <w:rFonts w:ascii="Verdana" w:hAnsi="Verdana"/>
            <w:noProof/>
            <w:webHidden/>
            <w:sz w:val="20"/>
            <w:szCs w:val="20"/>
          </w:rPr>
          <w:tab/>
        </w:r>
        <w:r w:rsidRPr="00A449A3">
          <w:rPr>
            <w:rFonts w:ascii="Verdana" w:hAnsi="Verdana"/>
            <w:noProof/>
            <w:webHidden/>
            <w:sz w:val="20"/>
            <w:szCs w:val="20"/>
          </w:rPr>
          <w:fldChar w:fldCharType="begin"/>
        </w:r>
        <w:r w:rsidRPr="00A449A3">
          <w:rPr>
            <w:rFonts w:ascii="Verdana" w:hAnsi="Verdana"/>
            <w:noProof/>
            <w:webHidden/>
            <w:sz w:val="20"/>
            <w:szCs w:val="20"/>
          </w:rPr>
          <w:instrText xml:space="preserve"> PAGEREF _Toc395612561 \h </w:instrText>
        </w:r>
        <w:r w:rsidRPr="00A449A3">
          <w:rPr>
            <w:rFonts w:ascii="Verdana" w:hAnsi="Verdana"/>
            <w:noProof/>
            <w:webHidden/>
            <w:sz w:val="20"/>
            <w:szCs w:val="20"/>
          </w:rPr>
        </w:r>
        <w:r w:rsidRPr="00A449A3">
          <w:rPr>
            <w:rFonts w:ascii="Verdana" w:hAnsi="Verdana"/>
            <w:noProof/>
            <w:webHidden/>
            <w:sz w:val="20"/>
            <w:szCs w:val="20"/>
          </w:rPr>
          <w:fldChar w:fldCharType="separate"/>
        </w:r>
        <w:r w:rsidR="001361E0">
          <w:rPr>
            <w:rFonts w:ascii="Verdana" w:hAnsi="Verdana"/>
            <w:noProof/>
            <w:webHidden/>
            <w:sz w:val="20"/>
            <w:szCs w:val="20"/>
          </w:rPr>
          <w:t>53</w:t>
        </w:r>
        <w:r w:rsidRPr="00A449A3">
          <w:rPr>
            <w:rFonts w:ascii="Verdana" w:hAnsi="Verdana"/>
            <w:noProof/>
            <w:webHidden/>
            <w:sz w:val="20"/>
            <w:szCs w:val="20"/>
          </w:rPr>
          <w:fldChar w:fldCharType="end"/>
        </w:r>
      </w:hyperlink>
    </w:p>
    <w:p w:rsidR="00A449A3" w:rsidRPr="00A449A3" w:rsidRDefault="00A449A3">
      <w:pPr>
        <w:pStyle w:val="TableofFigures"/>
        <w:tabs>
          <w:tab w:val="right" w:leader="dot" w:pos="9017"/>
        </w:tabs>
        <w:rPr>
          <w:rFonts w:ascii="Verdana" w:eastAsiaTheme="minorEastAsia" w:hAnsi="Verdana" w:cstheme="minorBidi"/>
          <w:noProof/>
          <w:sz w:val="20"/>
          <w:szCs w:val="20"/>
          <w:lang w:val="bg-BG" w:eastAsia="bg-BG"/>
        </w:rPr>
      </w:pPr>
      <w:hyperlink w:anchor="_Toc395612562" w:history="1">
        <w:r w:rsidRPr="00A449A3">
          <w:rPr>
            <w:rStyle w:val="Hyperlink"/>
            <w:rFonts w:ascii="Verdana" w:hAnsi="Verdana"/>
            <w:noProof/>
            <w:sz w:val="20"/>
            <w:szCs w:val="20"/>
            <w:lang w:val="bg-BG"/>
          </w:rPr>
          <w:t>Таблица 6. Допълване и разграничаване между ОПНОИР и ОПОС</w:t>
        </w:r>
        <w:r w:rsidRPr="00A449A3">
          <w:rPr>
            <w:rFonts w:ascii="Verdana" w:hAnsi="Verdana"/>
            <w:noProof/>
            <w:webHidden/>
            <w:sz w:val="20"/>
            <w:szCs w:val="20"/>
          </w:rPr>
          <w:tab/>
        </w:r>
        <w:r w:rsidRPr="00A449A3">
          <w:rPr>
            <w:rFonts w:ascii="Verdana" w:hAnsi="Verdana"/>
            <w:noProof/>
            <w:webHidden/>
            <w:sz w:val="20"/>
            <w:szCs w:val="20"/>
          </w:rPr>
          <w:fldChar w:fldCharType="begin"/>
        </w:r>
        <w:r w:rsidRPr="00A449A3">
          <w:rPr>
            <w:rFonts w:ascii="Verdana" w:hAnsi="Verdana"/>
            <w:noProof/>
            <w:webHidden/>
            <w:sz w:val="20"/>
            <w:szCs w:val="20"/>
          </w:rPr>
          <w:instrText xml:space="preserve"> PAGEREF _Toc395612562 \h </w:instrText>
        </w:r>
        <w:r w:rsidRPr="00A449A3">
          <w:rPr>
            <w:rFonts w:ascii="Verdana" w:hAnsi="Verdana"/>
            <w:noProof/>
            <w:webHidden/>
            <w:sz w:val="20"/>
            <w:szCs w:val="20"/>
          </w:rPr>
        </w:r>
        <w:r w:rsidRPr="00A449A3">
          <w:rPr>
            <w:rFonts w:ascii="Verdana" w:hAnsi="Verdana"/>
            <w:noProof/>
            <w:webHidden/>
            <w:sz w:val="20"/>
            <w:szCs w:val="20"/>
          </w:rPr>
          <w:fldChar w:fldCharType="separate"/>
        </w:r>
        <w:r w:rsidR="001361E0">
          <w:rPr>
            <w:rFonts w:ascii="Verdana" w:hAnsi="Verdana"/>
            <w:noProof/>
            <w:webHidden/>
            <w:sz w:val="20"/>
            <w:szCs w:val="20"/>
          </w:rPr>
          <w:t>53</w:t>
        </w:r>
        <w:r w:rsidRPr="00A449A3">
          <w:rPr>
            <w:rFonts w:ascii="Verdana" w:hAnsi="Verdana"/>
            <w:noProof/>
            <w:webHidden/>
            <w:sz w:val="20"/>
            <w:szCs w:val="20"/>
          </w:rPr>
          <w:fldChar w:fldCharType="end"/>
        </w:r>
      </w:hyperlink>
    </w:p>
    <w:p w:rsidR="00A449A3" w:rsidRPr="00A449A3" w:rsidRDefault="00A449A3">
      <w:pPr>
        <w:pStyle w:val="TableofFigures"/>
        <w:tabs>
          <w:tab w:val="right" w:leader="dot" w:pos="9017"/>
        </w:tabs>
        <w:rPr>
          <w:rFonts w:ascii="Verdana" w:eastAsiaTheme="minorEastAsia" w:hAnsi="Verdana" w:cstheme="minorBidi"/>
          <w:noProof/>
          <w:sz w:val="20"/>
          <w:szCs w:val="20"/>
          <w:lang w:val="bg-BG" w:eastAsia="bg-BG"/>
        </w:rPr>
      </w:pPr>
      <w:hyperlink w:anchor="_Toc395612563" w:history="1">
        <w:r w:rsidRPr="00A449A3">
          <w:rPr>
            <w:rStyle w:val="Hyperlink"/>
            <w:rFonts w:ascii="Verdana" w:hAnsi="Verdana"/>
            <w:noProof/>
            <w:sz w:val="20"/>
            <w:szCs w:val="20"/>
            <w:lang w:val="bg-BG"/>
          </w:rPr>
          <w:t>Таблица 7. Връзки между приоритетите на ОПНОИР и ОПТТИ</w:t>
        </w:r>
        <w:r w:rsidRPr="00A449A3">
          <w:rPr>
            <w:rFonts w:ascii="Verdana" w:hAnsi="Verdana"/>
            <w:noProof/>
            <w:webHidden/>
            <w:sz w:val="20"/>
            <w:szCs w:val="20"/>
          </w:rPr>
          <w:tab/>
        </w:r>
        <w:r w:rsidRPr="00A449A3">
          <w:rPr>
            <w:rFonts w:ascii="Verdana" w:hAnsi="Verdana"/>
            <w:noProof/>
            <w:webHidden/>
            <w:sz w:val="20"/>
            <w:szCs w:val="20"/>
          </w:rPr>
          <w:fldChar w:fldCharType="begin"/>
        </w:r>
        <w:r w:rsidRPr="00A449A3">
          <w:rPr>
            <w:rFonts w:ascii="Verdana" w:hAnsi="Verdana"/>
            <w:noProof/>
            <w:webHidden/>
            <w:sz w:val="20"/>
            <w:szCs w:val="20"/>
          </w:rPr>
          <w:instrText xml:space="preserve"> PAGEREF _Toc395612563 \h </w:instrText>
        </w:r>
        <w:r w:rsidRPr="00A449A3">
          <w:rPr>
            <w:rFonts w:ascii="Verdana" w:hAnsi="Verdana"/>
            <w:noProof/>
            <w:webHidden/>
            <w:sz w:val="20"/>
            <w:szCs w:val="20"/>
          </w:rPr>
        </w:r>
        <w:r w:rsidRPr="00A449A3">
          <w:rPr>
            <w:rFonts w:ascii="Verdana" w:hAnsi="Verdana"/>
            <w:noProof/>
            <w:webHidden/>
            <w:sz w:val="20"/>
            <w:szCs w:val="20"/>
          </w:rPr>
          <w:fldChar w:fldCharType="separate"/>
        </w:r>
        <w:r w:rsidR="001361E0">
          <w:rPr>
            <w:rFonts w:ascii="Verdana" w:hAnsi="Verdana"/>
            <w:noProof/>
            <w:webHidden/>
            <w:sz w:val="20"/>
            <w:szCs w:val="20"/>
          </w:rPr>
          <w:t>54</w:t>
        </w:r>
        <w:r w:rsidRPr="00A449A3">
          <w:rPr>
            <w:rFonts w:ascii="Verdana" w:hAnsi="Verdana"/>
            <w:noProof/>
            <w:webHidden/>
            <w:sz w:val="20"/>
            <w:szCs w:val="20"/>
          </w:rPr>
          <w:fldChar w:fldCharType="end"/>
        </w:r>
      </w:hyperlink>
    </w:p>
    <w:p w:rsidR="00A449A3" w:rsidRPr="00A449A3" w:rsidRDefault="00A449A3">
      <w:pPr>
        <w:pStyle w:val="TableofFigures"/>
        <w:tabs>
          <w:tab w:val="right" w:leader="dot" w:pos="9017"/>
        </w:tabs>
        <w:rPr>
          <w:rFonts w:ascii="Verdana" w:eastAsiaTheme="minorEastAsia" w:hAnsi="Verdana" w:cstheme="minorBidi"/>
          <w:noProof/>
          <w:sz w:val="20"/>
          <w:szCs w:val="20"/>
          <w:lang w:val="bg-BG" w:eastAsia="bg-BG"/>
        </w:rPr>
      </w:pPr>
      <w:hyperlink w:anchor="_Toc395612564" w:history="1">
        <w:r w:rsidRPr="00A449A3">
          <w:rPr>
            <w:rStyle w:val="Hyperlink"/>
            <w:rFonts w:ascii="Verdana" w:hAnsi="Verdana"/>
            <w:noProof/>
            <w:sz w:val="20"/>
            <w:szCs w:val="20"/>
            <w:lang w:val="bg-BG"/>
          </w:rPr>
          <w:t>Таблица 8. Допълване и разграничаване между ОПНОИР и ОПТТП</w:t>
        </w:r>
        <w:r w:rsidRPr="00A449A3">
          <w:rPr>
            <w:rFonts w:ascii="Verdana" w:hAnsi="Verdana"/>
            <w:noProof/>
            <w:webHidden/>
            <w:sz w:val="20"/>
            <w:szCs w:val="20"/>
          </w:rPr>
          <w:tab/>
        </w:r>
        <w:r w:rsidRPr="00A449A3">
          <w:rPr>
            <w:rFonts w:ascii="Verdana" w:hAnsi="Verdana"/>
            <w:noProof/>
            <w:webHidden/>
            <w:sz w:val="20"/>
            <w:szCs w:val="20"/>
          </w:rPr>
          <w:fldChar w:fldCharType="begin"/>
        </w:r>
        <w:r w:rsidRPr="00A449A3">
          <w:rPr>
            <w:rFonts w:ascii="Verdana" w:hAnsi="Verdana"/>
            <w:noProof/>
            <w:webHidden/>
            <w:sz w:val="20"/>
            <w:szCs w:val="20"/>
          </w:rPr>
          <w:instrText xml:space="preserve"> PAGEREF _Toc395612564 \h </w:instrText>
        </w:r>
        <w:r w:rsidRPr="00A449A3">
          <w:rPr>
            <w:rFonts w:ascii="Verdana" w:hAnsi="Verdana"/>
            <w:noProof/>
            <w:webHidden/>
            <w:sz w:val="20"/>
            <w:szCs w:val="20"/>
          </w:rPr>
        </w:r>
        <w:r w:rsidRPr="00A449A3">
          <w:rPr>
            <w:rFonts w:ascii="Verdana" w:hAnsi="Verdana"/>
            <w:noProof/>
            <w:webHidden/>
            <w:sz w:val="20"/>
            <w:szCs w:val="20"/>
          </w:rPr>
          <w:fldChar w:fldCharType="separate"/>
        </w:r>
        <w:r w:rsidR="001361E0">
          <w:rPr>
            <w:rFonts w:ascii="Verdana" w:hAnsi="Verdana"/>
            <w:noProof/>
            <w:webHidden/>
            <w:sz w:val="20"/>
            <w:szCs w:val="20"/>
          </w:rPr>
          <w:t>55</w:t>
        </w:r>
        <w:r w:rsidRPr="00A449A3">
          <w:rPr>
            <w:rFonts w:ascii="Verdana" w:hAnsi="Verdana"/>
            <w:noProof/>
            <w:webHidden/>
            <w:sz w:val="20"/>
            <w:szCs w:val="20"/>
          </w:rPr>
          <w:fldChar w:fldCharType="end"/>
        </w:r>
      </w:hyperlink>
    </w:p>
    <w:p w:rsidR="00A449A3" w:rsidRPr="00A449A3" w:rsidRDefault="00A449A3">
      <w:pPr>
        <w:pStyle w:val="TableofFigures"/>
        <w:tabs>
          <w:tab w:val="right" w:leader="dot" w:pos="9017"/>
        </w:tabs>
        <w:rPr>
          <w:rFonts w:ascii="Verdana" w:eastAsiaTheme="minorEastAsia" w:hAnsi="Verdana" w:cstheme="minorBidi"/>
          <w:noProof/>
          <w:sz w:val="20"/>
          <w:szCs w:val="20"/>
          <w:lang w:val="bg-BG" w:eastAsia="bg-BG"/>
        </w:rPr>
      </w:pPr>
      <w:hyperlink w:anchor="_Toc395612565" w:history="1">
        <w:r w:rsidRPr="00A449A3">
          <w:rPr>
            <w:rStyle w:val="Hyperlink"/>
            <w:rFonts w:ascii="Verdana" w:hAnsi="Verdana"/>
            <w:noProof/>
            <w:sz w:val="20"/>
            <w:szCs w:val="20"/>
            <w:lang w:val="bg-BG"/>
          </w:rPr>
          <w:t>Таблица9. Връзки между приоритетите на ОПНОИР и ОПДУ</w:t>
        </w:r>
        <w:r w:rsidRPr="00A449A3">
          <w:rPr>
            <w:rFonts w:ascii="Verdana" w:hAnsi="Verdana"/>
            <w:noProof/>
            <w:webHidden/>
            <w:sz w:val="20"/>
            <w:szCs w:val="20"/>
          </w:rPr>
          <w:tab/>
        </w:r>
        <w:r w:rsidRPr="00A449A3">
          <w:rPr>
            <w:rFonts w:ascii="Verdana" w:hAnsi="Verdana"/>
            <w:noProof/>
            <w:webHidden/>
            <w:sz w:val="20"/>
            <w:szCs w:val="20"/>
          </w:rPr>
          <w:fldChar w:fldCharType="begin"/>
        </w:r>
        <w:r w:rsidRPr="00A449A3">
          <w:rPr>
            <w:rFonts w:ascii="Verdana" w:hAnsi="Verdana"/>
            <w:noProof/>
            <w:webHidden/>
            <w:sz w:val="20"/>
            <w:szCs w:val="20"/>
          </w:rPr>
          <w:instrText xml:space="preserve"> PAGEREF _Toc395612565 \h </w:instrText>
        </w:r>
        <w:r w:rsidRPr="00A449A3">
          <w:rPr>
            <w:rFonts w:ascii="Verdana" w:hAnsi="Verdana"/>
            <w:noProof/>
            <w:webHidden/>
            <w:sz w:val="20"/>
            <w:szCs w:val="20"/>
          </w:rPr>
        </w:r>
        <w:r w:rsidRPr="00A449A3">
          <w:rPr>
            <w:rFonts w:ascii="Verdana" w:hAnsi="Verdana"/>
            <w:noProof/>
            <w:webHidden/>
            <w:sz w:val="20"/>
            <w:szCs w:val="20"/>
          </w:rPr>
          <w:fldChar w:fldCharType="separate"/>
        </w:r>
        <w:r w:rsidR="001361E0">
          <w:rPr>
            <w:rFonts w:ascii="Verdana" w:hAnsi="Verdana"/>
            <w:noProof/>
            <w:webHidden/>
            <w:sz w:val="20"/>
            <w:szCs w:val="20"/>
          </w:rPr>
          <w:t>56</w:t>
        </w:r>
        <w:r w:rsidRPr="00A449A3">
          <w:rPr>
            <w:rFonts w:ascii="Verdana" w:hAnsi="Verdana"/>
            <w:noProof/>
            <w:webHidden/>
            <w:sz w:val="20"/>
            <w:szCs w:val="20"/>
          </w:rPr>
          <w:fldChar w:fldCharType="end"/>
        </w:r>
      </w:hyperlink>
    </w:p>
    <w:p w:rsidR="00A449A3" w:rsidRPr="00A449A3" w:rsidRDefault="00A449A3">
      <w:pPr>
        <w:pStyle w:val="TableofFigures"/>
        <w:tabs>
          <w:tab w:val="right" w:leader="dot" w:pos="9017"/>
        </w:tabs>
        <w:rPr>
          <w:rFonts w:ascii="Verdana" w:eastAsiaTheme="minorEastAsia" w:hAnsi="Verdana" w:cstheme="minorBidi"/>
          <w:noProof/>
          <w:sz w:val="20"/>
          <w:szCs w:val="20"/>
          <w:lang w:val="bg-BG" w:eastAsia="bg-BG"/>
        </w:rPr>
      </w:pPr>
      <w:hyperlink w:anchor="_Toc395612566" w:history="1">
        <w:r w:rsidRPr="00A449A3">
          <w:rPr>
            <w:rStyle w:val="Hyperlink"/>
            <w:rFonts w:ascii="Verdana" w:hAnsi="Verdana"/>
            <w:noProof/>
            <w:sz w:val="20"/>
            <w:szCs w:val="20"/>
            <w:lang w:val="bg-BG"/>
          </w:rPr>
          <w:t>Таблица 10. Допълване и разграничаване между ОПНОИР и ОПДУ</w:t>
        </w:r>
        <w:r w:rsidRPr="00A449A3">
          <w:rPr>
            <w:rFonts w:ascii="Verdana" w:hAnsi="Verdana"/>
            <w:noProof/>
            <w:webHidden/>
            <w:sz w:val="20"/>
            <w:szCs w:val="20"/>
          </w:rPr>
          <w:tab/>
        </w:r>
        <w:r w:rsidRPr="00A449A3">
          <w:rPr>
            <w:rFonts w:ascii="Verdana" w:hAnsi="Verdana"/>
            <w:noProof/>
            <w:webHidden/>
            <w:sz w:val="20"/>
            <w:szCs w:val="20"/>
          </w:rPr>
          <w:fldChar w:fldCharType="begin"/>
        </w:r>
        <w:r w:rsidRPr="00A449A3">
          <w:rPr>
            <w:rFonts w:ascii="Verdana" w:hAnsi="Verdana"/>
            <w:noProof/>
            <w:webHidden/>
            <w:sz w:val="20"/>
            <w:szCs w:val="20"/>
          </w:rPr>
          <w:instrText xml:space="preserve"> PAGEREF _Toc395612566 \h </w:instrText>
        </w:r>
        <w:r w:rsidRPr="00A449A3">
          <w:rPr>
            <w:rFonts w:ascii="Verdana" w:hAnsi="Verdana"/>
            <w:noProof/>
            <w:webHidden/>
            <w:sz w:val="20"/>
            <w:szCs w:val="20"/>
          </w:rPr>
        </w:r>
        <w:r w:rsidRPr="00A449A3">
          <w:rPr>
            <w:rFonts w:ascii="Verdana" w:hAnsi="Verdana"/>
            <w:noProof/>
            <w:webHidden/>
            <w:sz w:val="20"/>
            <w:szCs w:val="20"/>
          </w:rPr>
          <w:fldChar w:fldCharType="separate"/>
        </w:r>
        <w:r w:rsidR="001361E0">
          <w:rPr>
            <w:rFonts w:ascii="Verdana" w:hAnsi="Verdana"/>
            <w:noProof/>
            <w:webHidden/>
            <w:sz w:val="20"/>
            <w:szCs w:val="20"/>
          </w:rPr>
          <w:t>56</w:t>
        </w:r>
        <w:r w:rsidRPr="00A449A3">
          <w:rPr>
            <w:rFonts w:ascii="Verdana" w:hAnsi="Verdana"/>
            <w:noProof/>
            <w:webHidden/>
            <w:sz w:val="20"/>
            <w:szCs w:val="20"/>
          </w:rPr>
          <w:fldChar w:fldCharType="end"/>
        </w:r>
      </w:hyperlink>
    </w:p>
    <w:p w:rsidR="00A449A3" w:rsidRPr="00A449A3" w:rsidRDefault="00A449A3">
      <w:pPr>
        <w:pStyle w:val="TableofFigures"/>
        <w:tabs>
          <w:tab w:val="right" w:leader="dot" w:pos="9017"/>
        </w:tabs>
        <w:rPr>
          <w:rFonts w:ascii="Verdana" w:eastAsiaTheme="minorEastAsia" w:hAnsi="Verdana" w:cstheme="minorBidi"/>
          <w:noProof/>
          <w:sz w:val="20"/>
          <w:szCs w:val="20"/>
          <w:lang w:val="bg-BG" w:eastAsia="bg-BG"/>
        </w:rPr>
      </w:pPr>
      <w:hyperlink w:anchor="_Toc395612567" w:history="1">
        <w:r w:rsidRPr="00A449A3">
          <w:rPr>
            <w:rStyle w:val="Hyperlink"/>
            <w:rFonts w:ascii="Verdana" w:hAnsi="Verdana"/>
            <w:noProof/>
            <w:sz w:val="20"/>
            <w:szCs w:val="20"/>
            <w:lang w:val="bg-BG"/>
          </w:rPr>
          <w:t>Таблица 11: Връзки между приоритетите на ОПНОИР и ОПРЧР</w:t>
        </w:r>
        <w:r w:rsidRPr="00A449A3">
          <w:rPr>
            <w:rFonts w:ascii="Verdana" w:hAnsi="Verdana"/>
            <w:noProof/>
            <w:webHidden/>
            <w:sz w:val="20"/>
            <w:szCs w:val="20"/>
          </w:rPr>
          <w:tab/>
        </w:r>
        <w:r w:rsidRPr="00A449A3">
          <w:rPr>
            <w:rFonts w:ascii="Verdana" w:hAnsi="Verdana"/>
            <w:noProof/>
            <w:webHidden/>
            <w:sz w:val="20"/>
            <w:szCs w:val="20"/>
          </w:rPr>
          <w:fldChar w:fldCharType="begin"/>
        </w:r>
        <w:r w:rsidRPr="00A449A3">
          <w:rPr>
            <w:rFonts w:ascii="Verdana" w:hAnsi="Verdana"/>
            <w:noProof/>
            <w:webHidden/>
            <w:sz w:val="20"/>
            <w:szCs w:val="20"/>
          </w:rPr>
          <w:instrText xml:space="preserve"> PAGEREF _Toc395612567 \h </w:instrText>
        </w:r>
        <w:r w:rsidRPr="00A449A3">
          <w:rPr>
            <w:rFonts w:ascii="Verdana" w:hAnsi="Verdana"/>
            <w:noProof/>
            <w:webHidden/>
            <w:sz w:val="20"/>
            <w:szCs w:val="20"/>
          </w:rPr>
        </w:r>
        <w:r w:rsidRPr="00A449A3">
          <w:rPr>
            <w:rFonts w:ascii="Verdana" w:hAnsi="Verdana"/>
            <w:noProof/>
            <w:webHidden/>
            <w:sz w:val="20"/>
            <w:szCs w:val="20"/>
          </w:rPr>
          <w:fldChar w:fldCharType="separate"/>
        </w:r>
        <w:r w:rsidR="001361E0">
          <w:rPr>
            <w:rFonts w:ascii="Verdana" w:hAnsi="Verdana"/>
            <w:noProof/>
            <w:webHidden/>
            <w:sz w:val="20"/>
            <w:szCs w:val="20"/>
          </w:rPr>
          <w:t>58</w:t>
        </w:r>
        <w:r w:rsidRPr="00A449A3">
          <w:rPr>
            <w:rFonts w:ascii="Verdana" w:hAnsi="Verdana"/>
            <w:noProof/>
            <w:webHidden/>
            <w:sz w:val="20"/>
            <w:szCs w:val="20"/>
          </w:rPr>
          <w:fldChar w:fldCharType="end"/>
        </w:r>
      </w:hyperlink>
    </w:p>
    <w:p w:rsidR="00A449A3" w:rsidRPr="00A449A3" w:rsidRDefault="00A449A3">
      <w:pPr>
        <w:pStyle w:val="TableofFigures"/>
        <w:tabs>
          <w:tab w:val="right" w:leader="dot" w:pos="9017"/>
        </w:tabs>
        <w:rPr>
          <w:rFonts w:ascii="Verdana" w:eastAsiaTheme="minorEastAsia" w:hAnsi="Verdana" w:cstheme="minorBidi"/>
          <w:noProof/>
          <w:sz w:val="20"/>
          <w:szCs w:val="20"/>
          <w:lang w:val="bg-BG" w:eastAsia="bg-BG"/>
        </w:rPr>
      </w:pPr>
      <w:hyperlink w:anchor="_Toc395612568" w:history="1">
        <w:r w:rsidRPr="00A449A3">
          <w:rPr>
            <w:rStyle w:val="Hyperlink"/>
            <w:rFonts w:ascii="Verdana" w:hAnsi="Verdana"/>
            <w:noProof/>
            <w:sz w:val="20"/>
            <w:szCs w:val="20"/>
            <w:lang w:val="bg-BG"/>
          </w:rPr>
          <w:t>Таблица 12. Допълване и разграничаване между ОПНОИР и ОПРЧР</w:t>
        </w:r>
        <w:r w:rsidRPr="00A449A3">
          <w:rPr>
            <w:rFonts w:ascii="Verdana" w:hAnsi="Verdana"/>
            <w:noProof/>
            <w:webHidden/>
            <w:sz w:val="20"/>
            <w:szCs w:val="20"/>
          </w:rPr>
          <w:tab/>
        </w:r>
        <w:r w:rsidRPr="00A449A3">
          <w:rPr>
            <w:rFonts w:ascii="Verdana" w:hAnsi="Verdana"/>
            <w:noProof/>
            <w:webHidden/>
            <w:sz w:val="20"/>
            <w:szCs w:val="20"/>
          </w:rPr>
          <w:fldChar w:fldCharType="begin"/>
        </w:r>
        <w:r w:rsidRPr="00A449A3">
          <w:rPr>
            <w:rFonts w:ascii="Verdana" w:hAnsi="Verdana"/>
            <w:noProof/>
            <w:webHidden/>
            <w:sz w:val="20"/>
            <w:szCs w:val="20"/>
          </w:rPr>
          <w:instrText xml:space="preserve"> PAGEREF _Toc395612568 \h </w:instrText>
        </w:r>
        <w:r w:rsidRPr="00A449A3">
          <w:rPr>
            <w:rFonts w:ascii="Verdana" w:hAnsi="Verdana"/>
            <w:noProof/>
            <w:webHidden/>
            <w:sz w:val="20"/>
            <w:szCs w:val="20"/>
          </w:rPr>
        </w:r>
        <w:r w:rsidRPr="00A449A3">
          <w:rPr>
            <w:rFonts w:ascii="Verdana" w:hAnsi="Verdana"/>
            <w:noProof/>
            <w:webHidden/>
            <w:sz w:val="20"/>
            <w:szCs w:val="20"/>
          </w:rPr>
          <w:fldChar w:fldCharType="separate"/>
        </w:r>
        <w:r w:rsidR="001361E0">
          <w:rPr>
            <w:rFonts w:ascii="Verdana" w:hAnsi="Verdana"/>
            <w:noProof/>
            <w:webHidden/>
            <w:sz w:val="20"/>
            <w:szCs w:val="20"/>
          </w:rPr>
          <w:t>58</w:t>
        </w:r>
        <w:r w:rsidRPr="00A449A3">
          <w:rPr>
            <w:rFonts w:ascii="Verdana" w:hAnsi="Verdana"/>
            <w:noProof/>
            <w:webHidden/>
            <w:sz w:val="20"/>
            <w:szCs w:val="20"/>
          </w:rPr>
          <w:fldChar w:fldCharType="end"/>
        </w:r>
      </w:hyperlink>
    </w:p>
    <w:p w:rsidR="00A449A3" w:rsidRPr="00A449A3" w:rsidRDefault="00A449A3">
      <w:pPr>
        <w:pStyle w:val="TableofFigures"/>
        <w:tabs>
          <w:tab w:val="right" w:leader="dot" w:pos="9017"/>
        </w:tabs>
        <w:rPr>
          <w:rFonts w:ascii="Verdana" w:eastAsiaTheme="minorEastAsia" w:hAnsi="Verdana" w:cstheme="minorBidi"/>
          <w:noProof/>
          <w:sz w:val="20"/>
          <w:szCs w:val="20"/>
          <w:lang w:val="bg-BG" w:eastAsia="bg-BG"/>
        </w:rPr>
      </w:pPr>
      <w:hyperlink w:anchor="_Toc395612569" w:history="1">
        <w:r w:rsidRPr="00A449A3">
          <w:rPr>
            <w:rStyle w:val="Hyperlink"/>
            <w:rFonts w:ascii="Verdana" w:hAnsi="Verdana"/>
            <w:noProof/>
            <w:sz w:val="20"/>
            <w:szCs w:val="20"/>
            <w:lang w:val="bg-BG"/>
          </w:rPr>
          <w:t>Таблица 13: Връзки между приоритетите на ОПНОИР и ПРСР</w:t>
        </w:r>
        <w:r w:rsidRPr="00A449A3">
          <w:rPr>
            <w:rFonts w:ascii="Verdana" w:hAnsi="Verdana"/>
            <w:noProof/>
            <w:webHidden/>
            <w:sz w:val="20"/>
            <w:szCs w:val="20"/>
          </w:rPr>
          <w:tab/>
        </w:r>
        <w:r w:rsidRPr="00A449A3">
          <w:rPr>
            <w:rFonts w:ascii="Verdana" w:hAnsi="Verdana"/>
            <w:noProof/>
            <w:webHidden/>
            <w:sz w:val="20"/>
            <w:szCs w:val="20"/>
          </w:rPr>
          <w:fldChar w:fldCharType="begin"/>
        </w:r>
        <w:r w:rsidRPr="00A449A3">
          <w:rPr>
            <w:rFonts w:ascii="Verdana" w:hAnsi="Verdana"/>
            <w:noProof/>
            <w:webHidden/>
            <w:sz w:val="20"/>
            <w:szCs w:val="20"/>
          </w:rPr>
          <w:instrText xml:space="preserve"> PAGEREF _Toc395612569 \h </w:instrText>
        </w:r>
        <w:r w:rsidRPr="00A449A3">
          <w:rPr>
            <w:rFonts w:ascii="Verdana" w:hAnsi="Verdana"/>
            <w:noProof/>
            <w:webHidden/>
            <w:sz w:val="20"/>
            <w:szCs w:val="20"/>
          </w:rPr>
        </w:r>
        <w:r w:rsidRPr="00A449A3">
          <w:rPr>
            <w:rFonts w:ascii="Verdana" w:hAnsi="Verdana"/>
            <w:noProof/>
            <w:webHidden/>
            <w:sz w:val="20"/>
            <w:szCs w:val="20"/>
          </w:rPr>
          <w:fldChar w:fldCharType="separate"/>
        </w:r>
        <w:r w:rsidR="001361E0">
          <w:rPr>
            <w:rFonts w:ascii="Verdana" w:hAnsi="Verdana"/>
            <w:noProof/>
            <w:webHidden/>
            <w:sz w:val="20"/>
            <w:szCs w:val="20"/>
          </w:rPr>
          <w:t>61</w:t>
        </w:r>
        <w:r w:rsidRPr="00A449A3">
          <w:rPr>
            <w:rFonts w:ascii="Verdana" w:hAnsi="Verdana"/>
            <w:noProof/>
            <w:webHidden/>
            <w:sz w:val="20"/>
            <w:szCs w:val="20"/>
          </w:rPr>
          <w:fldChar w:fldCharType="end"/>
        </w:r>
      </w:hyperlink>
    </w:p>
    <w:p w:rsidR="00A449A3" w:rsidRPr="00A449A3" w:rsidRDefault="00A449A3">
      <w:pPr>
        <w:pStyle w:val="TableofFigures"/>
        <w:tabs>
          <w:tab w:val="right" w:leader="dot" w:pos="9017"/>
        </w:tabs>
        <w:rPr>
          <w:rFonts w:ascii="Verdana" w:eastAsiaTheme="minorEastAsia" w:hAnsi="Verdana" w:cstheme="minorBidi"/>
          <w:noProof/>
          <w:sz w:val="20"/>
          <w:szCs w:val="20"/>
          <w:lang w:val="bg-BG" w:eastAsia="bg-BG"/>
        </w:rPr>
      </w:pPr>
      <w:hyperlink w:anchor="_Toc395612570" w:history="1">
        <w:r w:rsidRPr="00A449A3">
          <w:rPr>
            <w:rStyle w:val="Hyperlink"/>
            <w:rFonts w:ascii="Verdana" w:hAnsi="Verdana"/>
            <w:noProof/>
            <w:sz w:val="20"/>
            <w:szCs w:val="20"/>
            <w:lang w:val="bg-BG"/>
          </w:rPr>
          <w:t>Таблица 14. Допълване и разграничаване между ОПНОИР и ПРСР</w:t>
        </w:r>
        <w:r w:rsidRPr="00A449A3">
          <w:rPr>
            <w:rFonts w:ascii="Verdana" w:hAnsi="Verdana"/>
            <w:noProof/>
            <w:webHidden/>
            <w:sz w:val="20"/>
            <w:szCs w:val="20"/>
          </w:rPr>
          <w:tab/>
        </w:r>
        <w:r w:rsidRPr="00A449A3">
          <w:rPr>
            <w:rFonts w:ascii="Verdana" w:hAnsi="Verdana"/>
            <w:noProof/>
            <w:webHidden/>
            <w:sz w:val="20"/>
            <w:szCs w:val="20"/>
          </w:rPr>
          <w:fldChar w:fldCharType="begin"/>
        </w:r>
        <w:r w:rsidRPr="00A449A3">
          <w:rPr>
            <w:rFonts w:ascii="Verdana" w:hAnsi="Verdana"/>
            <w:noProof/>
            <w:webHidden/>
            <w:sz w:val="20"/>
            <w:szCs w:val="20"/>
          </w:rPr>
          <w:instrText xml:space="preserve"> PAGEREF _Toc395612570 \h </w:instrText>
        </w:r>
        <w:r w:rsidRPr="00A449A3">
          <w:rPr>
            <w:rFonts w:ascii="Verdana" w:hAnsi="Verdana"/>
            <w:noProof/>
            <w:webHidden/>
            <w:sz w:val="20"/>
            <w:szCs w:val="20"/>
          </w:rPr>
        </w:r>
        <w:r w:rsidRPr="00A449A3">
          <w:rPr>
            <w:rFonts w:ascii="Verdana" w:hAnsi="Verdana"/>
            <w:noProof/>
            <w:webHidden/>
            <w:sz w:val="20"/>
            <w:szCs w:val="20"/>
          </w:rPr>
          <w:fldChar w:fldCharType="separate"/>
        </w:r>
        <w:r w:rsidR="001361E0">
          <w:rPr>
            <w:rFonts w:ascii="Verdana" w:hAnsi="Verdana"/>
            <w:noProof/>
            <w:webHidden/>
            <w:sz w:val="20"/>
            <w:szCs w:val="20"/>
          </w:rPr>
          <w:t>62</w:t>
        </w:r>
        <w:r w:rsidRPr="00A449A3">
          <w:rPr>
            <w:rFonts w:ascii="Verdana" w:hAnsi="Verdana"/>
            <w:noProof/>
            <w:webHidden/>
            <w:sz w:val="20"/>
            <w:szCs w:val="20"/>
          </w:rPr>
          <w:fldChar w:fldCharType="end"/>
        </w:r>
      </w:hyperlink>
    </w:p>
    <w:p w:rsidR="00A449A3" w:rsidRPr="00A449A3" w:rsidRDefault="00A449A3">
      <w:pPr>
        <w:pStyle w:val="TableofFigures"/>
        <w:tabs>
          <w:tab w:val="right" w:leader="dot" w:pos="9017"/>
        </w:tabs>
        <w:rPr>
          <w:rFonts w:ascii="Verdana" w:eastAsiaTheme="minorEastAsia" w:hAnsi="Verdana" w:cstheme="minorBidi"/>
          <w:noProof/>
          <w:sz w:val="20"/>
          <w:szCs w:val="20"/>
          <w:lang w:val="bg-BG" w:eastAsia="bg-BG"/>
        </w:rPr>
      </w:pPr>
      <w:hyperlink w:anchor="_Toc395612571" w:history="1">
        <w:r w:rsidRPr="00A449A3">
          <w:rPr>
            <w:rStyle w:val="Hyperlink"/>
            <w:rFonts w:ascii="Verdana" w:hAnsi="Verdana"/>
            <w:noProof/>
            <w:sz w:val="20"/>
            <w:szCs w:val="20"/>
            <w:lang w:val="bg-BG"/>
          </w:rPr>
          <w:t>Таблица 15: Връзки между приоритетите на ОПНОИР и ПМДР</w:t>
        </w:r>
        <w:r w:rsidRPr="00A449A3">
          <w:rPr>
            <w:rFonts w:ascii="Verdana" w:hAnsi="Verdana"/>
            <w:noProof/>
            <w:webHidden/>
            <w:sz w:val="20"/>
            <w:szCs w:val="20"/>
          </w:rPr>
          <w:tab/>
        </w:r>
        <w:r w:rsidRPr="00A449A3">
          <w:rPr>
            <w:rFonts w:ascii="Verdana" w:hAnsi="Verdana"/>
            <w:noProof/>
            <w:webHidden/>
            <w:sz w:val="20"/>
            <w:szCs w:val="20"/>
          </w:rPr>
          <w:fldChar w:fldCharType="begin"/>
        </w:r>
        <w:r w:rsidRPr="00A449A3">
          <w:rPr>
            <w:rFonts w:ascii="Verdana" w:hAnsi="Verdana"/>
            <w:noProof/>
            <w:webHidden/>
            <w:sz w:val="20"/>
            <w:szCs w:val="20"/>
          </w:rPr>
          <w:instrText xml:space="preserve"> PAGEREF _Toc395612571 \h </w:instrText>
        </w:r>
        <w:r w:rsidRPr="00A449A3">
          <w:rPr>
            <w:rFonts w:ascii="Verdana" w:hAnsi="Verdana"/>
            <w:noProof/>
            <w:webHidden/>
            <w:sz w:val="20"/>
            <w:szCs w:val="20"/>
          </w:rPr>
        </w:r>
        <w:r w:rsidRPr="00A449A3">
          <w:rPr>
            <w:rFonts w:ascii="Verdana" w:hAnsi="Verdana"/>
            <w:noProof/>
            <w:webHidden/>
            <w:sz w:val="20"/>
            <w:szCs w:val="20"/>
          </w:rPr>
          <w:fldChar w:fldCharType="separate"/>
        </w:r>
        <w:r w:rsidR="001361E0">
          <w:rPr>
            <w:rFonts w:ascii="Verdana" w:hAnsi="Verdana"/>
            <w:noProof/>
            <w:webHidden/>
            <w:sz w:val="20"/>
            <w:szCs w:val="20"/>
          </w:rPr>
          <w:t>64</w:t>
        </w:r>
        <w:r w:rsidRPr="00A449A3">
          <w:rPr>
            <w:rFonts w:ascii="Verdana" w:hAnsi="Verdana"/>
            <w:noProof/>
            <w:webHidden/>
            <w:sz w:val="20"/>
            <w:szCs w:val="20"/>
          </w:rPr>
          <w:fldChar w:fldCharType="end"/>
        </w:r>
      </w:hyperlink>
    </w:p>
    <w:p w:rsidR="00A449A3" w:rsidRPr="00A449A3" w:rsidRDefault="00A449A3">
      <w:pPr>
        <w:pStyle w:val="TableofFigures"/>
        <w:tabs>
          <w:tab w:val="right" w:leader="dot" w:pos="9017"/>
        </w:tabs>
        <w:rPr>
          <w:rFonts w:ascii="Verdana" w:eastAsiaTheme="minorEastAsia" w:hAnsi="Verdana" w:cstheme="minorBidi"/>
          <w:noProof/>
          <w:sz w:val="20"/>
          <w:szCs w:val="20"/>
          <w:lang w:val="bg-BG" w:eastAsia="bg-BG"/>
        </w:rPr>
      </w:pPr>
      <w:hyperlink w:anchor="_Toc395612572" w:history="1">
        <w:r w:rsidRPr="00A449A3">
          <w:rPr>
            <w:rStyle w:val="Hyperlink"/>
            <w:rFonts w:ascii="Verdana" w:hAnsi="Verdana"/>
            <w:noProof/>
            <w:sz w:val="20"/>
            <w:szCs w:val="20"/>
            <w:lang w:val="bg-BG"/>
          </w:rPr>
          <w:t>Таблица 16. Допълване и разграничаване между ОПНОИР и ПМДР</w:t>
        </w:r>
        <w:r w:rsidRPr="00A449A3">
          <w:rPr>
            <w:rFonts w:ascii="Verdana" w:hAnsi="Verdana"/>
            <w:noProof/>
            <w:webHidden/>
            <w:sz w:val="20"/>
            <w:szCs w:val="20"/>
          </w:rPr>
          <w:tab/>
        </w:r>
        <w:r w:rsidRPr="00A449A3">
          <w:rPr>
            <w:rFonts w:ascii="Verdana" w:hAnsi="Verdana"/>
            <w:noProof/>
            <w:webHidden/>
            <w:sz w:val="20"/>
            <w:szCs w:val="20"/>
          </w:rPr>
          <w:fldChar w:fldCharType="begin"/>
        </w:r>
        <w:r w:rsidRPr="00A449A3">
          <w:rPr>
            <w:rFonts w:ascii="Verdana" w:hAnsi="Verdana"/>
            <w:noProof/>
            <w:webHidden/>
            <w:sz w:val="20"/>
            <w:szCs w:val="20"/>
          </w:rPr>
          <w:instrText xml:space="preserve"> PAGEREF _Toc395612572 \h </w:instrText>
        </w:r>
        <w:r w:rsidRPr="00A449A3">
          <w:rPr>
            <w:rFonts w:ascii="Verdana" w:hAnsi="Verdana"/>
            <w:noProof/>
            <w:webHidden/>
            <w:sz w:val="20"/>
            <w:szCs w:val="20"/>
          </w:rPr>
        </w:r>
        <w:r w:rsidRPr="00A449A3">
          <w:rPr>
            <w:rFonts w:ascii="Verdana" w:hAnsi="Verdana"/>
            <w:noProof/>
            <w:webHidden/>
            <w:sz w:val="20"/>
            <w:szCs w:val="20"/>
          </w:rPr>
          <w:fldChar w:fldCharType="separate"/>
        </w:r>
        <w:r w:rsidR="001361E0">
          <w:rPr>
            <w:rFonts w:ascii="Verdana" w:hAnsi="Verdana"/>
            <w:noProof/>
            <w:webHidden/>
            <w:sz w:val="20"/>
            <w:szCs w:val="20"/>
          </w:rPr>
          <w:t>65</w:t>
        </w:r>
        <w:r w:rsidRPr="00A449A3">
          <w:rPr>
            <w:rFonts w:ascii="Verdana" w:hAnsi="Verdana"/>
            <w:noProof/>
            <w:webHidden/>
            <w:sz w:val="20"/>
            <w:szCs w:val="20"/>
          </w:rPr>
          <w:fldChar w:fldCharType="end"/>
        </w:r>
      </w:hyperlink>
    </w:p>
    <w:p w:rsidR="00A449A3" w:rsidRPr="00A449A3" w:rsidRDefault="00A449A3">
      <w:pPr>
        <w:pStyle w:val="TableofFigures"/>
        <w:tabs>
          <w:tab w:val="right" w:leader="dot" w:pos="9017"/>
        </w:tabs>
        <w:rPr>
          <w:rFonts w:ascii="Verdana" w:eastAsiaTheme="minorEastAsia" w:hAnsi="Verdana" w:cstheme="minorBidi"/>
          <w:noProof/>
          <w:sz w:val="20"/>
          <w:szCs w:val="20"/>
          <w:lang w:val="bg-BG" w:eastAsia="bg-BG"/>
        </w:rPr>
      </w:pPr>
      <w:hyperlink w:anchor="_Toc395612573" w:history="1">
        <w:r w:rsidRPr="00A449A3">
          <w:rPr>
            <w:rStyle w:val="Hyperlink"/>
            <w:rFonts w:ascii="Verdana" w:hAnsi="Verdana"/>
            <w:noProof/>
            <w:sz w:val="20"/>
            <w:szCs w:val="20"/>
          </w:rPr>
          <w:t>Таблица 17. ПО1 - Съответствие между нужди, ИП, дейности и индикатори</w:t>
        </w:r>
        <w:r w:rsidRPr="00A449A3">
          <w:rPr>
            <w:rFonts w:ascii="Verdana" w:hAnsi="Verdana"/>
            <w:noProof/>
            <w:webHidden/>
            <w:sz w:val="20"/>
            <w:szCs w:val="20"/>
          </w:rPr>
          <w:tab/>
        </w:r>
        <w:r w:rsidRPr="00A449A3">
          <w:rPr>
            <w:rFonts w:ascii="Verdana" w:hAnsi="Verdana"/>
            <w:noProof/>
            <w:webHidden/>
            <w:sz w:val="20"/>
            <w:szCs w:val="20"/>
          </w:rPr>
          <w:fldChar w:fldCharType="begin"/>
        </w:r>
        <w:r w:rsidRPr="00A449A3">
          <w:rPr>
            <w:rFonts w:ascii="Verdana" w:hAnsi="Verdana"/>
            <w:noProof/>
            <w:webHidden/>
            <w:sz w:val="20"/>
            <w:szCs w:val="20"/>
          </w:rPr>
          <w:instrText xml:space="preserve"> PAGEREF _Toc395612573 \h </w:instrText>
        </w:r>
        <w:r w:rsidRPr="00A449A3">
          <w:rPr>
            <w:rFonts w:ascii="Verdana" w:hAnsi="Verdana"/>
            <w:noProof/>
            <w:webHidden/>
            <w:sz w:val="20"/>
            <w:szCs w:val="20"/>
          </w:rPr>
        </w:r>
        <w:r w:rsidRPr="00A449A3">
          <w:rPr>
            <w:rFonts w:ascii="Verdana" w:hAnsi="Verdana"/>
            <w:noProof/>
            <w:webHidden/>
            <w:sz w:val="20"/>
            <w:szCs w:val="20"/>
          </w:rPr>
          <w:fldChar w:fldCharType="separate"/>
        </w:r>
        <w:r w:rsidR="001361E0">
          <w:rPr>
            <w:rFonts w:ascii="Verdana" w:hAnsi="Verdana"/>
            <w:noProof/>
            <w:webHidden/>
            <w:sz w:val="20"/>
            <w:szCs w:val="20"/>
          </w:rPr>
          <w:t>70</w:t>
        </w:r>
        <w:r w:rsidRPr="00A449A3">
          <w:rPr>
            <w:rFonts w:ascii="Verdana" w:hAnsi="Verdana"/>
            <w:noProof/>
            <w:webHidden/>
            <w:sz w:val="20"/>
            <w:szCs w:val="20"/>
          </w:rPr>
          <w:fldChar w:fldCharType="end"/>
        </w:r>
      </w:hyperlink>
    </w:p>
    <w:p w:rsidR="00A449A3" w:rsidRPr="00A449A3" w:rsidRDefault="00A449A3">
      <w:pPr>
        <w:pStyle w:val="TableofFigures"/>
        <w:tabs>
          <w:tab w:val="right" w:leader="dot" w:pos="9017"/>
        </w:tabs>
        <w:rPr>
          <w:rFonts w:ascii="Verdana" w:eastAsiaTheme="minorEastAsia" w:hAnsi="Verdana" w:cstheme="minorBidi"/>
          <w:noProof/>
          <w:sz w:val="20"/>
          <w:szCs w:val="20"/>
          <w:lang w:val="bg-BG" w:eastAsia="bg-BG"/>
        </w:rPr>
      </w:pPr>
      <w:hyperlink w:anchor="_Toc395612574" w:history="1">
        <w:r w:rsidRPr="00A449A3">
          <w:rPr>
            <w:rStyle w:val="Hyperlink"/>
            <w:rFonts w:ascii="Verdana" w:hAnsi="Verdana"/>
            <w:noProof/>
            <w:sz w:val="20"/>
            <w:szCs w:val="20"/>
          </w:rPr>
          <w:t>Таблица 18. ПО2 - Съответствие между нужди, ИП, дейности и индикатори</w:t>
        </w:r>
        <w:r w:rsidRPr="00A449A3">
          <w:rPr>
            <w:rFonts w:ascii="Verdana" w:hAnsi="Verdana"/>
            <w:noProof/>
            <w:webHidden/>
            <w:sz w:val="20"/>
            <w:szCs w:val="20"/>
          </w:rPr>
          <w:tab/>
        </w:r>
        <w:r w:rsidRPr="00A449A3">
          <w:rPr>
            <w:rFonts w:ascii="Verdana" w:hAnsi="Verdana"/>
            <w:noProof/>
            <w:webHidden/>
            <w:sz w:val="20"/>
            <w:szCs w:val="20"/>
          </w:rPr>
          <w:fldChar w:fldCharType="begin"/>
        </w:r>
        <w:r w:rsidRPr="00A449A3">
          <w:rPr>
            <w:rFonts w:ascii="Verdana" w:hAnsi="Verdana"/>
            <w:noProof/>
            <w:webHidden/>
            <w:sz w:val="20"/>
            <w:szCs w:val="20"/>
          </w:rPr>
          <w:instrText xml:space="preserve"> PAGEREF _Toc395612574 \h </w:instrText>
        </w:r>
        <w:r w:rsidRPr="00A449A3">
          <w:rPr>
            <w:rFonts w:ascii="Verdana" w:hAnsi="Verdana"/>
            <w:noProof/>
            <w:webHidden/>
            <w:sz w:val="20"/>
            <w:szCs w:val="20"/>
          </w:rPr>
        </w:r>
        <w:r w:rsidRPr="00A449A3">
          <w:rPr>
            <w:rFonts w:ascii="Verdana" w:hAnsi="Verdana"/>
            <w:noProof/>
            <w:webHidden/>
            <w:sz w:val="20"/>
            <w:szCs w:val="20"/>
          </w:rPr>
          <w:fldChar w:fldCharType="separate"/>
        </w:r>
        <w:r w:rsidR="001361E0">
          <w:rPr>
            <w:rFonts w:ascii="Verdana" w:hAnsi="Verdana"/>
            <w:noProof/>
            <w:webHidden/>
            <w:sz w:val="20"/>
            <w:szCs w:val="20"/>
          </w:rPr>
          <w:t>73</w:t>
        </w:r>
        <w:r w:rsidRPr="00A449A3">
          <w:rPr>
            <w:rFonts w:ascii="Verdana" w:hAnsi="Verdana"/>
            <w:noProof/>
            <w:webHidden/>
            <w:sz w:val="20"/>
            <w:szCs w:val="20"/>
          </w:rPr>
          <w:fldChar w:fldCharType="end"/>
        </w:r>
      </w:hyperlink>
    </w:p>
    <w:p w:rsidR="00A449A3" w:rsidRPr="00A449A3" w:rsidRDefault="00A449A3">
      <w:pPr>
        <w:pStyle w:val="TableofFigures"/>
        <w:tabs>
          <w:tab w:val="right" w:leader="dot" w:pos="9017"/>
        </w:tabs>
        <w:rPr>
          <w:rFonts w:ascii="Verdana" w:eastAsiaTheme="minorEastAsia" w:hAnsi="Verdana" w:cstheme="minorBidi"/>
          <w:noProof/>
          <w:sz w:val="20"/>
          <w:szCs w:val="20"/>
          <w:lang w:val="bg-BG" w:eastAsia="bg-BG"/>
        </w:rPr>
      </w:pPr>
      <w:hyperlink w:anchor="_Toc395612575" w:history="1">
        <w:r w:rsidRPr="00A449A3">
          <w:rPr>
            <w:rStyle w:val="Hyperlink"/>
            <w:rFonts w:ascii="Verdana" w:hAnsi="Verdana"/>
            <w:noProof/>
            <w:sz w:val="20"/>
            <w:szCs w:val="20"/>
          </w:rPr>
          <w:t>Таблица 19. ПО3 - Съответствие между нужди, ИП, дейности и индикатори</w:t>
        </w:r>
        <w:r w:rsidRPr="00A449A3">
          <w:rPr>
            <w:rFonts w:ascii="Verdana" w:hAnsi="Verdana"/>
            <w:noProof/>
            <w:webHidden/>
            <w:sz w:val="20"/>
            <w:szCs w:val="20"/>
          </w:rPr>
          <w:tab/>
        </w:r>
        <w:r w:rsidRPr="00A449A3">
          <w:rPr>
            <w:rFonts w:ascii="Verdana" w:hAnsi="Verdana"/>
            <w:noProof/>
            <w:webHidden/>
            <w:sz w:val="20"/>
            <w:szCs w:val="20"/>
          </w:rPr>
          <w:fldChar w:fldCharType="begin"/>
        </w:r>
        <w:r w:rsidRPr="00A449A3">
          <w:rPr>
            <w:rFonts w:ascii="Verdana" w:hAnsi="Verdana"/>
            <w:noProof/>
            <w:webHidden/>
            <w:sz w:val="20"/>
            <w:szCs w:val="20"/>
          </w:rPr>
          <w:instrText xml:space="preserve"> PAGEREF _Toc395612575 \h </w:instrText>
        </w:r>
        <w:r w:rsidRPr="00A449A3">
          <w:rPr>
            <w:rFonts w:ascii="Verdana" w:hAnsi="Verdana"/>
            <w:noProof/>
            <w:webHidden/>
            <w:sz w:val="20"/>
            <w:szCs w:val="20"/>
          </w:rPr>
        </w:r>
        <w:r w:rsidRPr="00A449A3">
          <w:rPr>
            <w:rFonts w:ascii="Verdana" w:hAnsi="Verdana"/>
            <w:noProof/>
            <w:webHidden/>
            <w:sz w:val="20"/>
            <w:szCs w:val="20"/>
          </w:rPr>
          <w:fldChar w:fldCharType="separate"/>
        </w:r>
        <w:r w:rsidR="001361E0">
          <w:rPr>
            <w:rFonts w:ascii="Verdana" w:hAnsi="Verdana"/>
            <w:noProof/>
            <w:webHidden/>
            <w:sz w:val="20"/>
            <w:szCs w:val="20"/>
          </w:rPr>
          <w:t>80</w:t>
        </w:r>
        <w:r w:rsidRPr="00A449A3">
          <w:rPr>
            <w:rFonts w:ascii="Verdana" w:hAnsi="Verdana"/>
            <w:noProof/>
            <w:webHidden/>
            <w:sz w:val="20"/>
            <w:szCs w:val="20"/>
          </w:rPr>
          <w:fldChar w:fldCharType="end"/>
        </w:r>
      </w:hyperlink>
    </w:p>
    <w:p w:rsidR="00A449A3" w:rsidRPr="00A449A3" w:rsidRDefault="00A449A3">
      <w:pPr>
        <w:pStyle w:val="TableofFigures"/>
        <w:tabs>
          <w:tab w:val="right" w:leader="dot" w:pos="9017"/>
        </w:tabs>
        <w:rPr>
          <w:rFonts w:ascii="Verdana" w:eastAsiaTheme="minorEastAsia" w:hAnsi="Verdana" w:cstheme="minorBidi"/>
          <w:noProof/>
          <w:sz w:val="20"/>
          <w:szCs w:val="20"/>
          <w:lang w:val="bg-BG" w:eastAsia="bg-BG"/>
        </w:rPr>
      </w:pPr>
      <w:hyperlink w:anchor="_Toc395612576" w:history="1">
        <w:r w:rsidRPr="00A449A3">
          <w:rPr>
            <w:rStyle w:val="Hyperlink"/>
            <w:rFonts w:ascii="Verdana" w:hAnsi="Verdana"/>
            <w:noProof/>
            <w:sz w:val="20"/>
            <w:szCs w:val="20"/>
          </w:rPr>
          <w:t>Таблица 20. ПО4 - Съответствие между нужди, ИП, дейности и индикатори</w:t>
        </w:r>
        <w:r w:rsidRPr="00A449A3">
          <w:rPr>
            <w:rFonts w:ascii="Verdana" w:hAnsi="Verdana"/>
            <w:noProof/>
            <w:webHidden/>
            <w:sz w:val="20"/>
            <w:szCs w:val="20"/>
          </w:rPr>
          <w:tab/>
        </w:r>
        <w:r w:rsidRPr="00A449A3">
          <w:rPr>
            <w:rFonts w:ascii="Verdana" w:hAnsi="Verdana"/>
            <w:noProof/>
            <w:webHidden/>
            <w:sz w:val="20"/>
            <w:szCs w:val="20"/>
          </w:rPr>
          <w:fldChar w:fldCharType="begin"/>
        </w:r>
        <w:r w:rsidRPr="00A449A3">
          <w:rPr>
            <w:rFonts w:ascii="Verdana" w:hAnsi="Verdana"/>
            <w:noProof/>
            <w:webHidden/>
            <w:sz w:val="20"/>
            <w:szCs w:val="20"/>
          </w:rPr>
          <w:instrText xml:space="preserve"> PAGEREF _Toc395612576 \h </w:instrText>
        </w:r>
        <w:r w:rsidRPr="00A449A3">
          <w:rPr>
            <w:rFonts w:ascii="Verdana" w:hAnsi="Verdana"/>
            <w:noProof/>
            <w:webHidden/>
            <w:sz w:val="20"/>
            <w:szCs w:val="20"/>
          </w:rPr>
        </w:r>
        <w:r w:rsidRPr="00A449A3">
          <w:rPr>
            <w:rFonts w:ascii="Verdana" w:hAnsi="Verdana"/>
            <w:noProof/>
            <w:webHidden/>
            <w:sz w:val="20"/>
            <w:szCs w:val="20"/>
          </w:rPr>
          <w:fldChar w:fldCharType="separate"/>
        </w:r>
        <w:r w:rsidR="001361E0">
          <w:rPr>
            <w:rFonts w:ascii="Verdana" w:hAnsi="Verdana"/>
            <w:noProof/>
            <w:webHidden/>
            <w:sz w:val="20"/>
            <w:szCs w:val="20"/>
          </w:rPr>
          <w:t>83</w:t>
        </w:r>
        <w:r w:rsidRPr="00A449A3">
          <w:rPr>
            <w:rFonts w:ascii="Verdana" w:hAnsi="Verdana"/>
            <w:noProof/>
            <w:webHidden/>
            <w:sz w:val="20"/>
            <w:szCs w:val="20"/>
          </w:rPr>
          <w:fldChar w:fldCharType="end"/>
        </w:r>
      </w:hyperlink>
    </w:p>
    <w:p w:rsidR="00A449A3" w:rsidRPr="00A449A3" w:rsidRDefault="00A449A3">
      <w:pPr>
        <w:pStyle w:val="TableofFigures"/>
        <w:tabs>
          <w:tab w:val="right" w:leader="dot" w:pos="9017"/>
        </w:tabs>
        <w:rPr>
          <w:rFonts w:ascii="Verdana" w:eastAsiaTheme="minorEastAsia" w:hAnsi="Verdana" w:cstheme="minorBidi"/>
          <w:noProof/>
          <w:sz w:val="20"/>
          <w:szCs w:val="20"/>
          <w:lang w:val="bg-BG" w:eastAsia="bg-BG"/>
        </w:rPr>
      </w:pPr>
      <w:hyperlink w:anchor="_Toc395612577" w:history="1">
        <w:r w:rsidRPr="00A449A3">
          <w:rPr>
            <w:rStyle w:val="Hyperlink"/>
            <w:rFonts w:ascii="Verdana" w:hAnsi="Verdana"/>
            <w:noProof/>
            <w:sz w:val="20"/>
            <w:szCs w:val="20"/>
          </w:rPr>
          <w:t>Таблица 21. ПО1 – Анализ на дейностите</w:t>
        </w:r>
        <w:r w:rsidRPr="00A449A3">
          <w:rPr>
            <w:rFonts w:ascii="Verdana" w:hAnsi="Verdana"/>
            <w:noProof/>
            <w:webHidden/>
            <w:sz w:val="20"/>
            <w:szCs w:val="20"/>
          </w:rPr>
          <w:tab/>
        </w:r>
        <w:r w:rsidRPr="00A449A3">
          <w:rPr>
            <w:rFonts w:ascii="Verdana" w:hAnsi="Verdana"/>
            <w:noProof/>
            <w:webHidden/>
            <w:sz w:val="20"/>
            <w:szCs w:val="20"/>
          </w:rPr>
          <w:fldChar w:fldCharType="begin"/>
        </w:r>
        <w:r w:rsidRPr="00A449A3">
          <w:rPr>
            <w:rFonts w:ascii="Verdana" w:hAnsi="Verdana"/>
            <w:noProof/>
            <w:webHidden/>
            <w:sz w:val="20"/>
            <w:szCs w:val="20"/>
          </w:rPr>
          <w:instrText xml:space="preserve"> PAGEREF _Toc395612577 \h </w:instrText>
        </w:r>
        <w:r w:rsidRPr="00A449A3">
          <w:rPr>
            <w:rFonts w:ascii="Verdana" w:hAnsi="Verdana"/>
            <w:noProof/>
            <w:webHidden/>
            <w:sz w:val="20"/>
            <w:szCs w:val="20"/>
          </w:rPr>
        </w:r>
        <w:r w:rsidRPr="00A449A3">
          <w:rPr>
            <w:rFonts w:ascii="Verdana" w:hAnsi="Verdana"/>
            <w:noProof/>
            <w:webHidden/>
            <w:sz w:val="20"/>
            <w:szCs w:val="20"/>
          </w:rPr>
          <w:fldChar w:fldCharType="separate"/>
        </w:r>
        <w:r w:rsidR="001361E0">
          <w:rPr>
            <w:rFonts w:ascii="Verdana" w:hAnsi="Verdana"/>
            <w:noProof/>
            <w:webHidden/>
            <w:sz w:val="20"/>
            <w:szCs w:val="20"/>
          </w:rPr>
          <w:t>83</w:t>
        </w:r>
        <w:r w:rsidRPr="00A449A3">
          <w:rPr>
            <w:rFonts w:ascii="Verdana" w:hAnsi="Verdana"/>
            <w:noProof/>
            <w:webHidden/>
            <w:sz w:val="20"/>
            <w:szCs w:val="20"/>
          </w:rPr>
          <w:fldChar w:fldCharType="end"/>
        </w:r>
      </w:hyperlink>
    </w:p>
    <w:p w:rsidR="00A449A3" w:rsidRPr="00A449A3" w:rsidRDefault="00A449A3">
      <w:pPr>
        <w:pStyle w:val="TableofFigures"/>
        <w:tabs>
          <w:tab w:val="right" w:leader="dot" w:pos="9017"/>
        </w:tabs>
        <w:rPr>
          <w:rFonts w:ascii="Verdana" w:eastAsiaTheme="minorEastAsia" w:hAnsi="Verdana" w:cstheme="minorBidi"/>
          <w:noProof/>
          <w:sz w:val="20"/>
          <w:szCs w:val="20"/>
          <w:lang w:val="bg-BG" w:eastAsia="bg-BG"/>
        </w:rPr>
      </w:pPr>
      <w:hyperlink w:anchor="_Toc395612578" w:history="1">
        <w:r w:rsidRPr="00A449A3">
          <w:rPr>
            <w:rStyle w:val="Hyperlink"/>
            <w:rFonts w:ascii="Verdana" w:hAnsi="Verdana"/>
            <w:noProof/>
            <w:sz w:val="20"/>
            <w:szCs w:val="20"/>
          </w:rPr>
          <w:t>Таблица 22. ПО2 – Анализ на дейностите</w:t>
        </w:r>
        <w:r w:rsidRPr="00A449A3">
          <w:rPr>
            <w:rFonts w:ascii="Verdana" w:hAnsi="Verdana"/>
            <w:noProof/>
            <w:webHidden/>
            <w:sz w:val="20"/>
            <w:szCs w:val="20"/>
          </w:rPr>
          <w:tab/>
        </w:r>
        <w:r w:rsidRPr="00A449A3">
          <w:rPr>
            <w:rFonts w:ascii="Verdana" w:hAnsi="Verdana"/>
            <w:noProof/>
            <w:webHidden/>
            <w:sz w:val="20"/>
            <w:szCs w:val="20"/>
          </w:rPr>
          <w:fldChar w:fldCharType="begin"/>
        </w:r>
        <w:r w:rsidRPr="00A449A3">
          <w:rPr>
            <w:rFonts w:ascii="Verdana" w:hAnsi="Verdana"/>
            <w:noProof/>
            <w:webHidden/>
            <w:sz w:val="20"/>
            <w:szCs w:val="20"/>
          </w:rPr>
          <w:instrText xml:space="preserve"> PAGEREF _Toc395612578 \h </w:instrText>
        </w:r>
        <w:r w:rsidRPr="00A449A3">
          <w:rPr>
            <w:rFonts w:ascii="Verdana" w:hAnsi="Verdana"/>
            <w:noProof/>
            <w:webHidden/>
            <w:sz w:val="20"/>
            <w:szCs w:val="20"/>
          </w:rPr>
        </w:r>
        <w:r w:rsidRPr="00A449A3">
          <w:rPr>
            <w:rFonts w:ascii="Verdana" w:hAnsi="Verdana"/>
            <w:noProof/>
            <w:webHidden/>
            <w:sz w:val="20"/>
            <w:szCs w:val="20"/>
          </w:rPr>
          <w:fldChar w:fldCharType="separate"/>
        </w:r>
        <w:r w:rsidR="001361E0">
          <w:rPr>
            <w:rFonts w:ascii="Verdana" w:hAnsi="Verdana"/>
            <w:noProof/>
            <w:webHidden/>
            <w:sz w:val="20"/>
            <w:szCs w:val="20"/>
          </w:rPr>
          <w:t>86</w:t>
        </w:r>
        <w:r w:rsidRPr="00A449A3">
          <w:rPr>
            <w:rFonts w:ascii="Verdana" w:hAnsi="Verdana"/>
            <w:noProof/>
            <w:webHidden/>
            <w:sz w:val="20"/>
            <w:szCs w:val="20"/>
          </w:rPr>
          <w:fldChar w:fldCharType="end"/>
        </w:r>
      </w:hyperlink>
    </w:p>
    <w:p w:rsidR="00A449A3" w:rsidRPr="00A449A3" w:rsidRDefault="00A449A3">
      <w:pPr>
        <w:pStyle w:val="TableofFigures"/>
        <w:tabs>
          <w:tab w:val="right" w:leader="dot" w:pos="9017"/>
        </w:tabs>
        <w:rPr>
          <w:rFonts w:ascii="Verdana" w:eastAsiaTheme="minorEastAsia" w:hAnsi="Verdana" w:cstheme="minorBidi"/>
          <w:noProof/>
          <w:sz w:val="20"/>
          <w:szCs w:val="20"/>
          <w:lang w:val="bg-BG" w:eastAsia="bg-BG"/>
        </w:rPr>
      </w:pPr>
      <w:hyperlink w:anchor="_Toc395612579" w:history="1">
        <w:r w:rsidRPr="00A449A3">
          <w:rPr>
            <w:rStyle w:val="Hyperlink"/>
            <w:rFonts w:ascii="Verdana" w:hAnsi="Verdana"/>
            <w:noProof/>
            <w:sz w:val="20"/>
            <w:szCs w:val="20"/>
          </w:rPr>
          <w:t>Таблица 23. ПО3 – Анализ на дейностите</w:t>
        </w:r>
        <w:r w:rsidRPr="00A449A3">
          <w:rPr>
            <w:rFonts w:ascii="Verdana" w:hAnsi="Verdana"/>
            <w:noProof/>
            <w:webHidden/>
            <w:sz w:val="20"/>
            <w:szCs w:val="20"/>
          </w:rPr>
          <w:tab/>
        </w:r>
        <w:r w:rsidRPr="00A449A3">
          <w:rPr>
            <w:rFonts w:ascii="Verdana" w:hAnsi="Verdana"/>
            <w:noProof/>
            <w:webHidden/>
            <w:sz w:val="20"/>
            <w:szCs w:val="20"/>
          </w:rPr>
          <w:fldChar w:fldCharType="begin"/>
        </w:r>
        <w:r w:rsidRPr="00A449A3">
          <w:rPr>
            <w:rFonts w:ascii="Verdana" w:hAnsi="Verdana"/>
            <w:noProof/>
            <w:webHidden/>
            <w:sz w:val="20"/>
            <w:szCs w:val="20"/>
          </w:rPr>
          <w:instrText xml:space="preserve"> PAGEREF _Toc395612579 \h </w:instrText>
        </w:r>
        <w:r w:rsidRPr="00A449A3">
          <w:rPr>
            <w:rFonts w:ascii="Verdana" w:hAnsi="Verdana"/>
            <w:noProof/>
            <w:webHidden/>
            <w:sz w:val="20"/>
            <w:szCs w:val="20"/>
          </w:rPr>
        </w:r>
        <w:r w:rsidRPr="00A449A3">
          <w:rPr>
            <w:rFonts w:ascii="Verdana" w:hAnsi="Verdana"/>
            <w:noProof/>
            <w:webHidden/>
            <w:sz w:val="20"/>
            <w:szCs w:val="20"/>
          </w:rPr>
          <w:fldChar w:fldCharType="separate"/>
        </w:r>
        <w:r w:rsidR="001361E0">
          <w:rPr>
            <w:rFonts w:ascii="Verdana" w:hAnsi="Verdana"/>
            <w:noProof/>
            <w:webHidden/>
            <w:sz w:val="20"/>
            <w:szCs w:val="20"/>
          </w:rPr>
          <w:t>97</w:t>
        </w:r>
        <w:r w:rsidRPr="00A449A3">
          <w:rPr>
            <w:rFonts w:ascii="Verdana" w:hAnsi="Verdana"/>
            <w:noProof/>
            <w:webHidden/>
            <w:sz w:val="20"/>
            <w:szCs w:val="20"/>
          </w:rPr>
          <w:fldChar w:fldCharType="end"/>
        </w:r>
      </w:hyperlink>
    </w:p>
    <w:p w:rsidR="00A449A3" w:rsidRPr="00A449A3" w:rsidRDefault="00A449A3">
      <w:pPr>
        <w:pStyle w:val="TableofFigures"/>
        <w:tabs>
          <w:tab w:val="right" w:leader="dot" w:pos="9017"/>
        </w:tabs>
        <w:rPr>
          <w:rFonts w:ascii="Verdana" w:eastAsiaTheme="minorEastAsia" w:hAnsi="Verdana" w:cstheme="minorBidi"/>
          <w:noProof/>
          <w:sz w:val="20"/>
          <w:szCs w:val="20"/>
          <w:lang w:val="bg-BG" w:eastAsia="bg-BG"/>
        </w:rPr>
      </w:pPr>
      <w:hyperlink w:anchor="_Toc395612580" w:history="1">
        <w:r w:rsidRPr="00A449A3">
          <w:rPr>
            <w:rStyle w:val="Hyperlink"/>
            <w:rFonts w:ascii="Verdana" w:hAnsi="Verdana"/>
            <w:noProof/>
            <w:sz w:val="20"/>
            <w:szCs w:val="20"/>
          </w:rPr>
          <w:t>Таблица 24. ПО4 – Анализ на дейностите</w:t>
        </w:r>
        <w:r w:rsidRPr="00A449A3">
          <w:rPr>
            <w:rFonts w:ascii="Verdana" w:hAnsi="Verdana"/>
            <w:noProof/>
            <w:webHidden/>
            <w:sz w:val="20"/>
            <w:szCs w:val="20"/>
          </w:rPr>
          <w:tab/>
        </w:r>
        <w:r w:rsidRPr="00A449A3">
          <w:rPr>
            <w:rFonts w:ascii="Verdana" w:hAnsi="Verdana"/>
            <w:noProof/>
            <w:webHidden/>
            <w:sz w:val="20"/>
            <w:szCs w:val="20"/>
          </w:rPr>
          <w:fldChar w:fldCharType="begin"/>
        </w:r>
        <w:r w:rsidRPr="00A449A3">
          <w:rPr>
            <w:rFonts w:ascii="Verdana" w:hAnsi="Verdana"/>
            <w:noProof/>
            <w:webHidden/>
            <w:sz w:val="20"/>
            <w:szCs w:val="20"/>
          </w:rPr>
          <w:instrText xml:space="preserve"> PAGEREF _Toc395612580 \h </w:instrText>
        </w:r>
        <w:r w:rsidRPr="00A449A3">
          <w:rPr>
            <w:rFonts w:ascii="Verdana" w:hAnsi="Verdana"/>
            <w:noProof/>
            <w:webHidden/>
            <w:sz w:val="20"/>
            <w:szCs w:val="20"/>
          </w:rPr>
        </w:r>
        <w:r w:rsidRPr="00A449A3">
          <w:rPr>
            <w:rFonts w:ascii="Verdana" w:hAnsi="Verdana"/>
            <w:noProof/>
            <w:webHidden/>
            <w:sz w:val="20"/>
            <w:szCs w:val="20"/>
          </w:rPr>
          <w:fldChar w:fldCharType="separate"/>
        </w:r>
        <w:r w:rsidR="001361E0">
          <w:rPr>
            <w:rFonts w:ascii="Verdana" w:hAnsi="Verdana"/>
            <w:noProof/>
            <w:webHidden/>
            <w:sz w:val="20"/>
            <w:szCs w:val="20"/>
          </w:rPr>
          <w:t>100</w:t>
        </w:r>
        <w:r w:rsidRPr="00A449A3">
          <w:rPr>
            <w:rFonts w:ascii="Verdana" w:hAnsi="Verdana"/>
            <w:noProof/>
            <w:webHidden/>
            <w:sz w:val="20"/>
            <w:szCs w:val="20"/>
          </w:rPr>
          <w:fldChar w:fldCharType="end"/>
        </w:r>
      </w:hyperlink>
    </w:p>
    <w:p w:rsidR="00A449A3" w:rsidRPr="00A449A3" w:rsidRDefault="00A449A3">
      <w:pPr>
        <w:pStyle w:val="TableofFigures"/>
        <w:tabs>
          <w:tab w:val="right" w:leader="dot" w:pos="9017"/>
        </w:tabs>
        <w:rPr>
          <w:rFonts w:ascii="Verdana" w:eastAsiaTheme="minorEastAsia" w:hAnsi="Verdana" w:cstheme="minorBidi"/>
          <w:noProof/>
          <w:sz w:val="20"/>
          <w:szCs w:val="20"/>
          <w:lang w:val="bg-BG" w:eastAsia="bg-BG"/>
        </w:rPr>
      </w:pPr>
      <w:hyperlink w:anchor="_Toc395612581" w:history="1">
        <w:r w:rsidRPr="00A449A3">
          <w:rPr>
            <w:rStyle w:val="Hyperlink"/>
            <w:rFonts w:ascii="Verdana" w:hAnsi="Verdana"/>
            <w:noProof/>
            <w:sz w:val="20"/>
            <w:szCs w:val="20"/>
          </w:rPr>
          <w:t>Таблица 25. ПО1 – Анализ на бенефициенти и целеви групи</w:t>
        </w:r>
        <w:r w:rsidRPr="00A449A3">
          <w:rPr>
            <w:rFonts w:ascii="Verdana" w:hAnsi="Verdana"/>
            <w:noProof/>
            <w:webHidden/>
            <w:sz w:val="20"/>
            <w:szCs w:val="20"/>
          </w:rPr>
          <w:tab/>
        </w:r>
        <w:r w:rsidRPr="00A449A3">
          <w:rPr>
            <w:rFonts w:ascii="Verdana" w:hAnsi="Verdana"/>
            <w:noProof/>
            <w:webHidden/>
            <w:sz w:val="20"/>
            <w:szCs w:val="20"/>
          </w:rPr>
          <w:fldChar w:fldCharType="begin"/>
        </w:r>
        <w:r w:rsidRPr="00A449A3">
          <w:rPr>
            <w:rFonts w:ascii="Verdana" w:hAnsi="Verdana"/>
            <w:noProof/>
            <w:webHidden/>
            <w:sz w:val="20"/>
            <w:szCs w:val="20"/>
          </w:rPr>
          <w:instrText xml:space="preserve"> PAGEREF _Toc395612581 \h </w:instrText>
        </w:r>
        <w:r w:rsidRPr="00A449A3">
          <w:rPr>
            <w:rFonts w:ascii="Verdana" w:hAnsi="Verdana"/>
            <w:noProof/>
            <w:webHidden/>
            <w:sz w:val="20"/>
            <w:szCs w:val="20"/>
          </w:rPr>
        </w:r>
        <w:r w:rsidRPr="00A449A3">
          <w:rPr>
            <w:rFonts w:ascii="Verdana" w:hAnsi="Verdana"/>
            <w:noProof/>
            <w:webHidden/>
            <w:sz w:val="20"/>
            <w:szCs w:val="20"/>
          </w:rPr>
          <w:fldChar w:fldCharType="separate"/>
        </w:r>
        <w:r w:rsidR="001361E0">
          <w:rPr>
            <w:rFonts w:ascii="Verdana" w:hAnsi="Verdana"/>
            <w:noProof/>
            <w:webHidden/>
            <w:sz w:val="20"/>
            <w:szCs w:val="20"/>
          </w:rPr>
          <w:t>103</w:t>
        </w:r>
        <w:r w:rsidRPr="00A449A3">
          <w:rPr>
            <w:rFonts w:ascii="Verdana" w:hAnsi="Verdana"/>
            <w:noProof/>
            <w:webHidden/>
            <w:sz w:val="20"/>
            <w:szCs w:val="20"/>
          </w:rPr>
          <w:fldChar w:fldCharType="end"/>
        </w:r>
      </w:hyperlink>
    </w:p>
    <w:p w:rsidR="00A449A3" w:rsidRPr="00A449A3" w:rsidRDefault="00A449A3">
      <w:pPr>
        <w:pStyle w:val="TableofFigures"/>
        <w:tabs>
          <w:tab w:val="right" w:leader="dot" w:pos="9017"/>
        </w:tabs>
        <w:rPr>
          <w:rFonts w:ascii="Verdana" w:eastAsiaTheme="minorEastAsia" w:hAnsi="Verdana" w:cstheme="minorBidi"/>
          <w:noProof/>
          <w:sz w:val="20"/>
          <w:szCs w:val="20"/>
          <w:lang w:val="bg-BG" w:eastAsia="bg-BG"/>
        </w:rPr>
      </w:pPr>
      <w:hyperlink w:anchor="_Toc395612582" w:history="1">
        <w:r w:rsidRPr="00A449A3">
          <w:rPr>
            <w:rStyle w:val="Hyperlink"/>
            <w:rFonts w:ascii="Verdana" w:hAnsi="Verdana"/>
            <w:noProof/>
            <w:sz w:val="20"/>
            <w:szCs w:val="20"/>
          </w:rPr>
          <w:t>Таблица 26. ПО2 – Анализ на бенефициенти и целеви групи</w:t>
        </w:r>
        <w:r w:rsidRPr="00A449A3">
          <w:rPr>
            <w:rFonts w:ascii="Verdana" w:hAnsi="Verdana"/>
            <w:noProof/>
            <w:webHidden/>
            <w:sz w:val="20"/>
            <w:szCs w:val="20"/>
          </w:rPr>
          <w:tab/>
        </w:r>
        <w:r w:rsidRPr="00A449A3">
          <w:rPr>
            <w:rFonts w:ascii="Verdana" w:hAnsi="Verdana"/>
            <w:noProof/>
            <w:webHidden/>
            <w:sz w:val="20"/>
            <w:szCs w:val="20"/>
          </w:rPr>
          <w:fldChar w:fldCharType="begin"/>
        </w:r>
        <w:r w:rsidRPr="00A449A3">
          <w:rPr>
            <w:rFonts w:ascii="Verdana" w:hAnsi="Verdana"/>
            <w:noProof/>
            <w:webHidden/>
            <w:sz w:val="20"/>
            <w:szCs w:val="20"/>
          </w:rPr>
          <w:instrText xml:space="preserve"> PAGEREF _Toc395612582 \h </w:instrText>
        </w:r>
        <w:r w:rsidRPr="00A449A3">
          <w:rPr>
            <w:rFonts w:ascii="Verdana" w:hAnsi="Verdana"/>
            <w:noProof/>
            <w:webHidden/>
            <w:sz w:val="20"/>
            <w:szCs w:val="20"/>
          </w:rPr>
        </w:r>
        <w:r w:rsidRPr="00A449A3">
          <w:rPr>
            <w:rFonts w:ascii="Verdana" w:hAnsi="Verdana"/>
            <w:noProof/>
            <w:webHidden/>
            <w:sz w:val="20"/>
            <w:szCs w:val="20"/>
          </w:rPr>
          <w:fldChar w:fldCharType="separate"/>
        </w:r>
        <w:r w:rsidR="001361E0">
          <w:rPr>
            <w:rFonts w:ascii="Verdana" w:hAnsi="Verdana"/>
            <w:noProof/>
            <w:webHidden/>
            <w:sz w:val="20"/>
            <w:szCs w:val="20"/>
          </w:rPr>
          <w:t>105</w:t>
        </w:r>
        <w:r w:rsidRPr="00A449A3">
          <w:rPr>
            <w:rFonts w:ascii="Verdana" w:hAnsi="Verdana"/>
            <w:noProof/>
            <w:webHidden/>
            <w:sz w:val="20"/>
            <w:szCs w:val="20"/>
          </w:rPr>
          <w:fldChar w:fldCharType="end"/>
        </w:r>
      </w:hyperlink>
    </w:p>
    <w:p w:rsidR="00A449A3" w:rsidRPr="00A449A3" w:rsidRDefault="00A449A3">
      <w:pPr>
        <w:pStyle w:val="TableofFigures"/>
        <w:tabs>
          <w:tab w:val="right" w:leader="dot" w:pos="9017"/>
        </w:tabs>
        <w:rPr>
          <w:rFonts w:ascii="Verdana" w:eastAsiaTheme="minorEastAsia" w:hAnsi="Verdana" w:cstheme="minorBidi"/>
          <w:noProof/>
          <w:sz w:val="20"/>
          <w:szCs w:val="20"/>
          <w:lang w:val="bg-BG" w:eastAsia="bg-BG"/>
        </w:rPr>
      </w:pPr>
      <w:hyperlink w:anchor="_Toc395612583" w:history="1">
        <w:r w:rsidRPr="00A449A3">
          <w:rPr>
            <w:rStyle w:val="Hyperlink"/>
            <w:rFonts w:ascii="Verdana" w:hAnsi="Verdana"/>
            <w:noProof/>
            <w:sz w:val="20"/>
            <w:szCs w:val="20"/>
          </w:rPr>
          <w:t>Таблица 27. ПО3 – Анализ на бенефициенти и целеви групи</w:t>
        </w:r>
        <w:r w:rsidRPr="00A449A3">
          <w:rPr>
            <w:rFonts w:ascii="Verdana" w:hAnsi="Verdana"/>
            <w:noProof/>
            <w:webHidden/>
            <w:sz w:val="20"/>
            <w:szCs w:val="20"/>
          </w:rPr>
          <w:tab/>
        </w:r>
        <w:r w:rsidRPr="00A449A3">
          <w:rPr>
            <w:rFonts w:ascii="Verdana" w:hAnsi="Verdana"/>
            <w:noProof/>
            <w:webHidden/>
            <w:sz w:val="20"/>
            <w:szCs w:val="20"/>
          </w:rPr>
          <w:fldChar w:fldCharType="begin"/>
        </w:r>
        <w:r w:rsidRPr="00A449A3">
          <w:rPr>
            <w:rFonts w:ascii="Verdana" w:hAnsi="Verdana"/>
            <w:noProof/>
            <w:webHidden/>
            <w:sz w:val="20"/>
            <w:szCs w:val="20"/>
          </w:rPr>
          <w:instrText xml:space="preserve"> PAGEREF _Toc395612583 \h </w:instrText>
        </w:r>
        <w:r w:rsidRPr="00A449A3">
          <w:rPr>
            <w:rFonts w:ascii="Verdana" w:hAnsi="Verdana"/>
            <w:noProof/>
            <w:webHidden/>
            <w:sz w:val="20"/>
            <w:szCs w:val="20"/>
          </w:rPr>
        </w:r>
        <w:r w:rsidRPr="00A449A3">
          <w:rPr>
            <w:rFonts w:ascii="Verdana" w:hAnsi="Verdana"/>
            <w:noProof/>
            <w:webHidden/>
            <w:sz w:val="20"/>
            <w:szCs w:val="20"/>
          </w:rPr>
          <w:fldChar w:fldCharType="separate"/>
        </w:r>
        <w:r w:rsidR="001361E0">
          <w:rPr>
            <w:rFonts w:ascii="Verdana" w:hAnsi="Verdana"/>
            <w:noProof/>
            <w:webHidden/>
            <w:sz w:val="20"/>
            <w:szCs w:val="20"/>
          </w:rPr>
          <w:t>107</w:t>
        </w:r>
        <w:r w:rsidRPr="00A449A3">
          <w:rPr>
            <w:rFonts w:ascii="Verdana" w:hAnsi="Verdana"/>
            <w:noProof/>
            <w:webHidden/>
            <w:sz w:val="20"/>
            <w:szCs w:val="20"/>
          </w:rPr>
          <w:fldChar w:fldCharType="end"/>
        </w:r>
      </w:hyperlink>
    </w:p>
    <w:p w:rsidR="00A449A3" w:rsidRPr="00A449A3" w:rsidRDefault="00A449A3">
      <w:pPr>
        <w:pStyle w:val="TableofFigures"/>
        <w:tabs>
          <w:tab w:val="right" w:leader="dot" w:pos="9017"/>
        </w:tabs>
        <w:rPr>
          <w:rFonts w:ascii="Verdana" w:eastAsiaTheme="minorEastAsia" w:hAnsi="Verdana" w:cstheme="minorBidi"/>
          <w:noProof/>
          <w:sz w:val="20"/>
          <w:szCs w:val="20"/>
          <w:lang w:val="bg-BG" w:eastAsia="bg-BG"/>
        </w:rPr>
      </w:pPr>
      <w:hyperlink w:anchor="_Toc395612584" w:history="1">
        <w:r w:rsidRPr="00A449A3">
          <w:rPr>
            <w:rStyle w:val="Hyperlink"/>
            <w:rFonts w:ascii="Verdana" w:hAnsi="Verdana"/>
            <w:noProof/>
            <w:sz w:val="20"/>
            <w:szCs w:val="20"/>
          </w:rPr>
          <w:t>Таблица 28. Принципи, посочени като водещи при избора на операции</w:t>
        </w:r>
        <w:r w:rsidRPr="00A449A3">
          <w:rPr>
            <w:rFonts w:ascii="Verdana" w:hAnsi="Verdana"/>
            <w:noProof/>
            <w:webHidden/>
            <w:sz w:val="20"/>
            <w:szCs w:val="20"/>
          </w:rPr>
          <w:tab/>
        </w:r>
        <w:r w:rsidRPr="00A449A3">
          <w:rPr>
            <w:rFonts w:ascii="Verdana" w:hAnsi="Verdana"/>
            <w:noProof/>
            <w:webHidden/>
            <w:sz w:val="20"/>
            <w:szCs w:val="20"/>
          </w:rPr>
          <w:fldChar w:fldCharType="begin"/>
        </w:r>
        <w:r w:rsidRPr="00A449A3">
          <w:rPr>
            <w:rFonts w:ascii="Verdana" w:hAnsi="Verdana"/>
            <w:noProof/>
            <w:webHidden/>
            <w:sz w:val="20"/>
            <w:szCs w:val="20"/>
          </w:rPr>
          <w:instrText xml:space="preserve"> PAGEREF _Toc395612584 \h </w:instrText>
        </w:r>
        <w:r w:rsidRPr="00A449A3">
          <w:rPr>
            <w:rFonts w:ascii="Verdana" w:hAnsi="Verdana"/>
            <w:noProof/>
            <w:webHidden/>
            <w:sz w:val="20"/>
            <w:szCs w:val="20"/>
          </w:rPr>
        </w:r>
        <w:r w:rsidRPr="00A449A3">
          <w:rPr>
            <w:rFonts w:ascii="Verdana" w:hAnsi="Verdana"/>
            <w:noProof/>
            <w:webHidden/>
            <w:sz w:val="20"/>
            <w:szCs w:val="20"/>
          </w:rPr>
          <w:fldChar w:fldCharType="separate"/>
        </w:r>
        <w:r w:rsidR="001361E0">
          <w:rPr>
            <w:rFonts w:ascii="Verdana" w:hAnsi="Verdana"/>
            <w:noProof/>
            <w:webHidden/>
            <w:sz w:val="20"/>
            <w:szCs w:val="20"/>
          </w:rPr>
          <w:t>108</w:t>
        </w:r>
        <w:r w:rsidRPr="00A449A3">
          <w:rPr>
            <w:rFonts w:ascii="Verdana" w:hAnsi="Verdana"/>
            <w:noProof/>
            <w:webHidden/>
            <w:sz w:val="20"/>
            <w:szCs w:val="20"/>
          </w:rPr>
          <w:fldChar w:fldCharType="end"/>
        </w:r>
      </w:hyperlink>
    </w:p>
    <w:p w:rsidR="00A449A3" w:rsidRPr="00A449A3" w:rsidRDefault="00A449A3">
      <w:pPr>
        <w:pStyle w:val="TableofFigures"/>
        <w:tabs>
          <w:tab w:val="right" w:leader="dot" w:pos="9017"/>
        </w:tabs>
        <w:rPr>
          <w:rFonts w:ascii="Verdana" w:eastAsiaTheme="minorEastAsia" w:hAnsi="Verdana" w:cstheme="minorBidi"/>
          <w:noProof/>
          <w:sz w:val="20"/>
          <w:szCs w:val="20"/>
          <w:lang w:val="bg-BG" w:eastAsia="bg-BG"/>
        </w:rPr>
      </w:pPr>
      <w:hyperlink w:anchor="_Toc395612585" w:history="1">
        <w:r w:rsidRPr="00A449A3">
          <w:rPr>
            <w:rStyle w:val="Hyperlink"/>
            <w:rFonts w:ascii="Verdana" w:hAnsi="Verdana"/>
            <w:noProof/>
            <w:sz w:val="20"/>
            <w:szCs w:val="20"/>
          </w:rPr>
          <w:t>Таблица 29. Анализ на принципите, посочени като водещи при избора на операции</w:t>
        </w:r>
        <w:r w:rsidRPr="00A449A3">
          <w:rPr>
            <w:rFonts w:ascii="Verdana" w:hAnsi="Verdana"/>
            <w:noProof/>
            <w:webHidden/>
            <w:sz w:val="20"/>
            <w:szCs w:val="20"/>
          </w:rPr>
          <w:tab/>
        </w:r>
        <w:r w:rsidRPr="00A449A3">
          <w:rPr>
            <w:rFonts w:ascii="Verdana" w:hAnsi="Verdana"/>
            <w:noProof/>
            <w:webHidden/>
            <w:sz w:val="20"/>
            <w:szCs w:val="20"/>
          </w:rPr>
          <w:fldChar w:fldCharType="begin"/>
        </w:r>
        <w:r w:rsidRPr="00A449A3">
          <w:rPr>
            <w:rFonts w:ascii="Verdana" w:hAnsi="Verdana"/>
            <w:noProof/>
            <w:webHidden/>
            <w:sz w:val="20"/>
            <w:szCs w:val="20"/>
          </w:rPr>
          <w:instrText xml:space="preserve"> PAGEREF _Toc395612585 \h </w:instrText>
        </w:r>
        <w:r w:rsidRPr="00A449A3">
          <w:rPr>
            <w:rFonts w:ascii="Verdana" w:hAnsi="Verdana"/>
            <w:noProof/>
            <w:webHidden/>
            <w:sz w:val="20"/>
            <w:szCs w:val="20"/>
          </w:rPr>
        </w:r>
        <w:r w:rsidRPr="00A449A3">
          <w:rPr>
            <w:rFonts w:ascii="Verdana" w:hAnsi="Verdana"/>
            <w:noProof/>
            <w:webHidden/>
            <w:sz w:val="20"/>
            <w:szCs w:val="20"/>
          </w:rPr>
          <w:fldChar w:fldCharType="separate"/>
        </w:r>
        <w:r w:rsidR="001361E0">
          <w:rPr>
            <w:rFonts w:ascii="Verdana" w:hAnsi="Verdana"/>
            <w:noProof/>
            <w:webHidden/>
            <w:sz w:val="20"/>
            <w:szCs w:val="20"/>
          </w:rPr>
          <w:t>109</w:t>
        </w:r>
        <w:r w:rsidRPr="00A449A3">
          <w:rPr>
            <w:rFonts w:ascii="Verdana" w:hAnsi="Verdana"/>
            <w:noProof/>
            <w:webHidden/>
            <w:sz w:val="20"/>
            <w:szCs w:val="20"/>
          </w:rPr>
          <w:fldChar w:fldCharType="end"/>
        </w:r>
      </w:hyperlink>
    </w:p>
    <w:p w:rsidR="00A449A3" w:rsidRPr="00A449A3" w:rsidRDefault="00A449A3">
      <w:pPr>
        <w:pStyle w:val="TableofFigures"/>
        <w:tabs>
          <w:tab w:val="right" w:leader="dot" w:pos="9017"/>
        </w:tabs>
        <w:rPr>
          <w:rFonts w:ascii="Verdana" w:eastAsiaTheme="minorEastAsia" w:hAnsi="Verdana" w:cstheme="minorBidi"/>
          <w:noProof/>
          <w:sz w:val="20"/>
          <w:szCs w:val="20"/>
          <w:lang w:val="bg-BG" w:eastAsia="bg-BG"/>
        </w:rPr>
      </w:pPr>
      <w:hyperlink w:anchor="_Toc395612586" w:history="1">
        <w:r w:rsidRPr="00A449A3">
          <w:rPr>
            <w:rStyle w:val="Hyperlink"/>
            <w:rFonts w:ascii="Verdana" w:hAnsi="Verdana"/>
            <w:noProof/>
            <w:sz w:val="20"/>
            <w:szCs w:val="20"/>
          </w:rPr>
          <w:t>Таблица 30. Примери за финансови инструменти в областта на науката и образованието</w:t>
        </w:r>
        <w:r w:rsidRPr="00A449A3">
          <w:rPr>
            <w:rFonts w:ascii="Verdana" w:hAnsi="Verdana"/>
            <w:noProof/>
            <w:webHidden/>
            <w:sz w:val="20"/>
            <w:szCs w:val="20"/>
          </w:rPr>
          <w:tab/>
        </w:r>
        <w:r w:rsidRPr="00A449A3">
          <w:rPr>
            <w:rFonts w:ascii="Verdana" w:hAnsi="Verdana"/>
            <w:noProof/>
            <w:webHidden/>
            <w:sz w:val="20"/>
            <w:szCs w:val="20"/>
          </w:rPr>
          <w:fldChar w:fldCharType="begin"/>
        </w:r>
        <w:r w:rsidRPr="00A449A3">
          <w:rPr>
            <w:rFonts w:ascii="Verdana" w:hAnsi="Verdana"/>
            <w:noProof/>
            <w:webHidden/>
            <w:sz w:val="20"/>
            <w:szCs w:val="20"/>
          </w:rPr>
          <w:instrText xml:space="preserve"> PAGEREF _Toc395612586 \h </w:instrText>
        </w:r>
        <w:r w:rsidRPr="00A449A3">
          <w:rPr>
            <w:rFonts w:ascii="Verdana" w:hAnsi="Verdana"/>
            <w:noProof/>
            <w:webHidden/>
            <w:sz w:val="20"/>
            <w:szCs w:val="20"/>
          </w:rPr>
        </w:r>
        <w:r w:rsidRPr="00A449A3">
          <w:rPr>
            <w:rFonts w:ascii="Verdana" w:hAnsi="Verdana"/>
            <w:noProof/>
            <w:webHidden/>
            <w:sz w:val="20"/>
            <w:szCs w:val="20"/>
          </w:rPr>
          <w:fldChar w:fldCharType="separate"/>
        </w:r>
        <w:r w:rsidR="001361E0">
          <w:rPr>
            <w:rFonts w:ascii="Verdana" w:hAnsi="Verdana"/>
            <w:noProof/>
            <w:webHidden/>
            <w:sz w:val="20"/>
            <w:szCs w:val="20"/>
          </w:rPr>
          <w:t>112</w:t>
        </w:r>
        <w:r w:rsidRPr="00A449A3">
          <w:rPr>
            <w:rFonts w:ascii="Verdana" w:hAnsi="Verdana"/>
            <w:noProof/>
            <w:webHidden/>
            <w:sz w:val="20"/>
            <w:szCs w:val="20"/>
          </w:rPr>
          <w:fldChar w:fldCharType="end"/>
        </w:r>
      </w:hyperlink>
    </w:p>
    <w:p w:rsidR="00A449A3" w:rsidRPr="00A449A3" w:rsidRDefault="00A449A3">
      <w:pPr>
        <w:pStyle w:val="TableofFigures"/>
        <w:tabs>
          <w:tab w:val="right" w:leader="dot" w:pos="9017"/>
        </w:tabs>
        <w:rPr>
          <w:rFonts w:ascii="Verdana" w:eastAsiaTheme="minorEastAsia" w:hAnsi="Verdana" w:cstheme="minorBidi"/>
          <w:noProof/>
          <w:sz w:val="20"/>
          <w:szCs w:val="20"/>
          <w:lang w:val="bg-BG" w:eastAsia="bg-BG"/>
        </w:rPr>
      </w:pPr>
      <w:hyperlink w:anchor="_Toc395612587" w:history="1">
        <w:r w:rsidRPr="00A449A3">
          <w:rPr>
            <w:rStyle w:val="Hyperlink"/>
            <w:rFonts w:ascii="Verdana" w:hAnsi="Verdana"/>
            <w:noProof/>
            <w:sz w:val="20"/>
            <w:szCs w:val="20"/>
          </w:rPr>
          <w:t>Таблица 31. Препоръки по отношение на темите, които са в обхвата на ОПНОИР 2014–2020 г.</w:t>
        </w:r>
        <w:r w:rsidRPr="00A449A3">
          <w:rPr>
            <w:rFonts w:ascii="Verdana" w:hAnsi="Verdana"/>
            <w:noProof/>
            <w:webHidden/>
            <w:sz w:val="20"/>
            <w:szCs w:val="20"/>
          </w:rPr>
          <w:tab/>
        </w:r>
        <w:r w:rsidRPr="00A449A3">
          <w:rPr>
            <w:rFonts w:ascii="Verdana" w:hAnsi="Verdana"/>
            <w:noProof/>
            <w:webHidden/>
            <w:sz w:val="20"/>
            <w:szCs w:val="20"/>
          </w:rPr>
          <w:fldChar w:fldCharType="begin"/>
        </w:r>
        <w:r w:rsidRPr="00A449A3">
          <w:rPr>
            <w:rFonts w:ascii="Verdana" w:hAnsi="Verdana"/>
            <w:noProof/>
            <w:webHidden/>
            <w:sz w:val="20"/>
            <w:szCs w:val="20"/>
          </w:rPr>
          <w:instrText xml:space="preserve"> PAGEREF _Toc395612587 \h </w:instrText>
        </w:r>
        <w:r w:rsidRPr="00A449A3">
          <w:rPr>
            <w:rFonts w:ascii="Verdana" w:hAnsi="Verdana"/>
            <w:noProof/>
            <w:webHidden/>
            <w:sz w:val="20"/>
            <w:szCs w:val="20"/>
          </w:rPr>
        </w:r>
        <w:r w:rsidRPr="00A449A3">
          <w:rPr>
            <w:rFonts w:ascii="Verdana" w:hAnsi="Verdana"/>
            <w:noProof/>
            <w:webHidden/>
            <w:sz w:val="20"/>
            <w:szCs w:val="20"/>
          </w:rPr>
          <w:fldChar w:fldCharType="separate"/>
        </w:r>
        <w:r w:rsidR="001361E0">
          <w:rPr>
            <w:rFonts w:ascii="Verdana" w:hAnsi="Verdana"/>
            <w:noProof/>
            <w:webHidden/>
            <w:sz w:val="20"/>
            <w:szCs w:val="20"/>
          </w:rPr>
          <w:t>115</w:t>
        </w:r>
        <w:r w:rsidRPr="00A449A3">
          <w:rPr>
            <w:rFonts w:ascii="Verdana" w:hAnsi="Verdana"/>
            <w:noProof/>
            <w:webHidden/>
            <w:sz w:val="20"/>
            <w:szCs w:val="20"/>
          </w:rPr>
          <w:fldChar w:fldCharType="end"/>
        </w:r>
      </w:hyperlink>
    </w:p>
    <w:p w:rsidR="00A449A3" w:rsidRPr="00A449A3" w:rsidRDefault="00A449A3">
      <w:pPr>
        <w:pStyle w:val="TableofFigures"/>
        <w:tabs>
          <w:tab w:val="right" w:leader="dot" w:pos="9017"/>
        </w:tabs>
        <w:rPr>
          <w:rFonts w:ascii="Verdana" w:eastAsiaTheme="minorEastAsia" w:hAnsi="Verdana" w:cstheme="minorBidi"/>
          <w:noProof/>
          <w:sz w:val="20"/>
          <w:szCs w:val="20"/>
          <w:lang w:val="bg-BG" w:eastAsia="bg-BG"/>
        </w:rPr>
      </w:pPr>
      <w:hyperlink w:anchor="_Toc395612588" w:history="1">
        <w:r w:rsidRPr="00A449A3">
          <w:rPr>
            <w:rStyle w:val="Hyperlink"/>
            <w:rFonts w:ascii="Verdana" w:hAnsi="Verdana"/>
            <w:noProof/>
            <w:sz w:val="20"/>
            <w:szCs w:val="20"/>
          </w:rPr>
          <w:t>Таблица 32. Хоризонтални принципи, посочени в регламенти за периода 2014–2020 г. и в Споразумението за партньорство</w:t>
        </w:r>
        <w:r w:rsidRPr="00A449A3">
          <w:rPr>
            <w:rFonts w:ascii="Verdana" w:hAnsi="Verdana"/>
            <w:noProof/>
            <w:webHidden/>
            <w:sz w:val="20"/>
            <w:szCs w:val="20"/>
          </w:rPr>
          <w:tab/>
        </w:r>
        <w:r w:rsidRPr="00A449A3">
          <w:rPr>
            <w:rFonts w:ascii="Verdana" w:hAnsi="Verdana"/>
            <w:noProof/>
            <w:webHidden/>
            <w:sz w:val="20"/>
            <w:szCs w:val="20"/>
          </w:rPr>
          <w:fldChar w:fldCharType="begin"/>
        </w:r>
        <w:r w:rsidRPr="00A449A3">
          <w:rPr>
            <w:rFonts w:ascii="Verdana" w:hAnsi="Verdana"/>
            <w:noProof/>
            <w:webHidden/>
            <w:sz w:val="20"/>
            <w:szCs w:val="20"/>
          </w:rPr>
          <w:instrText xml:space="preserve"> PAGEREF _Toc395612588 \h </w:instrText>
        </w:r>
        <w:r w:rsidRPr="00A449A3">
          <w:rPr>
            <w:rFonts w:ascii="Verdana" w:hAnsi="Verdana"/>
            <w:noProof/>
            <w:webHidden/>
            <w:sz w:val="20"/>
            <w:szCs w:val="20"/>
          </w:rPr>
        </w:r>
        <w:r w:rsidRPr="00A449A3">
          <w:rPr>
            <w:rFonts w:ascii="Verdana" w:hAnsi="Verdana"/>
            <w:noProof/>
            <w:webHidden/>
            <w:sz w:val="20"/>
            <w:szCs w:val="20"/>
          </w:rPr>
          <w:fldChar w:fldCharType="separate"/>
        </w:r>
        <w:r w:rsidR="001361E0">
          <w:rPr>
            <w:rFonts w:ascii="Verdana" w:hAnsi="Verdana"/>
            <w:noProof/>
            <w:webHidden/>
            <w:sz w:val="20"/>
            <w:szCs w:val="20"/>
          </w:rPr>
          <w:t>120</w:t>
        </w:r>
        <w:r w:rsidRPr="00A449A3">
          <w:rPr>
            <w:rFonts w:ascii="Verdana" w:hAnsi="Verdana"/>
            <w:noProof/>
            <w:webHidden/>
            <w:sz w:val="20"/>
            <w:szCs w:val="20"/>
          </w:rPr>
          <w:fldChar w:fldCharType="end"/>
        </w:r>
      </w:hyperlink>
    </w:p>
    <w:p w:rsidR="00A449A3" w:rsidRPr="00A449A3" w:rsidRDefault="00A449A3">
      <w:pPr>
        <w:pStyle w:val="TableofFigures"/>
        <w:tabs>
          <w:tab w:val="right" w:leader="dot" w:pos="9017"/>
        </w:tabs>
        <w:rPr>
          <w:rFonts w:ascii="Verdana" w:eastAsiaTheme="minorEastAsia" w:hAnsi="Verdana" w:cstheme="minorBidi"/>
          <w:noProof/>
          <w:sz w:val="20"/>
          <w:szCs w:val="20"/>
          <w:lang w:val="bg-BG" w:eastAsia="bg-BG"/>
        </w:rPr>
      </w:pPr>
      <w:hyperlink w:anchor="_Toc395612589" w:history="1">
        <w:r w:rsidRPr="00A449A3">
          <w:rPr>
            <w:rStyle w:val="Hyperlink"/>
            <w:rFonts w:ascii="Verdana" w:hAnsi="Verdana"/>
            <w:noProof/>
            <w:sz w:val="20"/>
            <w:szCs w:val="20"/>
          </w:rPr>
          <w:t>Таблица 33. Съпоставка на хоризонталните принципи в ОПНОИР2014–2020 г. с хоризонталните принципи, залегнали в регламентите на помощта на ЕСИФ за периода 2014–2020 г. и Споразумението за партньорство</w:t>
        </w:r>
        <w:r w:rsidRPr="00A449A3">
          <w:rPr>
            <w:rFonts w:ascii="Verdana" w:hAnsi="Verdana"/>
            <w:noProof/>
            <w:webHidden/>
            <w:sz w:val="20"/>
            <w:szCs w:val="20"/>
          </w:rPr>
          <w:tab/>
        </w:r>
        <w:r w:rsidRPr="00A449A3">
          <w:rPr>
            <w:rFonts w:ascii="Verdana" w:hAnsi="Verdana"/>
            <w:noProof/>
            <w:webHidden/>
            <w:sz w:val="20"/>
            <w:szCs w:val="20"/>
          </w:rPr>
          <w:fldChar w:fldCharType="begin"/>
        </w:r>
        <w:r w:rsidRPr="00A449A3">
          <w:rPr>
            <w:rFonts w:ascii="Verdana" w:hAnsi="Verdana"/>
            <w:noProof/>
            <w:webHidden/>
            <w:sz w:val="20"/>
            <w:szCs w:val="20"/>
          </w:rPr>
          <w:instrText xml:space="preserve"> PAGEREF _Toc395612589 \h </w:instrText>
        </w:r>
        <w:r w:rsidRPr="00A449A3">
          <w:rPr>
            <w:rFonts w:ascii="Verdana" w:hAnsi="Verdana"/>
            <w:noProof/>
            <w:webHidden/>
            <w:sz w:val="20"/>
            <w:szCs w:val="20"/>
          </w:rPr>
        </w:r>
        <w:r w:rsidRPr="00A449A3">
          <w:rPr>
            <w:rFonts w:ascii="Verdana" w:hAnsi="Verdana"/>
            <w:noProof/>
            <w:webHidden/>
            <w:sz w:val="20"/>
            <w:szCs w:val="20"/>
          </w:rPr>
          <w:fldChar w:fldCharType="separate"/>
        </w:r>
        <w:r w:rsidR="001361E0">
          <w:rPr>
            <w:rFonts w:ascii="Verdana" w:hAnsi="Verdana"/>
            <w:noProof/>
            <w:webHidden/>
            <w:sz w:val="20"/>
            <w:szCs w:val="20"/>
          </w:rPr>
          <w:t>122</w:t>
        </w:r>
        <w:r w:rsidRPr="00A449A3">
          <w:rPr>
            <w:rFonts w:ascii="Verdana" w:hAnsi="Verdana"/>
            <w:noProof/>
            <w:webHidden/>
            <w:sz w:val="20"/>
            <w:szCs w:val="20"/>
          </w:rPr>
          <w:fldChar w:fldCharType="end"/>
        </w:r>
      </w:hyperlink>
    </w:p>
    <w:p w:rsidR="00A449A3" w:rsidRPr="00A449A3" w:rsidRDefault="00A449A3">
      <w:pPr>
        <w:pStyle w:val="TableofFigures"/>
        <w:tabs>
          <w:tab w:val="right" w:leader="dot" w:pos="9017"/>
        </w:tabs>
        <w:rPr>
          <w:rFonts w:ascii="Verdana" w:eastAsiaTheme="minorEastAsia" w:hAnsi="Verdana" w:cstheme="minorBidi"/>
          <w:noProof/>
          <w:sz w:val="20"/>
          <w:szCs w:val="20"/>
          <w:lang w:val="bg-BG" w:eastAsia="bg-BG"/>
        </w:rPr>
      </w:pPr>
      <w:hyperlink w:anchor="_Toc395612590" w:history="1">
        <w:r w:rsidRPr="00A449A3">
          <w:rPr>
            <w:rStyle w:val="Hyperlink"/>
            <w:rFonts w:ascii="Verdana" w:hAnsi="Verdana"/>
            <w:noProof/>
            <w:sz w:val="20"/>
            <w:szCs w:val="20"/>
          </w:rPr>
          <w:t>Таблица 34. Анализ на отразяване на хоризонталните принципи в ОПНОИР</w:t>
        </w:r>
        <w:r w:rsidRPr="00A449A3">
          <w:rPr>
            <w:rFonts w:ascii="Verdana" w:hAnsi="Verdana"/>
            <w:noProof/>
            <w:webHidden/>
            <w:sz w:val="20"/>
            <w:szCs w:val="20"/>
          </w:rPr>
          <w:tab/>
        </w:r>
        <w:r w:rsidRPr="00A449A3">
          <w:rPr>
            <w:rFonts w:ascii="Verdana" w:hAnsi="Verdana"/>
            <w:noProof/>
            <w:webHidden/>
            <w:sz w:val="20"/>
            <w:szCs w:val="20"/>
          </w:rPr>
          <w:fldChar w:fldCharType="begin"/>
        </w:r>
        <w:r w:rsidRPr="00A449A3">
          <w:rPr>
            <w:rFonts w:ascii="Verdana" w:hAnsi="Verdana"/>
            <w:noProof/>
            <w:webHidden/>
            <w:sz w:val="20"/>
            <w:szCs w:val="20"/>
          </w:rPr>
          <w:instrText xml:space="preserve"> PAGEREF _Toc395612590 \h </w:instrText>
        </w:r>
        <w:r w:rsidRPr="00A449A3">
          <w:rPr>
            <w:rFonts w:ascii="Verdana" w:hAnsi="Verdana"/>
            <w:noProof/>
            <w:webHidden/>
            <w:sz w:val="20"/>
            <w:szCs w:val="20"/>
          </w:rPr>
        </w:r>
        <w:r w:rsidRPr="00A449A3">
          <w:rPr>
            <w:rFonts w:ascii="Verdana" w:hAnsi="Verdana"/>
            <w:noProof/>
            <w:webHidden/>
            <w:sz w:val="20"/>
            <w:szCs w:val="20"/>
          </w:rPr>
          <w:fldChar w:fldCharType="separate"/>
        </w:r>
        <w:r w:rsidR="001361E0">
          <w:rPr>
            <w:rFonts w:ascii="Verdana" w:hAnsi="Verdana"/>
            <w:noProof/>
            <w:webHidden/>
            <w:sz w:val="20"/>
            <w:szCs w:val="20"/>
          </w:rPr>
          <w:t>123</w:t>
        </w:r>
        <w:r w:rsidRPr="00A449A3">
          <w:rPr>
            <w:rFonts w:ascii="Verdana" w:hAnsi="Verdana"/>
            <w:noProof/>
            <w:webHidden/>
            <w:sz w:val="20"/>
            <w:szCs w:val="20"/>
          </w:rPr>
          <w:fldChar w:fldCharType="end"/>
        </w:r>
      </w:hyperlink>
    </w:p>
    <w:p w:rsidR="00A449A3" w:rsidRPr="00A449A3" w:rsidRDefault="00A449A3">
      <w:pPr>
        <w:pStyle w:val="TableofFigures"/>
        <w:tabs>
          <w:tab w:val="right" w:leader="dot" w:pos="9017"/>
        </w:tabs>
        <w:rPr>
          <w:rFonts w:ascii="Verdana" w:eastAsiaTheme="minorEastAsia" w:hAnsi="Verdana" w:cstheme="minorBidi"/>
          <w:noProof/>
          <w:sz w:val="20"/>
          <w:szCs w:val="20"/>
          <w:lang w:val="bg-BG" w:eastAsia="bg-BG"/>
        </w:rPr>
      </w:pPr>
      <w:hyperlink w:anchor="_Toc395612591" w:history="1">
        <w:r w:rsidRPr="00A449A3">
          <w:rPr>
            <w:rStyle w:val="Hyperlink"/>
            <w:rFonts w:ascii="Verdana" w:hAnsi="Verdana"/>
            <w:noProof/>
            <w:sz w:val="20"/>
            <w:szCs w:val="20"/>
          </w:rPr>
          <w:t>Таблица 35.Оценката на уместността и яснотата на системата от индикатори (версия на програмата от май 2014)</w:t>
        </w:r>
        <w:r w:rsidRPr="00A449A3">
          <w:rPr>
            <w:rFonts w:ascii="Verdana" w:hAnsi="Verdana"/>
            <w:noProof/>
            <w:webHidden/>
            <w:sz w:val="20"/>
            <w:szCs w:val="20"/>
          </w:rPr>
          <w:tab/>
        </w:r>
        <w:r w:rsidRPr="00A449A3">
          <w:rPr>
            <w:rFonts w:ascii="Verdana" w:hAnsi="Verdana"/>
            <w:noProof/>
            <w:webHidden/>
            <w:sz w:val="20"/>
            <w:szCs w:val="20"/>
          </w:rPr>
          <w:fldChar w:fldCharType="begin"/>
        </w:r>
        <w:r w:rsidRPr="00A449A3">
          <w:rPr>
            <w:rFonts w:ascii="Verdana" w:hAnsi="Verdana"/>
            <w:noProof/>
            <w:webHidden/>
            <w:sz w:val="20"/>
            <w:szCs w:val="20"/>
          </w:rPr>
          <w:instrText xml:space="preserve"> PAGEREF _Toc395612591 \h </w:instrText>
        </w:r>
        <w:r w:rsidRPr="00A449A3">
          <w:rPr>
            <w:rFonts w:ascii="Verdana" w:hAnsi="Verdana"/>
            <w:noProof/>
            <w:webHidden/>
            <w:sz w:val="20"/>
            <w:szCs w:val="20"/>
          </w:rPr>
        </w:r>
        <w:r w:rsidRPr="00A449A3">
          <w:rPr>
            <w:rFonts w:ascii="Verdana" w:hAnsi="Verdana"/>
            <w:noProof/>
            <w:webHidden/>
            <w:sz w:val="20"/>
            <w:szCs w:val="20"/>
          </w:rPr>
          <w:fldChar w:fldCharType="separate"/>
        </w:r>
        <w:r w:rsidR="001361E0">
          <w:rPr>
            <w:rFonts w:ascii="Verdana" w:hAnsi="Verdana"/>
            <w:noProof/>
            <w:webHidden/>
            <w:sz w:val="20"/>
            <w:szCs w:val="20"/>
          </w:rPr>
          <w:t>127</w:t>
        </w:r>
        <w:r w:rsidRPr="00A449A3">
          <w:rPr>
            <w:rFonts w:ascii="Verdana" w:hAnsi="Verdana"/>
            <w:noProof/>
            <w:webHidden/>
            <w:sz w:val="20"/>
            <w:szCs w:val="20"/>
          </w:rPr>
          <w:fldChar w:fldCharType="end"/>
        </w:r>
      </w:hyperlink>
    </w:p>
    <w:p w:rsidR="00A449A3" w:rsidRPr="00A449A3" w:rsidRDefault="00A449A3">
      <w:pPr>
        <w:pStyle w:val="TableofFigures"/>
        <w:tabs>
          <w:tab w:val="right" w:leader="dot" w:pos="9017"/>
        </w:tabs>
        <w:rPr>
          <w:rFonts w:ascii="Verdana" w:eastAsiaTheme="minorEastAsia" w:hAnsi="Verdana" w:cstheme="minorBidi"/>
          <w:noProof/>
          <w:sz w:val="20"/>
          <w:szCs w:val="20"/>
          <w:lang w:val="bg-BG" w:eastAsia="bg-BG"/>
        </w:rPr>
      </w:pPr>
      <w:hyperlink w:anchor="_Toc395612592" w:history="1">
        <w:r w:rsidRPr="00A449A3">
          <w:rPr>
            <w:rStyle w:val="Hyperlink"/>
            <w:rFonts w:ascii="Verdana" w:hAnsi="Verdana"/>
            <w:noProof/>
            <w:sz w:val="20"/>
            <w:szCs w:val="20"/>
          </w:rPr>
          <w:t>Таблица 36.Коментар по предложената нова система от индикатори за изпълнение</w:t>
        </w:r>
        <w:r w:rsidRPr="00A449A3">
          <w:rPr>
            <w:rFonts w:ascii="Verdana" w:hAnsi="Verdana"/>
            <w:noProof/>
            <w:webHidden/>
            <w:sz w:val="20"/>
            <w:szCs w:val="20"/>
          </w:rPr>
          <w:tab/>
        </w:r>
        <w:r w:rsidRPr="00A449A3">
          <w:rPr>
            <w:rFonts w:ascii="Verdana" w:hAnsi="Verdana"/>
            <w:noProof/>
            <w:webHidden/>
            <w:sz w:val="20"/>
            <w:szCs w:val="20"/>
          </w:rPr>
          <w:fldChar w:fldCharType="begin"/>
        </w:r>
        <w:r w:rsidRPr="00A449A3">
          <w:rPr>
            <w:rFonts w:ascii="Verdana" w:hAnsi="Verdana"/>
            <w:noProof/>
            <w:webHidden/>
            <w:sz w:val="20"/>
            <w:szCs w:val="20"/>
          </w:rPr>
          <w:instrText xml:space="preserve"> PAGEREF _Toc395612592 \h </w:instrText>
        </w:r>
        <w:r w:rsidRPr="00A449A3">
          <w:rPr>
            <w:rFonts w:ascii="Verdana" w:hAnsi="Verdana"/>
            <w:noProof/>
            <w:webHidden/>
            <w:sz w:val="20"/>
            <w:szCs w:val="20"/>
          </w:rPr>
        </w:r>
        <w:r w:rsidRPr="00A449A3">
          <w:rPr>
            <w:rFonts w:ascii="Verdana" w:hAnsi="Verdana"/>
            <w:noProof/>
            <w:webHidden/>
            <w:sz w:val="20"/>
            <w:szCs w:val="20"/>
          </w:rPr>
          <w:fldChar w:fldCharType="separate"/>
        </w:r>
        <w:r w:rsidR="001361E0">
          <w:rPr>
            <w:rFonts w:ascii="Verdana" w:hAnsi="Verdana"/>
            <w:noProof/>
            <w:webHidden/>
            <w:sz w:val="20"/>
            <w:szCs w:val="20"/>
          </w:rPr>
          <w:t>136</w:t>
        </w:r>
        <w:r w:rsidRPr="00A449A3">
          <w:rPr>
            <w:rFonts w:ascii="Verdana" w:hAnsi="Verdana"/>
            <w:noProof/>
            <w:webHidden/>
            <w:sz w:val="20"/>
            <w:szCs w:val="20"/>
          </w:rPr>
          <w:fldChar w:fldCharType="end"/>
        </w:r>
      </w:hyperlink>
    </w:p>
    <w:p w:rsidR="00A449A3" w:rsidRPr="00A449A3" w:rsidRDefault="00A449A3">
      <w:pPr>
        <w:pStyle w:val="TableofFigures"/>
        <w:tabs>
          <w:tab w:val="right" w:leader="dot" w:pos="9017"/>
        </w:tabs>
        <w:rPr>
          <w:rFonts w:ascii="Verdana" w:eastAsiaTheme="minorEastAsia" w:hAnsi="Verdana" w:cstheme="minorBidi"/>
          <w:noProof/>
          <w:sz w:val="20"/>
          <w:szCs w:val="20"/>
          <w:lang w:val="bg-BG" w:eastAsia="bg-BG"/>
        </w:rPr>
      </w:pPr>
      <w:hyperlink w:anchor="_Toc395612593" w:history="1">
        <w:r w:rsidRPr="00A449A3">
          <w:rPr>
            <w:rStyle w:val="Hyperlink"/>
            <w:rFonts w:ascii="Verdana" w:hAnsi="Verdana"/>
            <w:noProof/>
            <w:sz w:val="20"/>
            <w:szCs w:val="20"/>
          </w:rPr>
          <w:t>Таблица 37.Коментар по предложената нова система от индикатори за резултат</w:t>
        </w:r>
        <w:r w:rsidRPr="00A449A3">
          <w:rPr>
            <w:rFonts w:ascii="Verdana" w:hAnsi="Verdana"/>
            <w:noProof/>
            <w:webHidden/>
            <w:sz w:val="20"/>
            <w:szCs w:val="20"/>
          </w:rPr>
          <w:tab/>
        </w:r>
        <w:r w:rsidRPr="00A449A3">
          <w:rPr>
            <w:rFonts w:ascii="Verdana" w:hAnsi="Verdana"/>
            <w:noProof/>
            <w:webHidden/>
            <w:sz w:val="20"/>
            <w:szCs w:val="20"/>
          </w:rPr>
          <w:fldChar w:fldCharType="begin"/>
        </w:r>
        <w:r w:rsidRPr="00A449A3">
          <w:rPr>
            <w:rFonts w:ascii="Verdana" w:hAnsi="Verdana"/>
            <w:noProof/>
            <w:webHidden/>
            <w:sz w:val="20"/>
            <w:szCs w:val="20"/>
          </w:rPr>
          <w:instrText xml:space="preserve"> PAGEREF _Toc395612593 \h </w:instrText>
        </w:r>
        <w:r w:rsidRPr="00A449A3">
          <w:rPr>
            <w:rFonts w:ascii="Verdana" w:hAnsi="Verdana"/>
            <w:noProof/>
            <w:webHidden/>
            <w:sz w:val="20"/>
            <w:szCs w:val="20"/>
          </w:rPr>
        </w:r>
        <w:r w:rsidRPr="00A449A3">
          <w:rPr>
            <w:rFonts w:ascii="Verdana" w:hAnsi="Verdana"/>
            <w:noProof/>
            <w:webHidden/>
            <w:sz w:val="20"/>
            <w:szCs w:val="20"/>
          </w:rPr>
          <w:fldChar w:fldCharType="separate"/>
        </w:r>
        <w:r w:rsidR="001361E0">
          <w:rPr>
            <w:rFonts w:ascii="Verdana" w:hAnsi="Verdana"/>
            <w:noProof/>
            <w:webHidden/>
            <w:sz w:val="20"/>
            <w:szCs w:val="20"/>
          </w:rPr>
          <w:t>146</w:t>
        </w:r>
        <w:r w:rsidRPr="00A449A3">
          <w:rPr>
            <w:rFonts w:ascii="Verdana" w:hAnsi="Verdana"/>
            <w:noProof/>
            <w:webHidden/>
            <w:sz w:val="20"/>
            <w:szCs w:val="20"/>
          </w:rPr>
          <w:fldChar w:fldCharType="end"/>
        </w:r>
      </w:hyperlink>
    </w:p>
    <w:p w:rsidR="00A449A3" w:rsidRPr="00A449A3" w:rsidRDefault="00A449A3">
      <w:pPr>
        <w:pStyle w:val="TableofFigures"/>
        <w:tabs>
          <w:tab w:val="right" w:leader="dot" w:pos="9017"/>
        </w:tabs>
        <w:rPr>
          <w:rFonts w:ascii="Verdana" w:eastAsiaTheme="minorEastAsia" w:hAnsi="Verdana" w:cstheme="minorBidi"/>
          <w:noProof/>
          <w:sz w:val="20"/>
          <w:szCs w:val="20"/>
          <w:lang w:val="bg-BG" w:eastAsia="bg-BG"/>
        </w:rPr>
      </w:pPr>
      <w:hyperlink w:anchor="_Toc395612594" w:history="1">
        <w:r w:rsidRPr="00A449A3">
          <w:rPr>
            <w:rStyle w:val="Hyperlink"/>
            <w:rFonts w:ascii="Verdana" w:hAnsi="Verdana"/>
            <w:noProof/>
            <w:sz w:val="20"/>
            <w:szCs w:val="20"/>
          </w:rPr>
          <w:t>Таблица 38. Сравнение на бюджета на ОПНОИР 2014-2020 г. спрямо този за сходни дейности през програмния период 2007-2013 г. по приоритетни оси</w:t>
        </w:r>
        <w:r w:rsidRPr="00A449A3">
          <w:rPr>
            <w:rFonts w:ascii="Verdana" w:hAnsi="Verdana"/>
            <w:noProof/>
            <w:webHidden/>
            <w:sz w:val="20"/>
            <w:szCs w:val="20"/>
          </w:rPr>
          <w:tab/>
        </w:r>
        <w:r w:rsidRPr="00A449A3">
          <w:rPr>
            <w:rFonts w:ascii="Verdana" w:hAnsi="Verdana"/>
            <w:noProof/>
            <w:webHidden/>
            <w:sz w:val="20"/>
            <w:szCs w:val="20"/>
          </w:rPr>
          <w:fldChar w:fldCharType="begin"/>
        </w:r>
        <w:r w:rsidRPr="00A449A3">
          <w:rPr>
            <w:rFonts w:ascii="Verdana" w:hAnsi="Verdana"/>
            <w:noProof/>
            <w:webHidden/>
            <w:sz w:val="20"/>
            <w:szCs w:val="20"/>
          </w:rPr>
          <w:instrText xml:space="preserve"> PAGEREF _Toc395612594 \h </w:instrText>
        </w:r>
        <w:r w:rsidRPr="00A449A3">
          <w:rPr>
            <w:rFonts w:ascii="Verdana" w:hAnsi="Verdana"/>
            <w:noProof/>
            <w:webHidden/>
            <w:sz w:val="20"/>
            <w:szCs w:val="20"/>
          </w:rPr>
        </w:r>
        <w:r w:rsidRPr="00A449A3">
          <w:rPr>
            <w:rFonts w:ascii="Verdana" w:hAnsi="Verdana"/>
            <w:noProof/>
            <w:webHidden/>
            <w:sz w:val="20"/>
            <w:szCs w:val="20"/>
          </w:rPr>
          <w:fldChar w:fldCharType="separate"/>
        </w:r>
        <w:r w:rsidR="001361E0">
          <w:rPr>
            <w:rFonts w:ascii="Verdana" w:hAnsi="Verdana"/>
            <w:noProof/>
            <w:webHidden/>
            <w:sz w:val="20"/>
            <w:szCs w:val="20"/>
          </w:rPr>
          <w:t>155</w:t>
        </w:r>
        <w:r w:rsidRPr="00A449A3">
          <w:rPr>
            <w:rFonts w:ascii="Verdana" w:hAnsi="Verdana"/>
            <w:noProof/>
            <w:webHidden/>
            <w:sz w:val="20"/>
            <w:szCs w:val="20"/>
          </w:rPr>
          <w:fldChar w:fldCharType="end"/>
        </w:r>
      </w:hyperlink>
    </w:p>
    <w:p w:rsidR="00A449A3" w:rsidRPr="00A449A3" w:rsidRDefault="00A449A3">
      <w:pPr>
        <w:pStyle w:val="TableofFigures"/>
        <w:tabs>
          <w:tab w:val="right" w:leader="dot" w:pos="9017"/>
        </w:tabs>
        <w:rPr>
          <w:rFonts w:ascii="Verdana" w:eastAsiaTheme="minorEastAsia" w:hAnsi="Verdana" w:cstheme="minorBidi"/>
          <w:noProof/>
          <w:sz w:val="20"/>
          <w:szCs w:val="20"/>
          <w:lang w:val="bg-BG" w:eastAsia="bg-BG"/>
        </w:rPr>
      </w:pPr>
      <w:hyperlink w:anchor="_Toc395612595" w:history="1">
        <w:r w:rsidRPr="00A449A3">
          <w:rPr>
            <w:rStyle w:val="Hyperlink"/>
            <w:rFonts w:ascii="Verdana" w:hAnsi="Verdana"/>
            <w:noProof/>
            <w:sz w:val="20"/>
            <w:szCs w:val="20"/>
          </w:rPr>
          <w:t>Таблица 39. Разпределение на експертите по отдели в ГДСФМОП</w:t>
        </w:r>
        <w:r w:rsidRPr="00A449A3">
          <w:rPr>
            <w:rFonts w:ascii="Verdana" w:hAnsi="Verdana"/>
            <w:noProof/>
            <w:webHidden/>
            <w:sz w:val="20"/>
            <w:szCs w:val="20"/>
          </w:rPr>
          <w:tab/>
        </w:r>
        <w:r w:rsidRPr="00A449A3">
          <w:rPr>
            <w:rFonts w:ascii="Verdana" w:hAnsi="Verdana"/>
            <w:noProof/>
            <w:webHidden/>
            <w:sz w:val="20"/>
            <w:szCs w:val="20"/>
          </w:rPr>
          <w:fldChar w:fldCharType="begin"/>
        </w:r>
        <w:r w:rsidRPr="00A449A3">
          <w:rPr>
            <w:rFonts w:ascii="Verdana" w:hAnsi="Verdana"/>
            <w:noProof/>
            <w:webHidden/>
            <w:sz w:val="20"/>
            <w:szCs w:val="20"/>
          </w:rPr>
          <w:instrText xml:space="preserve"> PAGEREF _Toc395612595 \h </w:instrText>
        </w:r>
        <w:r w:rsidRPr="00A449A3">
          <w:rPr>
            <w:rFonts w:ascii="Verdana" w:hAnsi="Verdana"/>
            <w:noProof/>
            <w:webHidden/>
            <w:sz w:val="20"/>
            <w:szCs w:val="20"/>
          </w:rPr>
        </w:r>
        <w:r w:rsidRPr="00A449A3">
          <w:rPr>
            <w:rFonts w:ascii="Verdana" w:hAnsi="Verdana"/>
            <w:noProof/>
            <w:webHidden/>
            <w:sz w:val="20"/>
            <w:szCs w:val="20"/>
          </w:rPr>
          <w:fldChar w:fldCharType="separate"/>
        </w:r>
        <w:r w:rsidR="001361E0">
          <w:rPr>
            <w:rFonts w:ascii="Verdana" w:hAnsi="Verdana"/>
            <w:noProof/>
            <w:webHidden/>
            <w:sz w:val="20"/>
            <w:szCs w:val="20"/>
          </w:rPr>
          <w:t>170</w:t>
        </w:r>
        <w:r w:rsidRPr="00A449A3">
          <w:rPr>
            <w:rFonts w:ascii="Verdana" w:hAnsi="Verdana"/>
            <w:noProof/>
            <w:webHidden/>
            <w:sz w:val="20"/>
            <w:szCs w:val="20"/>
          </w:rPr>
          <w:fldChar w:fldCharType="end"/>
        </w:r>
      </w:hyperlink>
    </w:p>
    <w:p w:rsidR="00A449A3" w:rsidRPr="00A449A3" w:rsidRDefault="00A449A3">
      <w:pPr>
        <w:pStyle w:val="TableofFigures"/>
        <w:tabs>
          <w:tab w:val="right" w:leader="dot" w:pos="9017"/>
        </w:tabs>
        <w:rPr>
          <w:rFonts w:ascii="Verdana" w:eastAsiaTheme="minorEastAsia" w:hAnsi="Verdana" w:cstheme="minorBidi"/>
          <w:noProof/>
          <w:sz w:val="20"/>
          <w:szCs w:val="20"/>
          <w:lang w:val="bg-BG" w:eastAsia="bg-BG"/>
        </w:rPr>
      </w:pPr>
      <w:hyperlink w:anchor="_Toc395612596" w:history="1">
        <w:r w:rsidRPr="00A449A3">
          <w:rPr>
            <w:rStyle w:val="Hyperlink"/>
            <w:rFonts w:ascii="Verdana" w:hAnsi="Verdana"/>
            <w:noProof/>
            <w:sz w:val="20"/>
            <w:szCs w:val="20"/>
          </w:rPr>
          <w:t>Таблица 40. Рискове, свързани с административния капацитет за ОПНОИР 2014-2020 г.</w:t>
        </w:r>
        <w:r w:rsidRPr="00A449A3">
          <w:rPr>
            <w:rFonts w:ascii="Verdana" w:hAnsi="Verdana"/>
            <w:noProof/>
            <w:webHidden/>
            <w:sz w:val="20"/>
            <w:szCs w:val="20"/>
          </w:rPr>
          <w:tab/>
        </w:r>
        <w:r w:rsidRPr="00A449A3">
          <w:rPr>
            <w:rFonts w:ascii="Verdana" w:hAnsi="Verdana"/>
            <w:noProof/>
            <w:webHidden/>
            <w:sz w:val="20"/>
            <w:szCs w:val="20"/>
          </w:rPr>
          <w:fldChar w:fldCharType="begin"/>
        </w:r>
        <w:r w:rsidRPr="00A449A3">
          <w:rPr>
            <w:rFonts w:ascii="Verdana" w:hAnsi="Verdana"/>
            <w:noProof/>
            <w:webHidden/>
            <w:sz w:val="20"/>
            <w:szCs w:val="20"/>
          </w:rPr>
          <w:instrText xml:space="preserve"> PAGEREF _Toc395612596 \h </w:instrText>
        </w:r>
        <w:r w:rsidRPr="00A449A3">
          <w:rPr>
            <w:rFonts w:ascii="Verdana" w:hAnsi="Verdana"/>
            <w:noProof/>
            <w:webHidden/>
            <w:sz w:val="20"/>
            <w:szCs w:val="20"/>
          </w:rPr>
        </w:r>
        <w:r w:rsidRPr="00A449A3">
          <w:rPr>
            <w:rFonts w:ascii="Verdana" w:hAnsi="Verdana"/>
            <w:noProof/>
            <w:webHidden/>
            <w:sz w:val="20"/>
            <w:szCs w:val="20"/>
          </w:rPr>
          <w:fldChar w:fldCharType="separate"/>
        </w:r>
        <w:r w:rsidR="001361E0">
          <w:rPr>
            <w:rFonts w:ascii="Verdana" w:hAnsi="Verdana"/>
            <w:noProof/>
            <w:webHidden/>
            <w:sz w:val="20"/>
            <w:szCs w:val="20"/>
          </w:rPr>
          <w:t>183</w:t>
        </w:r>
        <w:r w:rsidRPr="00A449A3">
          <w:rPr>
            <w:rFonts w:ascii="Verdana" w:hAnsi="Verdana"/>
            <w:noProof/>
            <w:webHidden/>
            <w:sz w:val="20"/>
            <w:szCs w:val="20"/>
          </w:rPr>
          <w:fldChar w:fldCharType="end"/>
        </w:r>
      </w:hyperlink>
    </w:p>
    <w:p w:rsidR="00A449A3" w:rsidRPr="00A449A3" w:rsidRDefault="00A449A3">
      <w:pPr>
        <w:pStyle w:val="TableofFigures"/>
        <w:tabs>
          <w:tab w:val="right" w:leader="dot" w:pos="9017"/>
        </w:tabs>
        <w:rPr>
          <w:rFonts w:ascii="Verdana" w:eastAsiaTheme="minorEastAsia" w:hAnsi="Verdana" w:cstheme="minorBidi"/>
          <w:noProof/>
          <w:sz w:val="20"/>
          <w:szCs w:val="20"/>
          <w:lang w:val="bg-BG" w:eastAsia="bg-BG"/>
        </w:rPr>
      </w:pPr>
      <w:hyperlink w:anchor="_Toc395612597" w:history="1">
        <w:r w:rsidRPr="00A449A3">
          <w:rPr>
            <w:rStyle w:val="Hyperlink"/>
            <w:rFonts w:ascii="Verdana" w:hAnsi="Verdana"/>
            <w:noProof/>
            <w:sz w:val="20"/>
            <w:szCs w:val="20"/>
          </w:rPr>
          <w:t>Таблица 41. Рискове с висок интензитет и тяхното третиране</w:t>
        </w:r>
        <w:r w:rsidRPr="00A449A3">
          <w:rPr>
            <w:rFonts w:ascii="Verdana" w:hAnsi="Verdana"/>
            <w:noProof/>
            <w:webHidden/>
            <w:sz w:val="20"/>
            <w:szCs w:val="20"/>
          </w:rPr>
          <w:tab/>
        </w:r>
        <w:r w:rsidRPr="00A449A3">
          <w:rPr>
            <w:rFonts w:ascii="Verdana" w:hAnsi="Verdana"/>
            <w:noProof/>
            <w:webHidden/>
            <w:sz w:val="20"/>
            <w:szCs w:val="20"/>
          </w:rPr>
          <w:fldChar w:fldCharType="begin"/>
        </w:r>
        <w:r w:rsidRPr="00A449A3">
          <w:rPr>
            <w:rFonts w:ascii="Verdana" w:hAnsi="Verdana"/>
            <w:noProof/>
            <w:webHidden/>
            <w:sz w:val="20"/>
            <w:szCs w:val="20"/>
          </w:rPr>
          <w:instrText xml:space="preserve"> PAGEREF _Toc395612597 \h </w:instrText>
        </w:r>
        <w:r w:rsidRPr="00A449A3">
          <w:rPr>
            <w:rFonts w:ascii="Verdana" w:hAnsi="Verdana"/>
            <w:noProof/>
            <w:webHidden/>
            <w:sz w:val="20"/>
            <w:szCs w:val="20"/>
          </w:rPr>
        </w:r>
        <w:r w:rsidRPr="00A449A3">
          <w:rPr>
            <w:rFonts w:ascii="Verdana" w:hAnsi="Verdana"/>
            <w:noProof/>
            <w:webHidden/>
            <w:sz w:val="20"/>
            <w:szCs w:val="20"/>
          </w:rPr>
          <w:fldChar w:fldCharType="separate"/>
        </w:r>
        <w:r w:rsidR="001361E0">
          <w:rPr>
            <w:rFonts w:ascii="Verdana" w:hAnsi="Verdana"/>
            <w:noProof/>
            <w:webHidden/>
            <w:sz w:val="20"/>
            <w:szCs w:val="20"/>
          </w:rPr>
          <w:t>185</w:t>
        </w:r>
        <w:r w:rsidRPr="00A449A3">
          <w:rPr>
            <w:rFonts w:ascii="Verdana" w:hAnsi="Verdana"/>
            <w:noProof/>
            <w:webHidden/>
            <w:sz w:val="20"/>
            <w:szCs w:val="20"/>
          </w:rPr>
          <w:fldChar w:fldCharType="end"/>
        </w:r>
      </w:hyperlink>
    </w:p>
    <w:p w:rsidR="0015412F" w:rsidRPr="00B45B4F" w:rsidRDefault="00BF1936" w:rsidP="00E816E5">
      <w:pPr>
        <w:tabs>
          <w:tab w:val="right" w:leader="dot" w:pos="9000"/>
        </w:tabs>
        <w:ind w:left="1350" w:hanging="1350"/>
        <w:rPr>
          <w:rFonts w:ascii="Verdana" w:hAnsi="Verdana"/>
          <w:b/>
          <w:sz w:val="20"/>
          <w:szCs w:val="20"/>
          <w:lang w:val="bg-BG"/>
        </w:rPr>
      </w:pPr>
      <w:r w:rsidRPr="00A449A3">
        <w:rPr>
          <w:rFonts w:ascii="Verdana" w:hAnsi="Verdana"/>
          <w:sz w:val="20"/>
          <w:szCs w:val="20"/>
          <w:lang w:val="bg-BG"/>
        </w:rPr>
        <w:fldChar w:fldCharType="end"/>
      </w:r>
    </w:p>
    <w:p w:rsidR="0015412F" w:rsidRPr="00B45B4F" w:rsidRDefault="0015412F" w:rsidP="00230D6B">
      <w:pPr>
        <w:rPr>
          <w:rFonts w:ascii="Verdana" w:hAnsi="Verdana"/>
          <w:b/>
          <w:lang w:val="bg-BG"/>
        </w:rPr>
        <w:sectPr w:rsidR="0015412F" w:rsidRPr="00B45B4F" w:rsidSect="00C826F7">
          <w:pgSz w:w="11907" w:h="16839" w:code="9"/>
          <w:pgMar w:top="2169" w:right="1440" w:bottom="1440" w:left="1440" w:header="720" w:footer="239" w:gutter="0"/>
          <w:cols w:space="720"/>
          <w:docGrid w:linePitch="360"/>
        </w:sectPr>
      </w:pPr>
    </w:p>
    <w:p w:rsidR="0015412F" w:rsidRPr="00B45B4F" w:rsidRDefault="0015412F" w:rsidP="00A52885">
      <w:pPr>
        <w:pStyle w:val="Heading1"/>
        <w:shd w:val="clear" w:color="auto" w:fill="0063B8"/>
        <w:tabs>
          <w:tab w:val="num" w:pos="720"/>
        </w:tabs>
        <w:spacing w:before="120" w:after="120" w:line="276" w:lineRule="auto"/>
        <w:ind w:left="720" w:hanging="720"/>
        <w:rPr>
          <w:rFonts w:ascii="Verdana" w:hAnsi="Verdana"/>
          <w:b w:val="0"/>
          <w:caps/>
          <w:color w:val="FFFFFF"/>
          <w:lang w:val="bg-BG"/>
        </w:rPr>
      </w:pPr>
      <w:bookmarkStart w:id="24" w:name="_Toc395612505"/>
      <w:r w:rsidRPr="00B45B4F">
        <w:rPr>
          <w:rFonts w:ascii="Verdana" w:hAnsi="Verdana"/>
          <w:b w:val="0"/>
          <w:caps/>
          <w:color w:val="FFFFFF"/>
          <w:lang w:val="bg-BG"/>
        </w:rPr>
        <w:lastRenderedPageBreak/>
        <w:t>Списък на фигурите</w:t>
      </w:r>
      <w:bookmarkEnd w:id="24"/>
    </w:p>
    <w:p w:rsidR="00354F50" w:rsidRPr="00B45B4F" w:rsidRDefault="00354F50" w:rsidP="00230D6B">
      <w:pPr>
        <w:rPr>
          <w:rFonts w:ascii="Verdana" w:hAnsi="Verdana"/>
          <w:b/>
          <w:lang w:val="bg-BG"/>
        </w:rPr>
      </w:pPr>
    </w:p>
    <w:p w:rsidR="00E405B5" w:rsidRPr="00E405B5" w:rsidRDefault="00BF1936">
      <w:pPr>
        <w:pStyle w:val="TableofFigures"/>
        <w:tabs>
          <w:tab w:val="right" w:leader="dot" w:pos="9017"/>
        </w:tabs>
        <w:rPr>
          <w:rFonts w:ascii="Verdana" w:eastAsiaTheme="minorEastAsia" w:hAnsi="Verdana" w:cstheme="minorBidi"/>
          <w:noProof/>
          <w:sz w:val="20"/>
          <w:szCs w:val="20"/>
          <w:lang w:val="bg-BG" w:eastAsia="bg-BG"/>
        </w:rPr>
      </w:pPr>
      <w:r w:rsidRPr="00E405B5">
        <w:rPr>
          <w:rFonts w:ascii="Verdana" w:hAnsi="Verdana"/>
          <w:sz w:val="20"/>
          <w:szCs w:val="20"/>
          <w:lang w:val="bg-BG"/>
        </w:rPr>
        <w:fldChar w:fldCharType="begin"/>
      </w:r>
      <w:r w:rsidR="007F00AA" w:rsidRPr="00E405B5">
        <w:rPr>
          <w:rFonts w:ascii="Verdana" w:hAnsi="Verdana"/>
          <w:sz w:val="20"/>
          <w:szCs w:val="20"/>
          <w:lang w:val="bg-BG"/>
        </w:rPr>
        <w:instrText xml:space="preserve"> TOC \h \z \c "Фигура" </w:instrText>
      </w:r>
      <w:r w:rsidRPr="00E405B5">
        <w:rPr>
          <w:rFonts w:ascii="Verdana" w:hAnsi="Verdana"/>
          <w:sz w:val="20"/>
          <w:szCs w:val="20"/>
          <w:lang w:val="bg-BG"/>
        </w:rPr>
        <w:fldChar w:fldCharType="separate"/>
      </w:r>
      <w:hyperlink w:anchor="_Toc395609455" w:history="1">
        <w:r w:rsidR="00E405B5" w:rsidRPr="00E405B5">
          <w:rPr>
            <w:rStyle w:val="Hyperlink"/>
            <w:rFonts w:ascii="Verdana" w:hAnsi="Verdana"/>
            <w:noProof/>
            <w:sz w:val="20"/>
            <w:szCs w:val="20"/>
          </w:rPr>
          <w:t>Фигура 1: Дефиниране обхвата на оценката</w:t>
        </w:r>
        <w:r w:rsidR="00E405B5" w:rsidRPr="00E405B5">
          <w:rPr>
            <w:rFonts w:ascii="Verdana" w:hAnsi="Verdana"/>
            <w:noProof/>
            <w:webHidden/>
            <w:sz w:val="20"/>
            <w:szCs w:val="20"/>
          </w:rPr>
          <w:tab/>
        </w:r>
        <w:r w:rsidR="00E405B5" w:rsidRPr="00E405B5">
          <w:rPr>
            <w:rFonts w:ascii="Verdana" w:hAnsi="Verdana"/>
            <w:noProof/>
            <w:webHidden/>
            <w:sz w:val="20"/>
            <w:szCs w:val="20"/>
          </w:rPr>
          <w:fldChar w:fldCharType="begin"/>
        </w:r>
        <w:r w:rsidR="00E405B5" w:rsidRPr="00E405B5">
          <w:rPr>
            <w:rFonts w:ascii="Verdana" w:hAnsi="Verdana"/>
            <w:noProof/>
            <w:webHidden/>
            <w:sz w:val="20"/>
            <w:szCs w:val="20"/>
          </w:rPr>
          <w:instrText xml:space="preserve"> PAGEREF _Toc395609455 \h </w:instrText>
        </w:r>
        <w:r w:rsidR="00E405B5" w:rsidRPr="00E405B5">
          <w:rPr>
            <w:rFonts w:ascii="Verdana" w:hAnsi="Verdana"/>
            <w:noProof/>
            <w:webHidden/>
            <w:sz w:val="20"/>
            <w:szCs w:val="20"/>
          </w:rPr>
        </w:r>
        <w:r w:rsidR="00E405B5" w:rsidRPr="00E405B5">
          <w:rPr>
            <w:rFonts w:ascii="Verdana" w:hAnsi="Verdana"/>
            <w:noProof/>
            <w:webHidden/>
            <w:sz w:val="20"/>
            <w:szCs w:val="20"/>
          </w:rPr>
          <w:fldChar w:fldCharType="separate"/>
        </w:r>
        <w:r w:rsidR="001361E0">
          <w:rPr>
            <w:rFonts w:ascii="Verdana" w:hAnsi="Verdana"/>
            <w:noProof/>
            <w:webHidden/>
            <w:sz w:val="20"/>
            <w:szCs w:val="20"/>
          </w:rPr>
          <w:t>25</w:t>
        </w:r>
        <w:r w:rsidR="00E405B5" w:rsidRPr="00E405B5">
          <w:rPr>
            <w:rFonts w:ascii="Verdana" w:hAnsi="Verdana"/>
            <w:noProof/>
            <w:webHidden/>
            <w:sz w:val="20"/>
            <w:szCs w:val="20"/>
          </w:rPr>
          <w:fldChar w:fldCharType="end"/>
        </w:r>
      </w:hyperlink>
    </w:p>
    <w:p w:rsidR="00E405B5" w:rsidRPr="00E405B5" w:rsidRDefault="004020E1">
      <w:pPr>
        <w:pStyle w:val="TableofFigures"/>
        <w:tabs>
          <w:tab w:val="right" w:leader="dot" w:pos="9017"/>
        </w:tabs>
        <w:rPr>
          <w:rFonts w:ascii="Verdana" w:eastAsiaTheme="minorEastAsia" w:hAnsi="Verdana" w:cstheme="minorBidi"/>
          <w:noProof/>
          <w:sz w:val="20"/>
          <w:szCs w:val="20"/>
          <w:lang w:val="bg-BG" w:eastAsia="bg-BG"/>
        </w:rPr>
      </w:pPr>
      <w:hyperlink w:anchor="_Toc395609456" w:history="1">
        <w:r w:rsidR="00E405B5" w:rsidRPr="00E405B5">
          <w:rPr>
            <w:rStyle w:val="Hyperlink"/>
            <w:rFonts w:ascii="Verdana" w:hAnsi="Verdana"/>
            <w:noProof/>
            <w:sz w:val="20"/>
            <w:szCs w:val="20"/>
          </w:rPr>
          <w:t>Фигура 2: Подход на оценката</w:t>
        </w:r>
        <w:r w:rsidR="00E405B5" w:rsidRPr="00E405B5">
          <w:rPr>
            <w:rFonts w:ascii="Verdana" w:hAnsi="Verdana"/>
            <w:noProof/>
            <w:webHidden/>
            <w:sz w:val="20"/>
            <w:szCs w:val="20"/>
          </w:rPr>
          <w:tab/>
        </w:r>
        <w:r w:rsidR="00E405B5" w:rsidRPr="00E405B5">
          <w:rPr>
            <w:rFonts w:ascii="Verdana" w:hAnsi="Verdana"/>
            <w:noProof/>
            <w:webHidden/>
            <w:sz w:val="20"/>
            <w:szCs w:val="20"/>
          </w:rPr>
          <w:fldChar w:fldCharType="begin"/>
        </w:r>
        <w:r w:rsidR="00E405B5" w:rsidRPr="00E405B5">
          <w:rPr>
            <w:rFonts w:ascii="Verdana" w:hAnsi="Verdana"/>
            <w:noProof/>
            <w:webHidden/>
            <w:sz w:val="20"/>
            <w:szCs w:val="20"/>
          </w:rPr>
          <w:instrText xml:space="preserve"> PAGEREF _Toc395609456 \h </w:instrText>
        </w:r>
        <w:r w:rsidR="00E405B5" w:rsidRPr="00E405B5">
          <w:rPr>
            <w:rFonts w:ascii="Verdana" w:hAnsi="Verdana"/>
            <w:noProof/>
            <w:webHidden/>
            <w:sz w:val="20"/>
            <w:szCs w:val="20"/>
          </w:rPr>
        </w:r>
        <w:r w:rsidR="00E405B5" w:rsidRPr="00E405B5">
          <w:rPr>
            <w:rFonts w:ascii="Verdana" w:hAnsi="Verdana"/>
            <w:noProof/>
            <w:webHidden/>
            <w:sz w:val="20"/>
            <w:szCs w:val="20"/>
          </w:rPr>
          <w:fldChar w:fldCharType="separate"/>
        </w:r>
        <w:r w:rsidR="001361E0">
          <w:rPr>
            <w:rFonts w:ascii="Verdana" w:hAnsi="Verdana"/>
            <w:noProof/>
            <w:webHidden/>
            <w:sz w:val="20"/>
            <w:szCs w:val="20"/>
          </w:rPr>
          <w:t>27</w:t>
        </w:r>
        <w:r w:rsidR="00E405B5" w:rsidRPr="00E405B5">
          <w:rPr>
            <w:rFonts w:ascii="Verdana" w:hAnsi="Verdana"/>
            <w:noProof/>
            <w:webHidden/>
            <w:sz w:val="20"/>
            <w:szCs w:val="20"/>
          </w:rPr>
          <w:fldChar w:fldCharType="end"/>
        </w:r>
      </w:hyperlink>
    </w:p>
    <w:p w:rsidR="00E405B5" w:rsidRPr="00E405B5" w:rsidRDefault="004020E1">
      <w:pPr>
        <w:pStyle w:val="TableofFigures"/>
        <w:tabs>
          <w:tab w:val="right" w:leader="dot" w:pos="9017"/>
        </w:tabs>
        <w:rPr>
          <w:rFonts w:ascii="Verdana" w:eastAsiaTheme="minorEastAsia" w:hAnsi="Verdana" w:cstheme="minorBidi"/>
          <w:noProof/>
          <w:sz w:val="20"/>
          <w:szCs w:val="20"/>
          <w:lang w:val="bg-BG" w:eastAsia="bg-BG"/>
        </w:rPr>
      </w:pPr>
      <w:hyperlink w:anchor="_Toc395609457" w:history="1">
        <w:r w:rsidR="00E405B5" w:rsidRPr="00E405B5">
          <w:rPr>
            <w:rStyle w:val="Hyperlink"/>
            <w:rFonts w:ascii="Verdana" w:hAnsi="Verdana"/>
            <w:noProof/>
            <w:sz w:val="20"/>
            <w:szCs w:val="20"/>
          </w:rPr>
          <w:t>Фигура 3: Подходи за предоставяне на средствата по програмата</w:t>
        </w:r>
        <w:r w:rsidR="00E405B5" w:rsidRPr="00E405B5">
          <w:rPr>
            <w:rFonts w:ascii="Verdana" w:hAnsi="Verdana"/>
            <w:noProof/>
            <w:webHidden/>
            <w:sz w:val="20"/>
            <w:szCs w:val="20"/>
          </w:rPr>
          <w:tab/>
        </w:r>
        <w:r w:rsidR="00E405B5" w:rsidRPr="00E405B5">
          <w:rPr>
            <w:rFonts w:ascii="Verdana" w:hAnsi="Verdana"/>
            <w:noProof/>
            <w:webHidden/>
            <w:sz w:val="20"/>
            <w:szCs w:val="20"/>
          </w:rPr>
          <w:fldChar w:fldCharType="begin"/>
        </w:r>
        <w:r w:rsidR="00E405B5" w:rsidRPr="00E405B5">
          <w:rPr>
            <w:rFonts w:ascii="Verdana" w:hAnsi="Verdana"/>
            <w:noProof/>
            <w:webHidden/>
            <w:sz w:val="20"/>
            <w:szCs w:val="20"/>
          </w:rPr>
          <w:instrText xml:space="preserve"> PAGEREF _Toc395609457 \h </w:instrText>
        </w:r>
        <w:r w:rsidR="00E405B5" w:rsidRPr="00E405B5">
          <w:rPr>
            <w:rFonts w:ascii="Verdana" w:hAnsi="Verdana"/>
            <w:noProof/>
            <w:webHidden/>
            <w:sz w:val="20"/>
            <w:szCs w:val="20"/>
          </w:rPr>
        </w:r>
        <w:r w:rsidR="00E405B5" w:rsidRPr="00E405B5">
          <w:rPr>
            <w:rFonts w:ascii="Verdana" w:hAnsi="Verdana"/>
            <w:noProof/>
            <w:webHidden/>
            <w:sz w:val="20"/>
            <w:szCs w:val="20"/>
          </w:rPr>
          <w:fldChar w:fldCharType="separate"/>
        </w:r>
        <w:r w:rsidR="001361E0">
          <w:rPr>
            <w:rFonts w:ascii="Verdana" w:hAnsi="Verdana"/>
            <w:noProof/>
            <w:webHidden/>
            <w:sz w:val="20"/>
            <w:szCs w:val="20"/>
          </w:rPr>
          <w:t>111</w:t>
        </w:r>
        <w:r w:rsidR="00E405B5" w:rsidRPr="00E405B5">
          <w:rPr>
            <w:rFonts w:ascii="Verdana" w:hAnsi="Verdana"/>
            <w:noProof/>
            <w:webHidden/>
            <w:sz w:val="20"/>
            <w:szCs w:val="20"/>
          </w:rPr>
          <w:fldChar w:fldCharType="end"/>
        </w:r>
      </w:hyperlink>
    </w:p>
    <w:p w:rsidR="00E405B5" w:rsidRPr="00E405B5" w:rsidRDefault="004020E1">
      <w:pPr>
        <w:pStyle w:val="TableofFigures"/>
        <w:tabs>
          <w:tab w:val="right" w:leader="dot" w:pos="9017"/>
        </w:tabs>
        <w:rPr>
          <w:rFonts w:ascii="Verdana" w:eastAsiaTheme="minorEastAsia" w:hAnsi="Verdana" w:cstheme="minorBidi"/>
          <w:noProof/>
          <w:sz w:val="20"/>
          <w:szCs w:val="20"/>
          <w:lang w:val="bg-BG" w:eastAsia="bg-BG"/>
        </w:rPr>
      </w:pPr>
      <w:hyperlink w:anchor="_Toc395609458" w:history="1">
        <w:r w:rsidR="00E405B5" w:rsidRPr="00E405B5">
          <w:rPr>
            <w:rStyle w:val="Hyperlink"/>
            <w:rFonts w:ascii="Verdana" w:hAnsi="Verdana"/>
            <w:noProof/>
            <w:sz w:val="20"/>
            <w:szCs w:val="20"/>
          </w:rPr>
          <w:t>Фигура 4: Възможни области на прилагане на финансови инструменти</w:t>
        </w:r>
        <w:r w:rsidR="00E405B5" w:rsidRPr="00E405B5">
          <w:rPr>
            <w:rFonts w:ascii="Verdana" w:hAnsi="Verdana"/>
            <w:noProof/>
            <w:webHidden/>
            <w:sz w:val="20"/>
            <w:szCs w:val="20"/>
          </w:rPr>
          <w:tab/>
        </w:r>
        <w:r w:rsidR="00E405B5" w:rsidRPr="00E405B5">
          <w:rPr>
            <w:rFonts w:ascii="Verdana" w:hAnsi="Verdana"/>
            <w:noProof/>
            <w:webHidden/>
            <w:sz w:val="20"/>
            <w:szCs w:val="20"/>
          </w:rPr>
          <w:fldChar w:fldCharType="begin"/>
        </w:r>
        <w:r w:rsidR="00E405B5" w:rsidRPr="00E405B5">
          <w:rPr>
            <w:rFonts w:ascii="Verdana" w:hAnsi="Verdana"/>
            <w:noProof/>
            <w:webHidden/>
            <w:sz w:val="20"/>
            <w:szCs w:val="20"/>
          </w:rPr>
          <w:instrText xml:space="preserve"> PAGEREF _Toc395609458 \h </w:instrText>
        </w:r>
        <w:r w:rsidR="00E405B5" w:rsidRPr="00E405B5">
          <w:rPr>
            <w:rFonts w:ascii="Verdana" w:hAnsi="Verdana"/>
            <w:noProof/>
            <w:webHidden/>
            <w:sz w:val="20"/>
            <w:szCs w:val="20"/>
          </w:rPr>
        </w:r>
        <w:r w:rsidR="00E405B5" w:rsidRPr="00E405B5">
          <w:rPr>
            <w:rFonts w:ascii="Verdana" w:hAnsi="Verdana"/>
            <w:noProof/>
            <w:webHidden/>
            <w:sz w:val="20"/>
            <w:szCs w:val="20"/>
          </w:rPr>
          <w:fldChar w:fldCharType="separate"/>
        </w:r>
        <w:r w:rsidR="001361E0">
          <w:rPr>
            <w:rFonts w:ascii="Verdana" w:hAnsi="Verdana"/>
            <w:noProof/>
            <w:webHidden/>
            <w:sz w:val="20"/>
            <w:szCs w:val="20"/>
          </w:rPr>
          <w:t>112</w:t>
        </w:r>
        <w:r w:rsidR="00E405B5" w:rsidRPr="00E405B5">
          <w:rPr>
            <w:rFonts w:ascii="Verdana" w:hAnsi="Verdana"/>
            <w:noProof/>
            <w:webHidden/>
            <w:sz w:val="20"/>
            <w:szCs w:val="20"/>
          </w:rPr>
          <w:fldChar w:fldCharType="end"/>
        </w:r>
      </w:hyperlink>
    </w:p>
    <w:p w:rsidR="00E405B5" w:rsidRPr="00E405B5" w:rsidRDefault="004020E1">
      <w:pPr>
        <w:pStyle w:val="TableofFigures"/>
        <w:tabs>
          <w:tab w:val="right" w:leader="dot" w:pos="9017"/>
        </w:tabs>
        <w:rPr>
          <w:rFonts w:ascii="Verdana" w:eastAsiaTheme="minorEastAsia" w:hAnsi="Verdana" w:cstheme="minorBidi"/>
          <w:noProof/>
          <w:sz w:val="20"/>
          <w:szCs w:val="20"/>
          <w:lang w:val="bg-BG" w:eastAsia="bg-BG"/>
        </w:rPr>
      </w:pPr>
      <w:hyperlink w:anchor="_Toc395609459" w:history="1">
        <w:r w:rsidR="00E405B5" w:rsidRPr="00E405B5">
          <w:rPr>
            <w:rStyle w:val="Hyperlink"/>
            <w:rFonts w:ascii="Verdana" w:hAnsi="Verdana"/>
            <w:noProof/>
            <w:sz w:val="20"/>
            <w:szCs w:val="20"/>
          </w:rPr>
          <w:t>Фигура 5: Приоритетни области на подкрепа според проведеното онлайн проучване</w:t>
        </w:r>
        <w:r w:rsidR="00E405B5" w:rsidRPr="00E405B5">
          <w:rPr>
            <w:rFonts w:ascii="Verdana" w:hAnsi="Verdana"/>
            <w:noProof/>
            <w:webHidden/>
            <w:sz w:val="20"/>
            <w:szCs w:val="20"/>
          </w:rPr>
          <w:tab/>
        </w:r>
        <w:r w:rsidR="00E405B5" w:rsidRPr="00E405B5">
          <w:rPr>
            <w:rFonts w:ascii="Verdana" w:hAnsi="Verdana"/>
            <w:noProof/>
            <w:webHidden/>
            <w:sz w:val="20"/>
            <w:szCs w:val="20"/>
          </w:rPr>
          <w:fldChar w:fldCharType="begin"/>
        </w:r>
        <w:r w:rsidR="00E405B5" w:rsidRPr="00E405B5">
          <w:rPr>
            <w:rFonts w:ascii="Verdana" w:hAnsi="Verdana"/>
            <w:noProof/>
            <w:webHidden/>
            <w:sz w:val="20"/>
            <w:szCs w:val="20"/>
          </w:rPr>
          <w:instrText xml:space="preserve"> PAGEREF _Toc395609459 \h </w:instrText>
        </w:r>
        <w:r w:rsidR="00E405B5" w:rsidRPr="00E405B5">
          <w:rPr>
            <w:rFonts w:ascii="Verdana" w:hAnsi="Verdana"/>
            <w:noProof/>
            <w:webHidden/>
            <w:sz w:val="20"/>
            <w:szCs w:val="20"/>
          </w:rPr>
        </w:r>
        <w:r w:rsidR="00E405B5" w:rsidRPr="00E405B5">
          <w:rPr>
            <w:rFonts w:ascii="Verdana" w:hAnsi="Verdana"/>
            <w:noProof/>
            <w:webHidden/>
            <w:sz w:val="20"/>
            <w:szCs w:val="20"/>
          </w:rPr>
          <w:fldChar w:fldCharType="separate"/>
        </w:r>
        <w:r w:rsidR="001361E0">
          <w:rPr>
            <w:rFonts w:ascii="Verdana" w:hAnsi="Verdana"/>
            <w:noProof/>
            <w:webHidden/>
            <w:sz w:val="20"/>
            <w:szCs w:val="20"/>
          </w:rPr>
          <w:t>119</w:t>
        </w:r>
        <w:r w:rsidR="00E405B5" w:rsidRPr="00E405B5">
          <w:rPr>
            <w:rFonts w:ascii="Verdana" w:hAnsi="Verdana"/>
            <w:noProof/>
            <w:webHidden/>
            <w:sz w:val="20"/>
            <w:szCs w:val="20"/>
          </w:rPr>
          <w:fldChar w:fldCharType="end"/>
        </w:r>
      </w:hyperlink>
    </w:p>
    <w:p w:rsidR="00E405B5" w:rsidRPr="00E405B5" w:rsidRDefault="004020E1">
      <w:pPr>
        <w:pStyle w:val="TableofFigures"/>
        <w:tabs>
          <w:tab w:val="right" w:leader="dot" w:pos="9017"/>
        </w:tabs>
        <w:rPr>
          <w:rFonts w:ascii="Verdana" w:eastAsiaTheme="minorEastAsia" w:hAnsi="Verdana" w:cstheme="minorBidi"/>
          <w:noProof/>
          <w:sz w:val="20"/>
          <w:szCs w:val="20"/>
          <w:lang w:val="bg-BG" w:eastAsia="bg-BG"/>
        </w:rPr>
      </w:pPr>
      <w:hyperlink w:anchor="_Toc395609460" w:history="1">
        <w:r w:rsidR="00E405B5" w:rsidRPr="00E405B5">
          <w:rPr>
            <w:rStyle w:val="Hyperlink"/>
            <w:rFonts w:ascii="Verdana" w:hAnsi="Verdana"/>
            <w:noProof/>
            <w:sz w:val="20"/>
            <w:szCs w:val="20"/>
            <w:lang w:val="bg-BG"/>
          </w:rPr>
          <w:t xml:space="preserve">Фигура </w:t>
        </w:r>
        <w:r w:rsidR="00E405B5" w:rsidRPr="00E405B5">
          <w:rPr>
            <w:rStyle w:val="Hyperlink"/>
            <w:rFonts w:ascii="Verdana" w:hAnsi="Verdana"/>
            <w:noProof/>
            <w:sz w:val="20"/>
            <w:szCs w:val="20"/>
          </w:rPr>
          <w:t>6</w:t>
        </w:r>
        <w:r w:rsidR="00E405B5" w:rsidRPr="00E405B5">
          <w:rPr>
            <w:rStyle w:val="Hyperlink"/>
            <w:rFonts w:ascii="Verdana" w:hAnsi="Verdana"/>
            <w:noProof/>
            <w:sz w:val="20"/>
            <w:szCs w:val="20"/>
            <w:lang w:val="bg-BG"/>
          </w:rPr>
          <w:t>: Структура на бюджета на ОП НОИР 2014-2020 по приоритетни оси и по фондове</w:t>
        </w:r>
        <w:r w:rsidR="00E405B5" w:rsidRPr="00E405B5">
          <w:rPr>
            <w:rFonts w:ascii="Verdana" w:hAnsi="Verdana"/>
            <w:noProof/>
            <w:webHidden/>
            <w:sz w:val="20"/>
            <w:szCs w:val="20"/>
          </w:rPr>
          <w:tab/>
        </w:r>
        <w:r w:rsidR="00E405B5" w:rsidRPr="00E405B5">
          <w:rPr>
            <w:rFonts w:ascii="Verdana" w:hAnsi="Verdana"/>
            <w:noProof/>
            <w:webHidden/>
            <w:sz w:val="20"/>
            <w:szCs w:val="20"/>
          </w:rPr>
          <w:fldChar w:fldCharType="begin"/>
        </w:r>
        <w:r w:rsidR="00E405B5" w:rsidRPr="00E405B5">
          <w:rPr>
            <w:rFonts w:ascii="Verdana" w:hAnsi="Verdana"/>
            <w:noProof/>
            <w:webHidden/>
            <w:sz w:val="20"/>
            <w:szCs w:val="20"/>
          </w:rPr>
          <w:instrText xml:space="preserve"> PAGEREF _Toc395609460 \h </w:instrText>
        </w:r>
        <w:r w:rsidR="00E405B5" w:rsidRPr="00E405B5">
          <w:rPr>
            <w:rFonts w:ascii="Verdana" w:hAnsi="Verdana"/>
            <w:noProof/>
            <w:webHidden/>
            <w:sz w:val="20"/>
            <w:szCs w:val="20"/>
          </w:rPr>
        </w:r>
        <w:r w:rsidR="00E405B5" w:rsidRPr="00E405B5">
          <w:rPr>
            <w:rFonts w:ascii="Verdana" w:hAnsi="Verdana"/>
            <w:noProof/>
            <w:webHidden/>
            <w:sz w:val="20"/>
            <w:szCs w:val="20"/>
          </w:rPr>
          <w:fldChar w:fldCharType="separate"/>
        </w:r>
        <w:r w:rsidR="001361E0">
          <w:rPr>
            <w:rFonts w:ascii="Verdana" w:hAnsi="Verdana"/>
            <w:noProof/>
            <w:webHidden/>
            <w:sz w:val="20"/>
            <w:szCs w:val="20"/>
          </w:rPr>
          <w:t>154</w:t>
        </w:r>
        <w:r w:rsidR="00E405B5" w:rsidRPr="00E405B5">
          <w:rPr>
            <w:rFonts w:ascii="Verdana" w:hAnsi="Verdana"/>
            <w:noProof/>
            <w:webHidden/>
            <w:sz w:val="20"/>
            <w:szCs w:val="20"/>
          </w:rPr>
          <w:fldChar w:fldCharType="end"/>
        </w:r>
      </w:hyperlink>
    </w:p>
    <w:p w:rsidR="00E405B5" w:rsidRPr="00E405B5" w:rsidRDefault="004020E1">
      <w:pPr>
        <w:pStyle w:val="TableofFigures"/>
        <w:tabs>
          <w:tab w:val="right" w:leader="dot" w:pos="9017"/>
        </w:tabs>
        <w:rPr>
          <w:rFonts w:ascii="Verdana" w:eastAsiaTheme="minorEastAsia" w:hAnsi="Verdana" w:cstheme="minorBidi"/>
          <w:noProof/>
          <w:sz w:val="20"/>
          <w:szCs w:val="20"/>
          <w:lang w:val="bg-BG" w:eastAsia="bg-BG"/>
        </w:rPr>
      </w:pPr>
      <w:hyperlink w:anchor="_Toc395609461" w:history="1">
        <w:r w:rsidR="00E405B5" w:rsidRPr="00E405B5">
          <w:rPr>
            <w:rStyle w:val="Hyperlink"/>
            <w:rFonts w:ascii="Verdana" w:hAnsi="Verdana"/>
            <w:noProof/>
            <w:sz w:val="20"/>
            <w:szCs w:val="20"/>
          </w:rPr>
          <w:t>Фигура 7: Разбивка на бюджетните ангажименти по години на ОП НОИР2014-2020 г. в сравнение със съпоставими инвестиции през 2007-2013 г.</w:t>
        </w:r>
        <w:r w:rsidR="00E405B5" w:rsidRPr="00E405B5">
          <w:rPr>
            <w:rFonts w:ascii="Verdana" w:hAnsi="Verdana"/>
            <w:noProof/>
            <w:webHidden/>
            <w:sz w:val="20"/>
            <w:szCs w:val="20"/>
          </w:rPr>
          <w:tab/>
        </w:r>
        <w:r w:rsidR="00E405B5" w:rsidRPr="00E405B5">
          <w:rPr>
            <w:rFonts w:ascii="Verdana" w:hAnsi="Verdana"/>
            <w:noProof/>
            <w:webHidden/>
            <w:sz w:val="20"/>
            <w:szCs w:val="20"/>
          </w:rPr>
          <w:fldChar w:fldCharType="begin"/>
        </w:r>
        <w:r w:rsidR="00E405B5" w:rsidRPr="00E405B5">
          <w:rPr>
            <w:rFonts w:ascii="Verdana" w:hAnsi="Verdana"/>
            <w:noProof/>
            <w:webHidden/>
            <w:sz w:val="20"/>
            <w:szCs w:val="20"/>
          </w:rPr>
          <w:instrText xml:space="preserve"> PAGEREF _Toc395609461 \h </w:instrText>
        </w:r>
        <w:r w:rsidR="00E405B5" w:rsidRPr="00E405B5">
          <w:rPr>
            <w:rFonts w:ascii="Verdana" w:hAnsi="Verdana"/>
            <w:noProof/>
            <w:webHidden/>
            <w:sz w:val="20"/>
            <w:szCs w:val="20"/>
          </w:rPr>
        </w:r>
        <w:r w:rsidR="00E405B5" w:rsidRPr="00E405B5">
          <w:rPr>
            <w:rFonts w:ascii="Verdana" w:hAnsi="Verdana"/>
            <w:noProof/>
            <w:webHidden/>
            <w:sz w:val="20"/>
            <w:szCs w:val="20"/>
          </w:rPr>
          <w:fldChar w:fldCharType="separate"/>
        </w:r>
        <w:r w:rsidR="001361E0">
          <w:rPr>
            <w:rFonts w:ascii="Verdana" w:hAnsi="Verdana"/>
            <w:noProof/>
            <w:webHidden/>
            <w:sz w:val="20"/>
            <w:szCs w:val="20"/>
          </w:rPr>
          <w:t>157</w:t>
        </w:r>
        <w:r w:rsidR="00E405B5" w:rsidRPr="00E405B5">
          <w:rPr>
            <w:rFonts w:ascii="Verdana" w:hAnsi="Verdana"/>
            <w:noProof/>
            <w:webHidden/>
            <w:sz w:val="20"/>
            <w:szCs w:val="20"/>
          </w:rPr>
          <w:fldChar w:fldCharType="end"/>
        </w:r>
      </w:hyperlink>
    </w:p>
    <w:p w:rsidR="00E405B5" w:rsidRPr="00E405B5" w:rsidRDefault="004020E1">
      <w:pPr>
        <w:pStyle w:val="TableofFigures"/>
        <w:tabs>
          <w:tab w:val="right" w:leader="dot" w:pos="9017"/>
        </w:tabs>
        <w:rPr>
          <w:rFonts w:ascii="Verdana" w:eastAsiaTheme="minorEastAsia" w:hAnsi="Verdana" w:cstheme="minorBidi"/>
          <w:noProof/>
          <w:sz w:val="20"/>
          <w:szCs w:val="20"/>
          <w:lang w:val="bg-BG" w:eastAsia="bg-BG"/>
        </w:rPr>
      </w:pPr>
      <w:hyperlink w:anchor="_Toc395609462" w:history="1">
        <w:r w:rsidR="00E405B5" w:rsidRPr="00E405B5">
          <w:rPr>
            <w:rStyle w:val="Hyperlink"/>
            <w:rFonts w:ascii="Verdana" w:hAnsi="Verdana"/>
            <w:noProof/>
            <w:sz w:val="20"/>
            <w:szCs w:val="20"/>
          </w:rPr>
          <w:t>Фигура 8: Усвояване през 2007-2013 г.</w:t>
        </w:r>
        <w:r w:rsidR="00E405B5" w:rsidRPr="00E405B5">
          <w:rPr>
            <w:rFonts w:ascii="Verdana" w:hAnsi="Verdana"/>
            <w:noProof/>
            <w:webHidden/>
            <w:sz w:val="20"/>
            <w:szCs w:val="20"/>
          </w:rPr>
          <w:tab/>
        </w:r>
        <w:r w:rsidR="00E405B5" w:rsidRPr="00E405B5">
          <w:rPr>
            <w:rFonts w:ascii="Verdana" w:hAnsi="Verdana"/>
            <w:noProof/>
            <w:webHidden/>
            <w:sz w:val="20"/>
            <w:szCs w:val="20"/>
          </w:rPr>
          <w:fldChar w:fldCharType="begin"/>
        </w:r>
        <w:r w:rsidR="00E405B5" w:rsidRPr="00E405B5">
          <w:rPr>
            <w:rFonts w:ascii="Verdana" w:hAnsi="Verdana"/>
            <w:noProof/>
            <w:webHidden/>
            <w:sz w:val="20"/>
            <w:szCs w:val="20"/>
          </w:rPr>
          <w:instrText xml:space="preserve"> PAGEREF _Toc395609462 \h </w:instrText>
        </w:r>
        <w:r w:rsidR="00E405B5" w:rsidRPr="00E405B5">
          <w:rPr>
            <w:rFonts w:ascii="Verdana" w:hAnsi="Verdana"/>
            <w:noProof/>
            <w:webHidden/>
            <w:sz w:val="20"/>
            <w:szCs w:val="20"/>
          </w:rPr>
        </w:r>
        <w:r w:rsidR="00E405B5" w:rsidRPr="00E405B5">
          <w:rPr>
            <w:rFonts w:ascii="Verdana" w:hAnsi="Verdana"/>
            <w:noProof/>
            <w:webHidden/>
            <w:sz w:val="20"/>
            <w:szCs w:val="20"/>
          </w:rPr>
          <w:fldChar w:fldCharType="separate"/>
        </w:r>
        <w:r w:rsidR="001361E0">
          <w:rPr>
            <w:rFonts w:ascii="Verdana" w:hAnsi="Verdana"/>
            <w:noProof/>
            <w:webHidden/>
            <w:sz w:val="20"/>
            <w:szCs w:val="20"/>
          </w:rPr>
          <w:t>158</w:t>
        </w:r>
        <w:r w:rsidR="00E405B5" w:rsidRPr="00E405B5">
          <w:rPr>
            <w:rFonts w:ascii="Verdana" w:hAnsi="Verdana"/>
            <w:noProof/>
            <w:webHidden/>
            <w:sz w:val="20"/>
            <w:szCs w:val="20"/>
          </w:rPr>
          <w:fldChar w:fldCharType="end"/>
        </w:r>
      </w:hyperlink>
    </w:p>
    <w:p w:rsidR="00E405B5" w:rsidRPr="00E405B5" w:rsidRDefault="004020E1">
      <w:pPr>
        <w:pStyle w:val="TableofFigures"/>
        <w:tabs>
          <w:tab w:val="right" w:leader="dot" w:pos="9017"/>
        </w:tabs>
        <w:rPr>
          <w:rFonts w:ascii="Verdana" w:eastAsiaTheme="minorEastAsia" w:hAnsi="Verdana" w:cstheme="minorBidi"/>
          <w:noProof/>
          <w:sz w:val="20"/>
          <w:szCs w:val="20"/>
          <w:lang w:val="bg-BG" w:eastAsia="bg-BG"/>
        </w:rPr>
      </w:pPr>
      <w:hyperlink w:anchor="_Toc395609463" w:history="1">
        <w:r w:rsidR="00E405B5" w:rsidRPr="00E405B5">
          <w:rPr>
            <w:rStyle w:val="Hyperlink"/>
            <w:rFonts w:ascii="Verdana" w:hAnsi="Verdana"/>
            <w:noProof/>
            <w:sz w:val="20"/>
            <w:szCs w:val="20"/>
          </w:rPr>
          <w:t>Фигура 9: Усвояване през 2014-2020 г.</w:t>
        </w:r>
        <w:r w:rsidR="00E405B5" w:rsidRPr="00E405B5">
          <w:rPr>
            <w:rFonts w:ascii="Verdana" w:hAnsi="Verdana"/>
            <w:noProof/>
            <w:webHidden/>
            <w:sz w:val="20"/>
            <w:szCs w:val="20"/>
          </w:rPr>
          <w:tab/>
        </w:r>
        <w:r w:rsidR="00E405B5" w:rsidRPr="00E405B5">
          <w:rPr>
            <w:rFonts w:ascii="Verdana" w:hAnsi="Verdana"/>
            <w:noProof/>
            <w:webHidden/>
            <w:sz w:val="20"/>
            <w:szCs w:val="20"/>
          </w:rPr>
          <w:fldChar w:fldCharType="begin"/>
        </w:r>
        <w:r w:rsidR="00E405B5" w:rsidRPr="00E405B5">
          <w:rPr>
            <w:rFonts w:ascii="Verdana" w:hAnsi="Verdana"/>
            <w:noProof/>
            <w:webHidden/>
            <w:sz w:val="20"/>
            <w:szCs w:val="20"/>
          </w:rPr>
          <w:instrText xml:space="preserve"> PAGEREF _Toc395609463 \h </w:instrText>
        </w:r>
        <w:r w:rsidR="00E405B5" w:rsidRPr="00E405B5">
          <w:rPr>
            <w:rFonts w:ascii="Verdana" w:hAnsi="Verdana"/>
            <w:noProof/>
            <w:webHidden/>
            <w:sz w:val="20"/>
            <w:szCs w:val="20"/>
          </w:rPr>
        </w:r>
        <w:r w:rsidR="00E405B5" w:rsidRPr="00E405B5">
          <w:rPr>
            <w:rFonts w:ascii="Verdana" w:hAnsi="Verdana"/>
            <w:noProof/>
            <w:webHidden/>
            <w:sz w:val="20"/>
            <w:szCs w:val="20"/>
          </w:rPr>
          <w:fldChar w:fldCharType="separate"/>
        </w:r>
        <w:r w:rsidR="001361E0">
          <w:rPr>
            <w:rFonts w:ascii="Verdana" w:hAnsi="Verdana"/>
            <w:noProof/>
            <w:webHidden/>
            <w:sz w:val="20"/>
            <w:szCs w:val="20"/>
          </w:rPr>
          <w:t>158</w:t>
        </w:r>
        <w:r w:rsidR="00E405B5" w:rsidRPr="00E405B5">
          <w:rPr>
            <w:rFonts w:ascii="Verdana" w:hAnsi="Verdana"/>
            <w:noProof/>
            <w:webHidden/>
            <w:sz w:val="20"/>
            <w:szCs w:val="20"/>
          </w:rPr>
          <w:fldChar w:fldCharType="end"/>
        </w:r>
      </w:hyperlink>
    </w:p>
    <w:p w:rsidR="00E405B5" w:rsidRPr="00E405B5" w:rsidRDefault="004020E1">
      <w:pPr>
        <w:pStyle w:val="TableofFigures"/>
        <w:tabs>
          <w:tab w:val="right" w:leader="dot" w:pos="9017"/>
        </w:tabs>
        <w:rPr>
          <w:rFonts w:ascii="Verdana" w:eastAsiaTheme="minorEastAsia" w:hAnsi="Verdana" w:cstheme="minorBidi"/>
          <w:noProof/>
          <w:sz w:val="20"/>
          <w:szCs w:val="20"/>
          <w:lang w:val="bg-BG" w:eastAsia="bg-BG"/>
        </w:rPr>
      </w:pPr>
      <w:hyperlink w:anchor="_Toc395609464" w:history="1">
        <w:r w:rsidR="00E405B5" w:rsidRPr="00E405B5">
          <w:rPr>
            <w:rStyle w:val="Hyperlink"/>
            <w:rFonts w:ascii="Verdana" w:hAnsi="Verdana"/>
            <w:noProof/>
            <w:sz w:val="20"/>
            <w:szCs w:val="20"/>
            <w:lang w:val="bg-BG"/>
          </w:rPr>
          <w:t xml:space="preserve">Фигура </w:t>
        </w:r>
        <w:r w:rsidR="00E405B5" w:rsidRPr="00E405B5">
          <w:rPr>
            <w:rStyle w:val="Hyperlink"/>
            <w:rFonts w:ascii="Verdana" w:hAnsi="Verdana"/>
            <w:noProof/>
            <w:sz w:val="20"/>
            <w:szCs w:val="20"/>
          </w:rPr>
          <w:t>12</w:t>
        </w:r>
        <w:r w:rsidR="00E405B5" w:rsidRPr="00E405B5">
          <w:rPr>
            <w:rStyle w:val="Hyperlink"/>
            <w:rFonts w:ascii="Verdana" w:hAnsi="Verdana"/>
            <w:noProof/>
            <w:sz w:val="20"/>
            <w:szCs w:val="20"/>
            <w:lang w:val="bg-BG"/>
          </w:rPr>
          <w:t>:Разпределение на отговорите за дела на финансиране по ПО</w:t>
        </w:r>
        <w:r w:rsidR="00E405B5" w:rsidRPr="00E405B5">
          <w:rPr>
            <w:rFonts w:ascii="Verdana" w:hAnsi="Verdana"/>
            <w:noProof/>
            <w:webHidden/>
            <w:sz w:val="20"/>
            <w:szCs w:val="20"/>
          </w:rPr>
          <w:tab/>
        </w:r>
        <w:r w:rsidR="00E405B5" w:rsidRPr="00E405B5">
          <w:rPr>
            <w:rFonts w:ascii="Verdana" w:hAnsi="Verdana"/>
            <w:noProof/>
            <w:webHidden/>
            <w:sz w:val="20"/>
            <w:szCs w:val="20"/>
          </w:rPr>
          <w:fldChar w:fldCharType="begin"/>
        </w:r>
        <w:r w:rsidR="00E405B5" w:rsidRPr="00E405B5">
          <w:rPr>
            <w:rFonts w:ascii="Verdana" w:hAnsi="Verdana"/>
            <w:noProof/>
            <w:webHidden/>
            <w:sz w:val="20"/>
            <w:szCs w:val="20"/>
          </w:rPr>
          <w:instrText xml:space="preserve"> PAGEREF _Toc395609464 \h </w:instrText>
        </w:r>
        <w:r w:rsidR="00E405B5" w:rsidRPr="00E405B5">
          <w:rPr>
            <w:rFonts w:ascii="Verdana" w:hAnsi="Verdana"/>
            <w:noProof/>
            <w:webHidden/>
            <w:sz w:val="20"/>
            <w:szCs w:val="20"/>
          </w:rPr>
        </w:r>
        <w:r w:rsidR="00E405B5" w:rsidRPr="00E405B5">
          <w:rPr>
            <w:rFonts w:ascii="Verdana" w:hAnsi="Verdana"/>
            <w:noProof/>
            <w:webHidden/>
            <w:sz w:val="20"/>
            <w:szCs w:val="20"/>
          </w:rPr>
          <w:fldChar w:fldCharType="separate"/>
        </w:r>
        <w:r w:rsidR="001361E0">
          <w:rPr>
            <w:rFonts w:ascii="Verdana" w:hAnsi="Verdana"/>
            <w:noProof/>
            <w:webHidden/>
            <w:sz w:val="20"/>
            <w:szCs w:val="20"/>
          </w:rPr>
          <w:t>159</w:t>
        </w:r>
        <w:r w:rsidR="00E405B5" w:rsidRPr="00E405B5">
          <w:rPr>
            <w:rFonts w:ascii="Verdana" w:hAnsi="Verdana"/>
            <w:noProof/>
            <w:webHidden/>
            <w:sz w:val="20"/>
            <w:szCs w:val="20"/>
          </w:rPr>
          <w:fldChar w:fldCharType="end"/>
        </w:r>
      </w:hyperlink>
    </w:p>
    <w:p w:rsidR="00E405B5" w:rsidRPr="00E405B5" w:rsidRDefault="004020E1">
      <w:pPr>
        <w:pStyle w:val="TableofFigures"/>
        <w:tabs>
          <w:tab w:val="right" w:leader="dot" w:pos="9017"/>
        </w:tabs>
        <w:rPr>
          <w:rFonts w:ascii="Verdana" w:eastAsiaTheme="minorEastAsia" w:hAnsi="Verdana" w:cstheme="minorBidi"/>
          <w:noProof/>
          <w:sz w:val="20"/>
          <w:szCs w:val="20"/>
          <w:lang w:val="bg-BG" w:eastAsia="bg-BG"/>
        </w:rPr>
      </w:pPr>
      <w:hyperlink w:anchor="_Toc395609465" w:history="1">
        <w:r w:rsidR="00E405B5" w:rsidRPr="00E405B5">
          <w:rPr>
            <w:rStyle w:val="Hyperlink"/>
            <w:rFonts w:ascii="Verdana" w:hAnsi="Verdana"/>
            <w:noProof/>
            <w:sz w:val="20"/>
            <w:szCs w:val="20"/>
            <w:lang w:val="bg-BG"/>
          </w:rPr>
          <w:t>Фигура 13: Органиграма на ГДСФМОП</w:t>
        </w:r>
        <w:r w:rsidR="00E405B5" w:rsidRPr="00E405B5">
          <w:rPr>
            <w:rFonts w:ascii="Verdana" w:hAnsi="Verdana"/>
            <w:noProof/>
            <w:webHidden/>
            <w:sz w:val="20"/>
            <w:szCs w:val="20"/>
          </w:rPr>
          <w:tab/>
        </w:r>
        <w:r w:rsidR="00E405B5" w:rsidRPr="00E405B5">
          <w:rPr>
            <w:rFonts w:ascii="Verdana" w:hAnsi="Verdana"/>
            <w:noProof/>
            <w:webHidden/>
            <w:sz w:val="20"/>
            <w:szCs w:val="20"/>
          </w:rPr>
          <w:fldChar w:fldCharType="begin"/>
        </w:r>
        <w:r w:rsidR="00E405B5" w:rsidRPr="00E405B5">
          <w:rPr>
            <w:rFonts w:ascii="Verdana" w:hAnsi="Verdana"/>
            <w:noProof/>
            <w:webHidden/>
            <w:sz w:val="20"/>
            <w:szCs w:val="20"/>
          </w:rPr>
          <w:instrText xml:space="preserve"> PAGEREF _Toc395609465 \h </w:instrText>
        </w:r>
        <w:r w:rsidR="00E405B5" w:rsidRPr="00E405B5">
          <w:rPr>
            <w:rFonts w:ascii="Verdana" w:hAnsi="Verdana"/>
            <w:noProof/>
            <w:webHidden/>
            <w:sz w:val="20"/>
            <w:szCs w:val="20"/>
          </w:rPr>
        </w:r>
        <w:r w:rsidR="00E405B5" w:rsidRPr="00E405B5">
          <w:rPr>
            <w:rFonts w:ascii="Verdana" w:hAnsi="Verdana"/>
            <w:noProof/>
            <w:webHidden/>
            <w:sz w:val="20"/>
            <w:szCs w:val="20"/>
          </w:rPr>
          <w:fldChar w:fldCharType="separate"/>
        </w:r>
        <w:r w:rsidR="001361E0">
          <w:rPr>
            <w:rFonts w:ascii="Verdana" w:hAnsi="Verdana"/>
            <w:noProof/>
            <w:webHidden/>
            <w:sz w:val="20"/>
            <w:szCs w:val="20"/>
          </w:rPr>
          <w:t>168</w:t>
        </w:r>
        <w:r w:rsidR="00E405B5" w:rsidRPr="00E405B5">
          <w:rPr>
            <w:rFonts w:ascii="Verdana" w:hAnsi="Verdana"/>
            <w:noProof/>
            <w:webHidden/>
            <w:sz w:val="20"/>
            <w:szCs w:val="20"/>
          </w:rPr>
          <w:fldChar w:fldCharType="end"/>
        </w:r>
      </w:hyperlink>
    </w:p>
    <w:p w:rsidR="00E405B5" w:rsidRPr="00E405B5" w:rsidRDefault="004020E1">
      <w:pPr>
        <w:pStyle w:val="TableofFigures"/>
        <w:tabs>
          <w:tab w:val="right" w:leader="dot" w:pos="9017"/>
        </w:tabs>
        <w:rPr>
          <w:rFonts w:ascii="Verdana" w:eastAsiaTheme="minorEastAsia" w:hAnsi="Verdana" w:cstheme="minorBidi"/>
          <w:noProof/>
          <w:sz w:val="20"/>
          <w:szCs w:val="20"/>
          <w:lang w:val="bg-BG" w:eastAsia="bg-BG"/>
        </w:rPr>
      </w:pPr>
      <w:hyperlink w:anchor="_Toc395609466" w:history="1">
        <w:r w:rsidR="00E405B5" w:rsidRPr="00E405B5">
          <w:rPr>
            <w:rStyle w:val="Hyperlink"/>
            <w:rFonts w:ascii="Verdana" w:hAnsi="Verdana"/>
            <w:noProof/>
            <w:sz w:val="20"/>
            <w:szCs w:val="20"/>
            <w:lang w:val="bg-BG"/>
          </w:rPr>
          <w:t>Фигура 14: Натоварване на служителите в ГДСФМОП</w:t>
        </w:r>
        <w:r w:rsidR="00E405B5" w:rsidRPr="00E405B5">
          <w:rPr>
            <w:rFonts w:ascii="Verdana" w:hAnsi="Verdana"/>
            <w:noProof/>
            <w:webHidden/>
            <w:sz w:val="20"/>
            <w:szCs w:val="20"/>
          </w:rPr>
          <w:tab/>
        </w:r>
        <w:r w:rsidR="00E405B5" w:rsidRPr="00E405B5">
          <w:rPr>
            <w:rFonts w:ascii="Verdana" w:hAnsi="Verdana"/>
            <w:noProof/>
            <w:webHidden/>
            <w:sz w:val="20"/>
            <w:szCs w:val="20"/>
          </w:rPr>
          <w:fldChar w:fldCharType="begin"/>
        </w:r>
        <w:r w:rsidR="00E405B5" w:rsidRPr="00E405B5">
          <w:rPr>
            <w:rFonts w:ascii="Verdana" w:hAnsi="Verdana"/>
            <w:noProof/>
            <w:webHidden/>
            <w:sz w:val="20"/>
            <w:szCs w:val="20"/>
          </w:rPr>
          <w:instrText xml:space="preserve"> PAGEREF _Toc395609466 \h </w:instrText>
        </w:r>
        <w:r w:rsidR="00E405B5" w:rsidRPr="00E405B5">
          <w:rPr>
            <w:rFonts w:ascii="Verdana" w:hAnsi="Verdana"/>
            <w:noProof/>
            <w:webHidden/>
            <w:sz w:val="20"/>
            <w:szCs w:val="20"/>
          </w:rPr>
        </w:r>
        <w:r w:rsidR="00E405B5" w:rsidRPr="00E405B5">
          <w:rPr>
            <w:rFonts w:ascii="Verdana" w:hAnsi="Verdana"/>
            <w:noProof/>
            <w:webHidden/>
            <w:sz w:val="20"/>
            <w:szCs w:val="20"/>
          </w:rPr>
          <w:fldChar w:fldCharType="separate"/>
        </w:r>
        <w:r w:rsidR="001361E0">
          <w:rPr>
            <w:rFonts w:ascii="Verdana" w:hAnsi="Verdana"/>
            <w:noProof/>
            <w:webHidden/>
            <w:sz w:val="20"/>
            <w:szCs w:val="20"/>
          </w:rPr>
          <w:t>172</w:t>
        </w:r>
        <w:r w:rsidR="00E405B5" w:rsidRPr="00E405B5">
          <w:rPr>
            <w:rFonts w:ascii="Verdana" w:hAnsi="Verdana"/>
            <w:noProof/>
            <w:webHidden/>
            <w:sz w:val="20"/>
            <w:szCs w:val="20"/>
          </w:rPr>
          <w:fldChar w:fldCharType="end"/>
        </w:r>
      </w:hyperlink>
    </w:p>
    <w:p w:rsidR="00E405B5" w:rsidRPr="00E405B5" w:rsidRDefault="004020E1">
      <w:pPr>
        <w:pStyle w:val="TableofFigures"/>
        <w:tabs>
          <w:tab w:val="right" w:leader="dot" w:pos="9017"/>
        </w:tabs>
        <w:rPr>
          <w:rFonts w:ascii="Verdana" w:eastAsiaTheme="minorEastAsia" w:hAnsi="Verdana" w:cstheme="minorBidi"/>
          <w:noProof/>
          <w:sz w:val="20"/>
          <w:szCs w:val="20"/>
          <w:lang w:val="bg-BG" w:eastAsia="bg-BG"/>
        </w:rPr>
      </w:pPr>
      <w:hyperlink w:anchor="_Toc395609467" w:history="1">
        <w:r w:rsidR="00E405B5" w:rsidRPr="00E405B5">
          <w:rPr>
            <w:rStyle w:val="Hyperlink"/>
            <w:rFonts w:ascii="Verdana" w:hAnsi="Verdana"/>
            <w:noProof/>
            <w:sz w:val="20"/>
            <w:szCs w:val="20"/>
          </w:rPr>
          <w:t>Фигура 15: Оценка на рисковете</w:t>
        </w:r>
        <w:r w:rsidR="00E405B5" w:rsidRPr="00E405B5">
          <w:rPr>
            <w:rFonts w:ascii="Verdana" w:hAnsi="Verdana"/>
            <w:noProof/>
            <w:webHidden/>
            <w:sz w:val="20"/>
            <w:szCs w:val="20"/>
          </w:rPr>
          <w:tab/>
        </w:r>
        <w:r w:rsidR="00E405B5" w:rsidRPr="00E405B5">
          <w:rPr>
            <w:rFonts w:ascii="Verdana" w:hAnsi="Verdana"/>
            <w:noProof/>
            <w:webHidden/>
            <w:sz w:val="20"/>
            <w:szCs w:val="20"/>
          </w:rPr>
          <w:fldChar w:fldCharType="begin"/>
        </w:r>
        <w:r w:rsidR="00E405B5" w:rsidRPr="00E405B5">
          <w:rPr>
            <w:rFonts w:ascii="Verdana" w:hAnsi="Verdana"/>
            <w:noProof/>
            <w:webHidden/>
            <w:sz w:val="20"/>
            <w:szCs w:val="20"/>
          </w:rPr>
          <w:instrText xml:space="preserve"> PAGEREF _Toc395609467 \h </w:instrText>
        </w:r>
        <w:r w:rsidR="00E405B5" w:rsidRPr="00E405B5">
          <w:rPr>
            <w:rFonts w:ascii="Verdana" w:hAnsi="Verdana"/>
            <w:noProof/>
            <w:webHidden/>
            <w:sz w:val="20"/>
            <w:szCs w:val="20"/>
          </w:rPr>
        </w:r>
        <w:r w:rsidR="00E405B5" w:rsidRPr="00E405B5">
          <w:rPr>
            <w:rFonts w:ascii="Verdana" w:hAnsi="Verdana"/>
            <w:noProof/>
            <w:webHidden/>
            <w:sz w:val="20"/>
            <w:szCs w:val="20"/>
          </w:rPr>
          <w:fldChar w:fldCharType="separate"/>
        </w:r>
        <w:r w:rsidR="001361E0">
          <w:rPr>
            <w:rFonts w:ascii="Verdana" w:hAnsi="Verdana"/>
            <w:noProof/>
            <w:webHidden/>
            <w:sz w:val="20"/>
            <w:szCs w:val="20"/>
          </w:rPr>
          <w:t>185</w:t>
        </w:r>
        <w:r w:rsidR="00E405B5" w:rsidRPr="00E405B5">
          <w:rPr>
            <w:rFonts w:ascii="Verdana" w:hAnsi="Verdana"/>
            <w:noProof/>
            <w:webHidden/>
            <w:sz w:val="20"/>
            <w:szCs w:val="20"/>
          </w:rPr>
          <w:fldChar w:fldCharType="end"/>
        </w:r>
      </w:hyperlink>
    </w:p>
    <w:p w:rsidR="00E405B5" w:rsidRPr="00E405B5" w:rsidRDefault="004020E1">
      <w:pPr>
        <w:pStyle w:val="TableofFigures"/>
        <w:tabs>
          <w:tab w:val="right" w:leader="dot" w:pos="9017"/>
        </w:tabs>
        <w:rPr>
          <w:rFonts w:ascii="Verdana" w:eastAsiaTheme="minorEastAsia" w:hAnsi="Verdana" w:cstheme="minorBidi"/>
          <w:noProof/>
          <w:sz w:val="20"/>
          <w:szCs w:val="20"/>
          <w:lang w:val="bg-BG" w:eastAsia="bg-BG"/>
        </w:rPr>
      </w:pPr>
      <w:hyperlink w:anchor="_Toc395609468" w:history="1">
        <w:r w:rsidR="00E405B5" w:rsidRPr="00E405B5">
          <w:rPr>
            <w:rStyle w:val="Hyperlink"/>
            <w:rFonts w:ascii="Verdana" w:hAnsi="Verdana"/>
            <w:noProof/>
            <w:sz w:val="20"/>
            <w:szCs w:val="20"/>
          </w:rPr>
          <w:t>Фигура 16: Система за набиране и агрегиране на данни</w:t>
        </w:r>
        <w:r w:rsidR="00E405B5" w:rsidRPr="00E405B5">
          <w:rPr>
            <w:rFonts w:ascii="Verdana" w:hAnsi="Verdana"/>
            <w:noProof/>
            <w:webHidden/>
            <w:sz w:val="20"/>
            <w:szCs w:val="20"/>
          </w:rPr>
          <w:tab/>
        </w:r>
        <w:r w:rsidR="00E405B5" w:rsidRPr="00E405B5">
          <w:rPr>
            <w:rFonts w:ascii="Verdana" w:hAnsi="Verdana"/>
            <w:noProof/>
            <w:webHidden/>
            <w:sz w:val="20"/>
            <w:szCs w:val="20"/>
          </w:rPr>
          <w:fldChar w:fldCharType="begin"/>
        </w:r>
        <w:r w:rsidR="00E405B5" w:rsidRPr="00E405B5">
          <w:rPr>
            <w:rFonts w:ascii="Verdana" w:hAnsi="Verdana"/>
            <w:noProof/>
            <w:webHidden/>
            <w:sz w:val="20"/>
            <w:szCs w:val="20"/>
          </w:rPr>
          <w:instrText xml:space="preserve"> PAGEREF _Toc395609468 \h </w:instrText>
        </w:r>
        <w:r w:rsidR="00E405B5" w:rsidRPr="00E405B5">
          <w:rPr>
            <w:rFonts w:ascii="Verdana" w:hAnsi="Verdana"/>
            <w:noProof/>
            <w:webHidden/>
            <w:sz w:val="20"/>
            <w:szCs w:val="20"/>
          </w:rPr>
        </w:r>
        <w:r w:rsidR="00E405B5" w:rsidRPr="00E405B5">
          <w:rPr>
            <w:rFonts w:ascii="Verdana" w:hAnsi="Verdana"/>
            <w:noProof/>
            <w:webHidden/>
            <w:sz w:val="20"/>
            <w:szCs w:val="20"/>
          </w:rPr>
          <w:fldChar w:fldCharType="separate"/>
        </w:r>
        <w:r w:rsidR="001361E0">
          <w:rPr>
            <w:rFonts w:ascii="Verdana" w:hAnsi="Verdana"/>
            <w:noProof/>
            <w:webHidden/>
            <w:sz w:val="20"/>
            <w:szCs w:val="20"/>
          </w:rPr>
          <w:t>190</w:t>
        </w:r>
        <w:r w:rsidR="00E405B5" w:rsidRPr="00E405B5">
          <w:rPr>
            <w:rFonts w:ascii="Verdana" w:hAnsi="Verdana"/>
            <w:noProof/>
            <w:webHidden/>
            <w:sz w:val="20"/>
            <w:szCs w:val="20"/>
          </w:rPr>
          <w:fldChar w:fldCharType="end"/>
        </w:r>
      </w:hyperlink>
    </w:p>
    <w:p w:rsidR="00ED77E9" w:rsidRPr="00E405B5" w:rsidRDefault="00BF1936" w:rsidP="00E816E5">
      <w:pPr>
        <w:spacing w:after="0" w:line="240" w:lineRule="auto"/>
        <w:ind w:left="1170" w:hanging="1170"/>
        <w:jc w:val="both"/>
        <w:rPr>
          <w:rFonts w:ascii="Verdana" w:hAnsi="Verdana"/>
          <w:sz w:val="20"/>
          <w:szCs w:val="20"/>
          <w:lang w:val="bg-BG"/>
        </w:rPr>
        <w:sectPr w:rsidR="00ED77E9" w:rsidRPr="00E405B5" w:rsidSect="00C826F7">
          <w:pgSz w:w="11907" w:h="16839" w:code="9"/>
          <w:pgMar w:top="2077" w:right="1440" w:bottom="1440" w:left="1440" w:header="720" w:footer="244" w:gutter="0"/>
          <w:cols w:space="720"/>
          <w:docGrid w:linePitch="360"/>
        </w:sectPr>
      </w:pPr>
      <w:r w:rsidRPr="00E405B5">
        <w:rPr>
          <w:rFonts w:ascii="Verdana" w:hAnsi="Verdana"/>
          <w:sz w:val="20"/>
          <w:szCs w:val="20"/>
          <w:lang w:val="bg-BG"/>
        </w:rPr>
        <w:fldChar w:fldCharType="end"/>
      </w:r>
    </w:p>
    <w:p w:rsidR="00ED77E9" w:rsidRPr="004E1162" w:rsidRDefault="00ED77E9" w:rsidP="00ED77E9">
      <w:pPr>
        <w:pStyle w:val="Heading1"/>
        <w:shd w:val="clear" w:color="auto" w:fill="0063B8"/>
        <w:tabs>
          <w:tab w:val="num" w:pos="720"/>
        </w:tabs>
        <w:spacing w:before="0"/>
        <w:ind w:left="720" w:hanging="720"/>
        <w:rPr>
          <w:rFonts w:ascii="Verdana" w:hAnsi="Verdana"/>
          <w:b w:val="0"/>
          <w:color w:val="FFFFFF"/>
          <w:lang w:val="bg-BG"/>
        </w:rPr>
      </w:pPr>
      <w:bookmarkStart w:id="25" w:name="_Toc362617877"/>
      <w:bookmarkStart w:id="26" w:name="_Toc379372138"/>
      <w:bookmarkStart w:id="27" w:name="_Toc395612506"/>
      <w:r w:rsidRPr="004E1162">
        <w:rPr>
          <w:rFonts w:ascii="Verdana" w:hAnsi="Verdana"/>
          <w:b w:val="0"/>
          <w:color w:val="FFFFFF"/>
          <w:lang w:val="bg-BG"/>
        </w:rPr>
        <w:lastRenderedPageBreak/>
        <w:t>Резюме</w:t>
      </w:r>
      <w:bookmarkEnd w:id="25"/>
      <w:bookmarkEnd w:id="26"/>
      <w:bookmarkEnd w:id="27"/>
    </w:p>
    <w:p w:rsidR="00ED77E9" w:rsidRDefault="00ED77E9" w:rsidP="00ED77E9">
      <w:pPr>
        <w:spacing w:before="600" w:after="120"/>
        <w:jc w:val="both"/>
        <w:rPr>
          <w:rFonts w:ascii="Verdana" w:hAnsi="Verdana"/>
          <w:sz w:val="20"/>
          <w:szCs w:val="20"/>
          <w:lang w:val="bg-BG"/>
        </w:rPr>
      </w:pPr>
      <w:r w:rsidRPr="001E2087">
        <w:rPr>
          <w:rFonts w:ascii="Verdana" w:hAnsi="Verdana"/>
          <w:sz w:val="20"/>
          <w:szCs w:val="20"/>
          <w:lang w:val="bg-BG"/>
        </w:rPr>
        <w:t xml:space="preserve">Предварителната оценка </w:t>
      </w:r>
      <w:r>
        <w:rPr>
          <w:rFonts w:ascii="Verdana" w:hAnsi="Verdana"/>
          <w:sz w:val="20"/>
          <w:szCs w:val="20"/>
          <w:lang w:val="bg-BG"/>
        </w:rPr>
        <w:t xml:space="preserve">на Оперативна програма „Наука и образование за интелигентен растеж“ 2014-2020 г. е проведена като </w:t>
      </w:r>
      <w:r w:rsidRPr="00673EC1">
        <w:rPr>
          <w:rFonts w:ascii="Verdana" w:hAnsi="Verdana"/>
          <w:sz w:val="20"/>
          <w:szCs w:val="20"/>
          <w:lang w:val="bg-BG"/>
        </w:rPr>
        <w:t xml:space="preserve">част от задължителните дейности по програмирането на </w:t>
      </w:r>
      <w:r>
        <w:rPr>
          <w:rFonts w:ascii="Verdana" w:hAnsi="Verdana"/>
          <w:sz w:val="20"/>
          <w:szCs w:val="20"/>
          <w:lang w:val="bg-BG"/>
        </w:rPr>
        <w:t xml:space="preserve">оперативната програма. Оценката имаше за цел да подкрепи и способства за </w:t>
      </w:r>
      <w:r w:rsidRPr="00F85976">
        <w:rPr>
          <w:rFonts w:ascii="Verdana" w:hAnsi="Verdana"/>
          <w:sz w:val="20"/>
          <w:szCs w:val="20"/>
          <w:lang w:val="bg-BG"/>
        </w:rPr>
        <w:t>подобряване качест</w:t>
      </w:r>
      <w:r>
        <w:rPr>
          <w:rFonts w:ascii="Verdana" w:hAnsi="Verdana"/>
          <w:sz w:val="20"/>
          <w:szCs w:val="20"/>
          <w:lang w:val="bg-BG"/>
        </w:rPr>
        <w:t>вото на процеса на програмиране</w:t>
      </w:r>
      <w:r w:rsidRPr="00F85976">
        <w:rPr>
          <w:rFonts w:ascii="Verdana" w:hAnsi="Verdana"/>
          <w:sz w:val="20"/>
          <w:szCs w:val="20"/>
          <w:lang w:val="bg-BG"/>
        </w:rPr>
        <w:t xml:space="preserve"> съгласно изискванията на Общия регламент за фондовете от общата стратегическа рамка</w:t>
      </w:r>
      <w:r>
        <w:rPr>
          <w:rFonts w:ascii="Verdana" w:hAnsi="Verdana"/>
          <w:sz w:val="20"/>
          <w:szCs w:val="20"/>
          <w:lang w:val="bg-BG"/>
        </w:rPr>
        <w:t xml:space="preserve"> (1303/2013)</w:t>
      </w:r>
      <w:r w:rsidRPr="00F85976">
        <w:rPr>
          <w:rFonts w:ascii="Verdana" w:hAnsi="Verdana"/>
          <w:sz w:val="20"/>
          <w:szCs w:val="20"/>
          <w:lang w:val="bg-BG"/>
        </w:rPr>
        <w:t>.</w:t>
      </w:r>
    </w:p>
    <w:p w:rsidR="000660BD" w:rsidRPr="000660BD" w:rsidRDefault="000660BD" w:rsidP="000660BD">
      <w:pPr>
        <w:jc w:val="both"/>
        <w:rPr>
          <w:rFonts w:ascii="Verdana" w:hAnsi="Verdana"/>
          <w:sz w:val="20"/>
          <w:szCs w:val="20"/>
          <w:lang w:val="bg-BG"/>
        </w:rPr>
      </w:pPr>
      <w:r>
        <w:rPr>
          <w:rFonts w:ascii="Verdana" w:hAnsi="Verdana"/>
          <w:sz w:val="20"/>
          <w:szCs w:val="20"/>
          <w:lang w:val="bg-BG"/>
        </w:rPr>
        <w:t>Оценката е финансирана</w:t>
      </w:r>
      <w:r w:rsidRPr="000660BD">
        <w:rPr>
          <w:rFonts w:ascii="Verdana" w:hAnsi="Verdana"/>
          <w:sz w:val="20"/>
          <w:szCs w:val="20"/>
          <w:lang w:val="bg-BG"/>
        </w:rPr>
        <w:t xml:space="preserve"> по</w:t>
      </w:r>
      <w:r>
        <w:rPr>
          <w:rFonts w:ascii="Verdana" w:hAnsi="Verdana"/>
          <w:sz w:val="20"/>
          <w:szCs w:val="20"/>
          <w:lang w:val="bg-BG"/>
        </w:rPr>
        <w:t xml:space="preserve"> проект BG051PO001-8.1-01-0001 </w:t>
      </w:r>
      <w:r w:rsidRPr="000660BD">
        <w:rPr>
          <w:rFonts w:ascii="Verdana" w:hAnsi="Verdana"/>
          <w:i/>
          <w:sz w:val="20"/>
          <w:szCs w:val="20"/>
          <w:lang w:val="bg-BG"/>
        </w:rPr>
        <w:t>Подкрепа на Главна дирекция „Структурни фондове и международни образователни програми” в Министерството на образованието и науката за успешното управление на приоритетни оси 3 и 4 на Оперативна програма „Развитие на човешките ресурси</w:t>
      </w:r>
      <w:r w:rsidRPr="000660BD">
        <w:rPr>
          <w:rFonts w:ascii="Verdana" w:hAnsi="Verdana"/>
          <w:sz w:val="20"/>
          <w:szCs w:val="20"/>
          <w:lang w:val="bg-BG"/>
        </w:rPr>
        <w:t>”, който се осъществява с финансовата подкрепа на Оперативна програма „Развитие на човешките ресурси”, съфинансирана от Европейския социален фонд на Европейския съюз.</w:t>
      </w:r>
    </w:p>
    <w:p w:rsidR="00ED77E9" w:rsidRDefault="00ED77E9" w:rsidP="00ED77E9">
      <w:pPr>
        <w:jc w:val="both"/>
        <w:rPr>
          <w:rFonts w:ascii="Verdana" w:hAnsi="Verdana"/>
          <w:sz w:val="20"/>
          <w:szCs w:val="20"/>
          <w:lang w:val="bg-BG"/>
        </w:rPr>
      </w:pPr>
      <w:r>
        <w:rPr>
          <w:rFonts w:ascii="Verdana" w:hAnsi="Verdana"/>
          <w:sz w:val="20"/>
          <w:szCs w:val="20"/>
          <w:lang w:val="bg-BG"/>
        </w:rPr>
        <w:t>Докладът за оценка, от който това резюме е неразделна част,</w:t>
      </w:r>
      <w:r w:rsidRPr="002638C5">
        <w:rPr>
          <w:rFonts w:ascii="Verdana" w:hAnsi="Verdana"/>
          <w:sz w:val="20"/>
          <w:szCs w:val="20"/>
          <w:lang w:val="bg-BG"/>
        </w:rPr>
        <w:t xml:space="preserve"> отра</w:t>
      </w:r>
      <w:r>
        <w:rPr>
          <w:rFonts w:ascii="Verdana" w:hAnsi="Verdana"/>
          <w:sz w:val="20"/>
          <w:szCs w:val="20"/>
          <w:lang w:val="bg-BG"/>
        </w:rPr>
        <w:t>зява мнението и препоръките на к</w:t>
      </w:r>
      <w:r w:rsidRPr="002638C5">
        <w:rPr>
          <w:rFonts w:ascii="Verdana" w:hAnsi="Verdana"/>
          <w:sz w:val="20"/>
          <w:szCs w:val="20"/>
          <w:lang w:val="bg-BG"/>
        </w:rPr>
        <w:t xml:space="preserve">онсултанта по последната предоставена версия на текста на </w:t>
      </w:r>
      <w:r>
        <w:rPr>
          <w:rFonts w:ascii="Verdana" w:hAnsi="Verdana"/>
          <w:sz w:val="20"/>
          <w:szCs w:val="20"/>
          <w:lang w:val="bg-BG"/>
        </w:rPr>
        <w:t>оперативната програма</w:t>
      </w:r>
      <w:r>
        <w:rPr>
          <w:rFonts w:ascii="Verdana" w:hAnsi="Verdana"/>
          <w:sz w:val="20"/>
          <w:szCs w:val="20"/>
        </w:rPr>
        <w:t xml:space="preserve"> </w:t>
      </w:r>
      <w:r w:rsidRPr="00CE476B">
        <w:rPr>
          <w:rFonts w:ascii="Verdana" w:hAnsi="Verdana"/>
          <w:sz w:val="20"/>
          <w:szCs w:val="20"/>
          <w:lang w:val="bg-BG"/>
        </w:rPr>
        <w:t xml:space="preserve">от </w:t>
      </w:r>
      <w:r>
        <w:rPr>
          <w:rFonts w:ascii="Verdana" w:hAnsi="Verdana"/>
          <w:sz w:val="20"/>
          <w:lang w:val="bg-BG"/>
        </w:rPr>
        <w:t xml:space="preserve">май 2014 </w:t>
      </w:r>
      <w:r w:rsidRPr="00013377">
        <w:rPr>
          <w:rFonts w:ascii="Verdana" w:hAnsi="Verdana"/>
          <w:sz w:val="20"/>
          <w:lang w:val="bg-BG"/>
        </w:rPr>
        <w:t>г.</w:t>
      </w:r>
      <w:r>
        <w:rPr>
          <w:rFonts w:ascii="Verdana" w:hAnsi="Verdana"/>
          <w:sz w:val="20"/>
        </w:rPr>
        <w:t xml:space="preserve"> </w:t>
      </w:r>
      <w:r>
        <w:rPr>
          <w:rFonts w:ascii="Verdana" w:hAnsi="Verdana"/>
          <w:sz w:val="20"/>
          <w:szCs w:val="20"/>
          <w:lang w:val="bg-BG"/>
        </w:rPr>
        <w:t>Анализите в оценката са структурирани съгласно заданието на възложителя и въпросите за оценка в следните глави/оценки:</w:t>
      </w:r>
    </w:p>
    <w:p w:rsidR="00ED77E9" w:rsidRPr="00DA71DD" w:rsidRDefault="00ED77E9" w:rsidP="00ED77E9">
      <w:pPr>
        <w:pStyle w:val="ListParagraph"/>
        <w:numPr>
          <w:ilvl w:val="0"/>
          <w:numId w:val="66"/>
        </w:numPr>
        <w:jc w:val="both"/>
        <w:rPr>
          <w:rFonts w:ascii="Verdana" w:hAnsi="Verdana"/>
          <w:sz w:val="20"/>
          <w:szCs w:val="20"/>
          <w:lang w:val="bg-BG"/>
        </w:rPr>
      </w:pPr>
      <w:r w:rsidRPr="00DA71DD">
        <w:rPr>
          <w:rFonts w:ascii="Verdana" w:hAnsi="Verdana"/>
          <w:sz w:val="20"/>
          <w:szCs w:val="20"/>
          <w:lang w:val="bg-BG"/>
        </w:rPr>
        <w:t>Оценка на външната съгласуваност</w:t>
      </w:r>
      <w:r>
        <w:rPr>
          <w:rFonts w:ascii="Verdana" w:hAnsi="Verdana"/>
          <w:sz w:val="20"/>
          <w:szCs w:val="20"/>
          <w:lang w:val="bg-BG"/>
        </w:rPr>
        <w:t>;</w:t>
      </w:r>
    </w:p>
    <w:p w:rsidR="00ED77E9" w:rsidRPr="00DA71DD" w:rsidRDefault="00ED77E9" w:rsidP="00ED77E9">
      <w:pPr>
        <w:pStyle w:val="ListParagraph"/>
        <w:numPr>
          <w:ilvl w:val="0"/>
          <w:numId w:val="66"/>
        </w:numPr>
        <w:jc w:val="both"/>
        <w:rPr>
          <w:rFonts w:ascii="Verdana" w:hAnsi="Verdana"/>
          <w:sz w:val="20"/>
          <w:szCs w:val="20"/>
          <w:lang w:val="bg-BG"/>
        </w:rPr>
      </w:pPr>
      <w:r w:rsidRPr="00DA71DD">
        <w:rPr>
          <w:rFonts w:ascii="Verdana" w:hAnsi="Verdana"/>
          <w:sz w:val="20"/>
          <w:szCs w:val="20"/>
          <w:lang w:val="bg-BG"/>
        </w:rPr>
        <w:t>Оценка на вътрешната съгласуваност</w:t>
      </w:r>
      <w:r>
        <w:rPr>
          <w:rFonts w:ascii="Verdana" w:hAnsi="Verdana"/>
          <w:sz w:val="20"/>
          <w:szCs w:val="20"/>
          <w:lang w:val="bg-BG"/>
        </w:rPr>
        <w:t>;</w:t>
      </w:r>
    </w:p>
    <w:p w:rsidR="00ED77E9" w:rsidRDefault="00ED77E9" w:rsidP="00ED77E9">
      <w:pPr>
        <w:pStyle w:val="ListParagraph"/>
        <w:numPr>
          <w:ilvl w:val="0"/>
          <w:numId w:val="66"/>
        </w:numPr>
        <w:jc w:val="both"/>
        <w:rPr>
          <w:rFonts w:ascii="Verdana" w:hAnsi="Verdana"/>
          <w:sz w:val="20"/>
          <w:szCs w:val="20"/>
          <w:lang w:val="bg-BG"/>
        </w:rPr>
      </w:pPr>
      <w:r w:rsidRPr="00DA71DD">
        <w:rPr>
          <w:rFonts w:ascii="Verdana" w:hAnsi="Verdana"/>
          <w:sz w:val="20"/>
          <w:szCs w:val="20"/>
          <w:lang w:val="bg-BG"/>
        </w:rPr>
        <w:t xml:space="preserve">Оценка на </w:t>
      </w:r>
      <w:r>
        <w:rPr>
          <w:rFonts w:ascii="Verdana" w:hAnsi="Verdana"/>
          <w:sz w:val="20"/>
          <w:szCs w:val="20"/>
          <w:lang w:val="bg-BG"/>
        </w:rPr>
        <w:t>системата от</w:t>
      </w:r>
      <w:r w:rsidRPr="00DA71DD">
        <w:rPr>
          <w:rFonts w:ascii="Verdana" w:hAnsi="Verdana"/>
          <w:sz w:val="20"/>
          <w:szCs w:val="20"/>
          <w:lang w:val="bg-BG"/>
        </w:rPr>
        <w:t xml:space="preserve"> индикатори</w:t>
      </w:r>
      <w:r>
        <w:rPr>
          <w:rFonts w:ascii="Verdana" w:hAnsi="Verdana"/>
          <w:sz w:val="20"/>
          <w:szCs w:val="20"/>
          <w:lang w:val="bg-BG"/>
        </w:rPr>
        <w:t>;</w:t>
      </w:r>
    </w:p>
    <w:p w:rsidR="00ED77E9" w:rsidRPr="00DA71DD" w:rsidRDefault="00ED77E9" w:rsidP="00ED77E9">
      <w:pPr>
        <w:pStyle w:val="ListParagraph"/>
        <w:numPr>
          <w:ilvl w:val="0"/>
          <w:numId w:val="66"/>
        </w:numPr>
        <w:jc w:val="both"/>
        <w:rPr>
          <w:rFonts w:ascii="Verdana" w:hAnsi="Verdana"/>
          <w:sz w:val="20"/>
          <w:szCs w:val="20"/>
          <w:lang w:val="bg-BG"/>
        </w:rPr>
      </w:pPr>
      <w:r>
        <w:rPr>
          <w:rFonts w:ascii="Verdana" w:hAnsi="Verdana"/>
          <w:sz w:val="20"/>
          <w:szCs w:val="20"/>
          <w:lang w:val="bg-BG"/>
        </w:rPr>
        <w:t>Оценка на финансовото разпределение на програмата;</w:t>
      </w:r>
    </w:p>
    <w:p w:rsidR="00ED77E9" w:rsidRPr="00DA71DD" w:rsidRDefault="00ED77E9" w:rsidP="00ED77E9">
      <w:pPr>
        <w:pStyle w:val="ListParagraph"/>
        <w:numPr>
          <w:ilvl w:val="0"/>
          <w:numId w:val="66"/>
        </w:numPr>
        <w:jc w:val="both"/>
        <w:rPr>
          <w:rFonts w:ascii="Verdana" w:hAnsi="Verdana"/>
          <w:sz w:val="20"/>
          <w:szCs w:val="20"/>
          <w:lang w:val="bg-BG"/>
        </w:rPr>
      </w:pPr>
      <w:r w:rsidRPr="00DA71DD">
        <w:rPr>
          <w:rFonts w:ascii="Verdana" w:hAnsi="Verdana"/>
          <w:sz w:val="20"/>
          <w:szCs w:val="20"/>
          <w:lang w:val="bg-BG"/>
        </w:rPr>
        <w:t>Оценка на административния капацитет</w:t>
      </w:r>
      <w:r>
        <w:rPr>
          <w:rFonts w:ascii="Verdana" w:hAnsi="Verdana"/>
          <w:sz w:val="20"/>
          <w:szCs w:val="20"/>
          <w:lang w:val="bg-BG"/>
        </w:rPr>
        <w:t>;</w:t>
      </w:r>
    </w:p>
    <w:p w:rsidR="00ED77E9" w:rsidRDefault="00ED77E9" w:rsidP="00ED77E9">
      <w:pPr>
        <w:spacing w:before="120" w:after="120"/>
        <w:jc w:val="both"/>
        <w:rPr>
          <w:rFonts w:ascii="Verdana" w:hAnsi="Verdana"/>
          <w:sz w:val="20"/>
          <w:szCs w:val="20"/>
          <w:lang w:val="bg-BG"/>
        </w:rPr>
      </w:pPr>
      <w:r>
        <w:rPr>
          <w:rFonts w:ascii="Verdana" w:hAnsi="Verdana"/>
          <w:sz w:val="20"/>
          <w:szCs w:val="20"/>
          <w:lang w:val="bg-BG"/>
        </w:rPr>
        <w:t xml:space="preserve">Оценката съдържа 6 приложения както следва: източници на информация (Приложение 1), проведени срещи и фокус групи (Приложение 2), </w:t>
      </w:r>
      <w:proofErr w:type="spellStart"/>
      <w:r>
        <w:rPr>
          <w:rFonts w:ascii="Verdana" w:hAnsi="Verdana"/>
          <w:sz w:val="20"/>
          <w:szCs w:val="20"/>
          <w:lang w:val="bg-BG"/>
        </w:rPr>
        <w:t>провед</w:t>
      </w:r>
      <w:proofErr w:type="spellEnd"/>
      <w:r>
        <w:rPr>
          <w:rFonts w:ascii="Verdana" w:hAnsi="Verdana"/>
          <w:sz w:val="20"/>
          <w:szCs w:val="20"/>
        </w:rPr>
        <w:t>e</w:t>
      </w:r>
      <w:r>
        <w:rPr>
          <w:rFonts w:ascii="Verdana" w:hAnsi="Verdana"/>
          <w:sz w:val="20"/>
          <w:szCs w:val="20"/>
          <w:lang w:val="bg-BG"/>
        </w:rPr>
        <w:t>ни онлайн проучвания (Приложения 3 и 4),  логика на интервенция на програмата (Приложение 5) и фишове на индикаторите (Приложение 6).</w:t>
      </w:r>
    </w:p>
    <w:p w:rsidR="00ED77E9" w:rsidRPr="005568C8" w:rsidRDefault="00ED77E9" w:rsidP="00ED77E9">
      <w:pPr>
        <w:spacing w:before="120" w:after="120"/>
        <w:jc w:val="both"/>
        <w:rPr>
          <w:rFonts w:ascii="Verdana" w:hAnsi="Verdana"/>
          <w:sz w:val="20"/>
          <w:szCs w:val="20"/>
          <w:lang w:val="bg-BG"/>
        </w:rPr>
      </w:pPr>
      <w:r>
        <w:rPr>
          <w:rFonts w:ascii="Verdana" w:hAnsi="Verdana"/>
          <w:sz w:val="20"/>
          <w:szCs w:val="20"/>
          <w:lang w:val="bg-BG"/>
        </w:rPr>
        <w:t xml:space="preserve">Оценката е осъществена в тясно сътрудничество с възложителя - Главна Дирекция „Структурни фондове и международни образователни програми“  в Министерство на образованието и науката, която е Управляващ орган на </w:t>
      </w:r>
      <w:r w:rsidR="0028576E">
        <w:rPr>
          <w:rFonts w:ascii="Verdana" w:hAnsi="Verdana"/>
          <w:sz w:val="20"/>
          <w:szCs w:val="20"/>
          <w:lang w:val="bg-BG"/>
        </w:rPr>
        <w:t>о</w:t>
      </w:r>
      <w:r>
        <w:rPr>
          <w:rFonts w:ascii="Verdana" w:hAnsi="Verdana"/>
          <w:sz w:val="20"/>
          <w:szCs w:val="20"/>
          <w:lang w:val="bg-BG"/>
        </w:rPr>
        <w:t>перативната програма. Посредством срещи, онлайн проучвания и фокус групи е отчетено мнението на други ключови заинтересовани страни като: Работната група за подготовка на програмата, дирекции в Министерство на образованието и науката, представители на научни организации, висшето, училищното и предучилищното образование, неправителствени организации и потенциални бенефициенти на програмата. За осъществяването на оценката са използвани количествени и качествени методи за набиране на информация и оценка както следва:</w:t>
      </w:r>
      <w:r>
        <w:rPr>
          <w:rFonts w:ascii="Verdana" w:hAnsi="Verdana"/>
          <w:sz w:val="20"/>
          <w:szCs w:val="20"/>
        </w:rPr>
        <w:t xml:space="preserve"> </w:t>
      </w:r>
      <w:r>
        <w:rPr>
          <w:rFonts w:ascii="Verdana" w:hAnsi="Verdana"/>
          <w:sz w:val="20"/>
          <w:szCs w:val="20"/>
          <w:lang w:val="bg-BG"/>
        </w:rPr>
        <w:t>к</w:t>
      </w:r>
      <w:r w:rsidRPr="005568C8">
        <w:rPr>
          <w:rFonts w:ascii="Verdana" w:hAnsi="Verdana"/>
          <w:sz w:val="20"/>
          <w:szCs w:val="20"/>
          <w:lang w:val="bg-BG"/>
        </w:rPr>
        <w:t>абинетно проучване на документи и данни</w:t>
      </w:r>
      <w:r>
        <w:rPr>
          <w:rFonts w:ascii="Verdana" w:hAnsi="Verdana"/>
          <w:sz w:val="20"/>
          <w:szCs w:val="20"/>
          <w:lang w:val="bg-BG"/>
        </w:rPr>
        <w:t>; и</w:t>
      </w:r>
      <w:r w:rsidRPr="005568C8">
        <w:rPr>
          <w:rFonts w:ascii="Verdana" w:hAnsi="Verdana"/>
          <w:sz w:val="20"/>
          <w:szCs w:val="20"/>
          <w:lang w:val="bg-BG"/>
        </w:rPr>
        <w:t>нтервюта</w:t>
      </w:r>
      <w:r>
        <w:rPr>
          <w:rFonts w:ascii="Verdana" w:hAnsi="Verdana"/>
          <w:sz w:val="20"/>
          <w:szCs w:val="20"/>
          <w:lang w:val="bg-BG"/>
        </w:rPr>
        <w:t>; о</w:t>
      </w:r>
      <w:r w:rsidRPr="005568C8">
        <w:rPr>
          <w:rFonts w:ascii="Verdana" w:hAnsi="Verdana"/>
          <w:sz w:val="20"/>
          <w:szCs w:val="20"/>
          <w:lang w:val="bg-BG"/>
        </w:rPr>
        <w:t>нлайн въпросници</w:t>
      </w:r>
      <w:r>
        <w:rPr>
          <w:rFonts w:ascii="Verdana" w:hAnsi="Verdana"/>
          <w:sz w:val="20"/>
          <w:szCs w:val="20"/>
          <w:lang w:val="bg-BG"/>
        </w:rPr>
        <w:t>; ф</w:t>
      </w:r>
      <w:r w:rsidRPr="005568C8">
        <w:rPr>
          <w:rFonts w:ascii="Verdana" w:hAnsi="Verdana"/>
          <w:sz w:val="20"/>
          <w:szCs w:val="20"/>
          <w:lang w:val="bg-BG"/>
        </w:rPr>
        <w:t>окус групи</w:t>
      </w:r>
      <w:r>
        <w:rPr>
          <w:rFonts w:ascii="Verdana" w:hAnsi="Verdana"/>
          <w:sz w:val="20"/>
          <w:szCs w:val="20"/>
          <w:lang w:val="bg-BG"/>
        </w:rPr>
        <w:t>; а</w:t>
      </w:r>
      <w:r w:rsidRPr="005568C8">
        <w:rPr>
          <w:rFonts w:ascii="Verdana" w:hAnsi="Verdana"/>
          <w:sz w:val="20"/>
          <w:szCs w:val="20"/>
          <w:lang w:val="bg-BG"/>
        </w:rPr>
        <w:t xml:space="preserve">нализ на заинтересованите </w:t>
      </w:r>
      <w:r w:rsidRPr="005568C8">
        <w:rPr>
          <w:rFonts w:ascii="Verdana" w:hAnsi="Verdana"/>
          <w:sz w:val="20"/>
          <w:szCs w:val="20"/>
          <w:lang w:val="bg-BG"/>
        </w:rPr>
        <w:lastRenderedPageBreak/>
        <w:t>страни</w:t>
      </w:r>
      <w:r>
        <w:rPr>
          <w:rFonts w:ascii="Verdana" w:hAnsi="Verdana"/>
          <w:sz w:val="20"/>
          <w:szCs w:val="20"/>
          <w:lang w:val="bg-BG"/>
        </w:rPr>
        <w:t>; д</w:t>
      </w:r>
      <w:r w:rsidRPr="005568C8">
        <w:rPr>
          <w:rFonts w:ascii="Verdana" w:hAnsi="Verdana"/>
          <w:sz w:val="20"/>
          <w:szCs w:val="20"/>
          <w:lang w:val="bg-BG"/>
        </w:rPr>
        <w:t>ърво на целите</w:t>
      </w:r>
      <w:r>
        <w:rPr>
          <w:rFonts w:ascii="Verdana" w:hAnsi="Verdana"/>
          <w:sz w:val="20"/>
          <w:szCs w:val="20"/>
          <w:lang w:val="bg-BG"/>
        </w:rPr>
        <w:t>; а</w:t>
      </w:r>
      <w:r w:rsidRPr="005568C8">
        <w:rPr>
          <w:rFonts w:ascii="Verdana" w:hAnsi="Verdana"/>
          <w:sz w:val="20"/>
          <w:szCs w:val="20"/>
          <w:lang w:val="bg-BG"/>
        </w:rPr>
        <w:t>нализ на логиката на интервенция</w:t>
      </w:r>
      <w:r>
        <w:rPr>
          <w:rFonts w:ascii="Verdana" w:hAnsi="Verdana"/>
          <w:sz w:val="20"/>
          <w:szCs w:val="20"/>
          <w:lang w:val="bg-BG"/>
        </w:rPr>
        <w:t>; с</w:t>
      </w:r>
      <w:r w:rsidRPr="005568C8">
        <w:rPr>
          <w:rFonts w:ascii="Verdana" w:hAnsi="Verdana"/>
          <w:sz w:val="20"/>
          <w:szCs w:val="20"/>
          <w:lang w:val="bg-BG"/>
        </w:rPr>
        <w:t>равнителен анализ</w:t>
      </w:r>
      <w:r>
        <w:rPr>
          <w:rFonts w:ascii="Verdana" w:hAnsi="Verdana"/>
          <w:sz w:val="20"/>
          <w:szCs w:val="20"/>
          <w:lang w:val="bg-BG"/>
        </w:rPr>
        <w:t>; а</w:t>
      </w:r>
      <w:r w:rsidRPr="005568C8">
        <w:rPr>
          <w:rFonts w:ascii="Verdana" w:hAnsi="Verdana"/>
          <w:sz w:val="20"/>
          <w:szCs w:val="20"/>
          <w:lang w:val="bg-BG"/>
        </w:rPr>
        <w:t>нализ на работното натоварване</w:t>
      </w:r>
      <w:r>
        <w:rPr>
          <w:rFonts w:ascii="Verdana" w:hAnsi="Verdana"/>
          <w:sz w:val="20"/>
          <w:szCs w:val="20"/>
          <w:lang w:val="bg-BG"/>
        </w:rPr>
        <w:t>; а</w:t>
      </w:r>
      <w:r w:rsidRPr="005568C8">
        <w:rPr>
          <w:rFonts w:ascii="Verdana" w:hAnsi="Verdana"/>
          <w:sz w:val="20"/>
          <w:szCs w:val="20"/>
          <w:lang w:val="bg-BG"/>
        </w:rPr>
        <w:t>нализ на рисковете</w:t>
      </w:r>
      <w:r>
        <w:rPr>
          <w:rFonts w:ascii="Verdana" w:hAnsi="Verdana"/>
          <w:sz w:val="20"/>
          <w:szCs w:val="20"/>
          <w:lang w:val="bg-BG"/>
        </w:rPr>
        <w:t>; ф</w:t>
      </w:r>
      <w:r w:rsidRPr="005568C8">
        <w:rPr>
          <w:rFonts w:ascii="Verdana" w:hAnsi="Verdana"/>
          <w:sz w:val="20"/>
          <w:szCs w:val="20"/>
          <w:lang w:val="bg-BG"/>
        </w:rPr>
        <w:t>инансово–правен анализ</w:t>
      </w:r>
      <w:r>
        <w:rPr>
          <w:rFonts w:ascii="Verdana" w:hAnsi="Verdana"/>
          <w:sz w:val="20"/>
          <w:szCs w:val="20"/>
          <w:lang w:val="bg-BG"/>
        </w:rPr>
        <w:t xml:space="preserve">; </w:t>
      </w:r>
      <w:r w:rsidRPr="005568C8">
        <w:rPr>
          <w:rFonts w:ascii="Verdana" w:hAnsi="Verdana"/>
          <w:sz w:val="20"/>
          <w:szCs w:val="20"/>
        </w:rPr>
        <w:t>SMART</w:t>
      </w:r>
      <w:r w:rsidRPr="005568C8">
        <w:rPr>
          <w:rFonts w:ascii="Verdana" w:hAnsi="Verdana"/>
          <w:sz w:val="20"/>
          <w:szCs w:val="20"/>
          <w:lang w:val="bg-BG"/>
        </w:rPr>
        <w:t>анализ на индикатори</w:t>
      </w:r>
      <w:r>
        <w:rPr>
          <w:rFonts w:ascii="Verdana" w:hAnsi="Verdana"/>
          <w:sz w:val="20"/>
          <w:szCs w:val="20"/>
          <w:lang w:val="bg-BG"/>
        </w:rPr>
        <w:t xml:space="preserve"> и ф</w:t>
      </w:r>
      <w:r w:rsidRPr="005568C8">
        <w:rPr>
          <w:rFonts w:ascii="Verdana" w:hAnsi="Verdana"/>
          <w:sz w:val="20"/>
          <w:szCs w:val="20"/>
          <w:lang w:val="bg-BG"/>
        </w:rPr>
        <w:t>ишове на индикатори</w:t>
      </w:r>
      <w:r>
        <w:rPr>
          <w:rFonts w:ascii="Verdana" w:hAnsi="Verdana"/>
          <w:sz w:val="20"/>
          <w:szCs w:val="20"/>
          <w:lang w:val="bg-BG"/>
        </w:rPr>
        <w:t>.</w:t>
      </w:r>
    </w:p>
    <w:p w:rsidR="00ED77E9" w:rsidRDefault="00ED77E9" w:rsidP="00ED77E9">
      <w:pPr>
        <w:jc w:val="both"/>
        <w:rPr>
          <w:rFonts w:ascii="Verdana" w:hAnsi="Verdana"/>
          <w:sz w:val="20"/>
          <w:szCs w:val="20"/>
          <w:lang w:val="bg-BG"/>
        </w:rPr>
      </w:pPr>
      <w:r w:rsidRPr="005568C8">
        <w:rPr>
          <w:rFonts w:ascii="Verdana" w:hAnsi="Verdana"/>
          <w:sz w:val="20"/>
          <w:szCs w:val="20"/>
          <w:lang w:val="bg-BG"/>
        </w:rPr>
        <w:t xml:space="preserve">По-долу представяме основните изводи от направените анализи по </w:t>
      </w:r>
      <w:r>
        <w:rPr>
          <w:rFonts w:ascii="Verdana" w:hAnsi="Verdana"/>
          <w:sz w:val="20"/>
          <w:szCs w:val="20"/>
          <w:lang w:val="bg-BG"/>
        </w:rPr>
        <w:t xml:space="preserve">темите и </w:t>
      </w:r>
      <w:r w:rsidRPr="005568C8">
        <w:rPr>
          <w:rFonts w:ascii="Verdana" w:hAnsi="Verdana"/>
          <w:sz w:val="20"/>
          <w:szCs w:val="20"/>
          <w:lang w:val="bg-BG"/>
        </w:rPr>
        <w:t>въпросите за оценка.</w:t>
      </w:r>
    </w:p>
    <w:p w:rsidR="00ED77E9" w:rsidRPr="00C37F4D" w:rsidRDefault="00ED77E9" w:rsidP="00ED77E9">
      <w:pPr>
        <w:jc w:val="both"/>
        <w:rPr>
          <w:rFonts w:ascii="Verdana" w:hAnsi="Verdana"/>
          <w:color w:val="548DD4" w:themeColor="text2" w:themeTint="99"/>
          <w:lang w:val="bg-BG"/>
        </w:rPr>
      </w:pPr>
      <w:r w:rsidRPr="00C37F4D">
        <w:rPr>
          <w:rFonts w:ascii="Verdana" w:hAnsi="Verdana"/>
          <w:color w:val="548DD4" w:themeColor="text2" w:themeTint="99"/>
          <w:lang w:val="bg-BG"/>
        </w:rPr>
        <w:t>Оценка на външната съгласуваност на програмата</w:t>
      </w:r>
    </w:p>
    <w:tbl>
      <w:tblPr>
        <w:tblW w:w="9110" w:type="dxa"/>
        <w:tblBorders>
          <w:top w:val="single" w:sz="4" w:space="0" w:color="auto"/>
          <w:bottom w:val="single" w:sz="4" w:space="0" w:color="auto"/>
        </w:tblBorders>
        <w:tblLook w:val="04A0" w:firstRow="1" w:lastRow="0" w:firstColumn="1" w:lastColumn="0" w:noHBand="0" w:noVBand="1"/>
      </w:tblPr>
      <w:tblGrid>
        <w:gridCol w:w="540"/>
        <w:gridCol w:w="8570"/>
      </w:tblGrid>
      <w:tr w:rsidR="00ED77E9" w:rsidRPr="00B45B4F" w:rsidTr="00ED77E9">
        <w:tc>
          <w:tcPr>
            <w:tcW w:w="540" w:type="dxa"/>
            <w:vAlign w:val="center"/>
          </w:tcPr>
          <w:p w:rsidR="00ED77E9" w:rsidRPr="00B45B4F" w:rsidRDefault="00ED77E9" w:rsidP="00ED77E9">
            <w:pPr>
              <w:pStyle w:val="BodyText"/>
              <w:spacing w:after="0" w:line="276" w:lineRule="auto"/>
              <w:jc w:val="center"/>
              <w:rPr>
                <w:rFonts w:ascii="Verdana" w:hAnsi="Verdana"/>
                <w:b/>
                <w:color w:val="548DD4"/>
                <w:sz w:val="36"/>
                <w:szCs w:val="36"/>
              </w:rPr>
            </w:pPr>
            <w:r w:rsidRPr="00B45B4F">
              <w:rPr>
                <w:rFonts w:ascii="Verdana" w:hAnsi="Verdana"/>
                <w:b/>
                <w:color w:val="548DD4"/>
                <w:sz w:val="36"/>
                <w:szCs w:val="36"/>
              </w:rPr>
              <w:t>?</w:t>
            </w:r>
          </w:p>
        </w:tc>
        <w:tc>
          <w:tcPr>
            <w:tcW w:w="8570" w:type="dxa"/>
            <w:shd w:val="clear" w:color="auto" w:fill="B8CCE4"/>
          </w:tcPr>
          <w:p w:rsidR="00ED77E9" w:rsidRPr="009872C0" w:rsidRDefault="00ED77E9" w:rsidP="00ED77E9">
            <w:pPr>
              <w:suppressAutoHyphens/>
              <w:spacing w:before="60" w:after="60" w:line="240" w:lineRule="auto"/>
              <w:ind w:left="113"/>
              <w:jc w:val="both"/>
              <w:rPr>
                <w:rFonts w:ascii="Verdana" w:hAnsi="Verdana" w:cs="TimesNewRomanPSMT"/>
                <w:sz w:val="20"/>
                <w:szCs w:val="20"/>
                <w:lang w:val="bg-BG" w:eastAsia="bg-BG"/>
              </w:rPr>
            </w:pPr>
            <w:r w:rsidRPr="009872C0">
              <w:rPr>
                <w:rFonts w:ascii="Verdana" w:hAnsi="Verdana"/>
                <w:sz w:val="20"/>
                <w:szCs w:val="20"/>
                <w:lang w:val="bg-BG"/>
              </w:rPr>
              <w:t>Съгласуваност с Европейската стратегическа рамка – п</w:t>
            </w:r>
            <w:r w:rsidRPr="009872C0">
              <w:rPr>
                <w:rFonts w:ascii="Verdana" w:hAnsi="Verdana" w:cs="TimesNewRomanPSMT"/>
                <w:sz w:val="20"/>
                <w:szCs w:val="20"/>
                <w:lang w:val="bg-BG" w:eastAsia="bg-BG"/>
              </w:rPr>
              <w:t>ринос към Стратегията на ЕС за интелигентен, устойчив и приобщаващ растеж</w:t>
            </w:r>
          </w:p>
        </w:tc>
      </w:tr>
    </w:tbl>
    <w:p w:rsidR="00ED77E9" w:rsidRDefault="00ED77E9" w:rsidP="00ED77E9">
      <w:pPr>
        <w:spacing w:before="240" w:after="120"/>
        <w:jc w:val="both"/>
        <w:rPr>
          <w:rFonts w:ascii="Verdana" w:hAnsi="Verdana"/>
          <w:sz w:val="20"/>
          <w:szCs w:val="20"/>
          <w:lang w:val="bg-BG"/>
        </w:rPr>
      </w:pPr>
      <w:r w:rsidRPr="004C4B7D">
        <w:rPr>
          <w:rFonts w:ascii="Verdana" w:hAnsi="Verdana"/>
          <w:sz w:val="20"/>
          <w:szCs w:val="20"/>
          <w:lang w:val="bg-BG"/>
        </w:rPr>
        <w:t xml:space="preserve">Оперативна програма „Наука и образование за интелигентен растеж“ 2014-2020 г.  се очаква да има принос към две от целите на стратегията Европа 2020: Цел 2 - </w:t>
      </w:r>
      <w:r w:rsidRPr="004C4B7D">
        <w:rPr>
          <w:rFonts w:ascii="Verdana" w:hAnsi="Verdana"/>
          <w:i/>
          <w:sz w:val="20"/>
          <w:szCs w:val="20"/>
          <w:lang w:val="bg-BG"/>
        </w:rPr>
        <w:t>Инвестиране на 3% (1,5% цел за България) от БВП в научноизследователска и развойна дейност (НИРД)</w:t>
      </w:r>
      <w:r w:rsidRPr="004C4B7D">
        <w:rPr>
          <w:rFonts w:ascii="Verdana" w:hAnsi="Verdana"/>
          <w:sz w:val="20"/>
          <w:szCs w:val="20"/>
          <w:lang w:val="bg-BG"/>
        </w:rPr>
        <w:t xml:space="preserve"> и Цел 4 – а) </w:t>
      </w:r>
      <w:r w:rsidRPr="004C4B7D">
        <w:rPr>
          <w:rFonts w:ascii="Verdana" w:hAnsi="Verdana"/>
          <w:i/>
          <w:sz w:val="20"/>
          <w:szCs w:val="20"/>
          <w:lang w:val="bg-BG"/>
        </w:rPr>
        <w:t>Намаляване на 10% (11% цел за България) на преждевременно напусналите училище</w:t>
      </w:r>
      <w:r>
        <w:rPr>
          <w:rFonts w:ascii="Verdana" w:hAnsi="Verdana"/>
          <w:i/>
          <w:sz w:val="20"/>
          <w:szCs w:val="20"/>
        </w:rPr>
        <w:t xml:space="preserve"> </w:t>
      </w:r>
      <w:r w:rsidRPr="004C4B7D">
        <w:rPr>
          <w:rFonts w:ascii="Verdana" w:hAnsi="Verdana"/>
          <w:sz w:val="20"/>
          <w:szCs w:val="20"/>
          <w:lang w:val="bg-BG"/>
        </w:rPr>
        <w:t xml:space="preserve">и б) </w:t>
      </w:r>
      <w:r w:rsidRPr="004C4B7D">
        <w:rPr>
          <w:rFonts w:ascii="Verdana" w:hAnsi="Verdana"/>
          <w:i/>
          <w:sz w:val="20"/>
          <w:szCs w:val="20"/>
          <w:lang w:val="bg-BG"/>
        </w:rPr>
        <w:t>Увеличаване на 40% (36% цел за България) на дела на 30-34 годишните с завършено висше образование.</w:t>
      </w:r>
      <w:r>
        <w:rPr>
          <w:rFonts w:ascii="Verdana" w:hAnsi="Verdana"/>
          <w:i/>
          <w:sz w:val="20"/>
          <w:szCs w:val="20"/>
        </w:rPr>
        <w:t xml:space="preserve"> </w:t>
      </w:r>
      <w:r w:rsidRPr="004C4B7D">
        <w:rPr>
          <w:rFonts w:ascii="Verdana" w:hAnsi="Verdana"/>
          <w:sz w:val="20"/>
          <w:szCs w:val="20"/>
          <w:lang w:val="bg-BG"/>
        </w:rPr>
        <w:t xml:space="preserve">Програмата </w:t>
      </w:r>
      <w:r>
        <w:rPr>
          <w:rFonts w:ascii="Verdana" w:hAnsi="Verdana"/>
          <w:sz w:val="20"/>
          <w:szCs w:val="20"/>
          <w:lang w:val="bg-BG"/>
        </w:rPr>
        <w:t xml:space="preserve">подкрепя изпълнението на 5 от 7те водещи инициативи за прилагане на стратегията. </w:t>
      </w:r>
    </w:p>
    <w:p w:rsidR="00ED77E9" w:rsidRPr="00B45B4F" w:rsidRDefault="00ED77E9" w:rsidP="00ED77E9">
      <w:pPr>
        <w:pStyle w:val="BodyText"/>
        <w:widowControl w:val="0"/>
        <w:spacing w:line="276" w:lineRule="auto"/>
        <w:jc w:val="both"/>
        <w:rPr>
          <w:rFonts w:ascii="Verdana" w:hAnsi="Verdana"/>
          <w:sz w:val="20"/>
          <w:szCs w:val="20"/>
          <w:lang w:eastAsia="en-US"/>
        </w:rPr>
      </w:pPr>
      <w:r>
        <w:rPr>
          <w:rFonts w:ascii="Verdana" w:hAnsi="Verdana"/>
          <w:sz w:val="20"/>
          <w:szCs w:val="20"/>
        </w:rPr>
        <w:t xml:space="preserve">Програмата се очаква да има принос и към </w:t>
      </w:r>
      <w:r w:rsidRPr="00B45B4F">
        <w:rPr>
          <w:rFonts w:ascii="Verdana" w:hAnsi="Verdana"/>
          <w:sz w:val="20"/>
          <w:szCs w:val="20"/>
          <w:lang w:eastAsia="en-US"/>
        </w:rPr>
        <w:t>ос 7 „Общество</w:t>
      </w:r>
      <w:r>
        <w:rPr>
          <w:rFonts w:ascii="Verdana" w:hAnsi="Verdana"/>
          <w:sz w:val="20"/>
          <w:szCs w:val="20"/>
          <w:lang w:val="en-US" w:eastAsia="en-US"/>
        </w:rPr>
        <w:t xml:space="preserve"> </w:t>
      </w:r>
      <w:r w:rsidRPr="00B45B4F">
        <w:rPr>
          <w:rFonts w:ascii="Verdana" w:hAnsi="Verdana"/>
          <w:sz w:val="20"/>
          <w:szCs w:val="20"/>
          <w:lang w:eastAsia="en-US"/>
        </w:rPr>
        <w:t>на знанието</w:t>
      </w:r>
      <w:r>
        <w:rPr>
          <w:rFonts w:ascii="Verdana" w:hAnsi="Verdana"/>
          <w:sz w:val="20"/>
          <w:szCs w:val="20"/>
        </w:rPr>
        <w:t>“ на Дунавската стратегия.</w:t>
      </w:r>
      <w:r>
        <w:rPr>
          <w:rFonts w:ascii="Verdana" w:hAnsi="Verdana"/>
          <w:sz w:val="20"/>
          <w:szCs w:val="20"/>
          <w:lang w:val="en-US"/>
        </w:rPr>
        <w:t xml:space="preserve"> </w:t>
      </w:r>
      <w:r>
        <w:rPr>
          <w:rFonts w:ascii="Verdana" w:hAnsi="Verdana"/>
          <w:sz w:val="20"/>
          <w:szCs w:val="20"/>
          <w:lang w:eastAsia="en-US"/>
        </w:rPr>
        <w:t>Очаква се оперативната програма да допълва мерките по „Хоризонт 2020“, като и „Програмата на ЕС за заетост и социални иновации“ и „Еразъм за всички“.</w:t>
      </w:r>
    </w:p>
    <w:p w:rsidR="00ED77E9" w:rsidRDefault="00ED77E9" w:rsidP="00ED77E9">
      <w:pPr>
        <w:autoSpaceDE w:val="0"/>
        <w:autoSpaceDN w:val="0"/>
        <w:adjustRightInd w:val="0"/>
        <w:spacing w:after="120"/>
        <w:jc w:val="both"/>
        <w:rPr>
          <w:rFonts w:ascii="Verdana" w:hAnsi="Verdana"/>
          <w:sz w:val="20"/>
          <w:szCs w:val="20"/>
          <w:lang w:val="bg-BG"/>
        </w:rPr>
      </w:pPr>
      <w:r w:rsidRPr="00ED77E9">
        <w:rPr>
          <w:rFonts w:ascii="Verdana" w:hAnsi="Verdana"/>
          <w:sz w:val="20"/>
          <w:szCs w:val="20"/>
          <w:lang w:val="bg-BG"/>
        </w:rPr>
        <w:t>Програмата в недостатъчна степен отразява</w:t>
      </w:r>
      <w:r w:rsidRPr="00B45B4F">
        <w:rPr>
          <w:rFonts w:ascii="Verdana" w:hAnsi="Verdana"/>
          <w:sz w:val="20"/>
          <w:szCs w:val="20"/>
          <w:lang w:val="bg-BG"/>
        </w:rPr>
        <w:t xml:space="preserve"> териториалните аспекти, що се отнася до проблемите с разликите в качеството на образованието в малките и големите населени места и териториалната концентрация на деца от етническите малцинства.</w:t>
      </w:r>
    </w:p>
    <w:tbl>
      <w:tblPr>
        <w:tblW w:w="0" w:type="auto"/>
        <w:tblInd w:w="108" w:type="dxa"/>
        <w:tblBorders>
          <w:top w:val="single" w:sz="4" w:space="0" w:color="auto"/>
          <w:bottom w:val="single" w:sz="4" w:space="0" w:color="auto"/>
        </w:tblBorders>
        <w:tblLook w:val="04A0" w:firstRow="1" w:lastRow="0" w:firstColumn="1" w:lastColumn="0" w:noHBand="0" w:noVBand="1"/>
      </w:tblPr>
      <w:tblGrid>
        <w:gridCol w:w="625"/>
        <w:gridCol w:w="8294"/>
      </w:tblGrid>
      <w:tr w:rsidR="00ED77E9" w:rsidRPr="009872C0" w:rsidTr="00ED77E9">
        <w:tc>
          <w:tcPr>
            <w:tcW w:w="625" w:type="dxa"/>
            <w:vAlign w:val="center"/>
          </w:tcPr>
          <w:p w:rsidR="00ED77E9" w:rsidRPr="009872C0" w:rsidRDefault="00ED77E9" w:rsidP="00ED77E9">
            <w:pPr>
              <w:pStyle w:val="BodyText"/>
              <w:spacing w:after="0" w:line="276" w:lineRule="auto"/>
              <w:jc w:val="center"/>
              <w:rPr>
                <w:rFonts w:ascii="Verdana" w:hAnsi="Verdana"/>
                <w:color w:val="548DD4"/>
                <w:sz w:val="36"/>
                <w:szCs w:val="36"/>
              </w:rPr>
            </w:pPr>
            <w:r w:rsidRPr="009872C0">
              <w:rPr>
                <w:rFonts w:ascii="Verdana" w:hAnsi="Verdana"/>
                <w:color w:val="548DD4"/>
                <w:sz w:val="36"/>
                <w:szCs w:val="36"/>
              </w:rPr>
              <w:t>?</w:t>
            </w:r>
          </w:p>
        </w:tc>
        <w:tc>
          <w:tcPr>
            <w:tcW w:w="8294" w:type="dxa"/>
            <w:shd w:val="clear" w:color="auto" w:fill="B8CCE4"/>
          </w:tcPr>
          <w:p w:rsidR="00ED77E9" w:rsidRPr="009872C0" w:rsidRDefault="00ED77E9" w:rsidP="00ED77E9">
            <w:pPr>
              <w:suppressAutoHyphens/>
              <w:spacing w:before="120" w:after="120" w:line="240" w:lineRule="auto"/>
              <w:ind w:left="115"/>
              <w:jc w:val="both"/>
              <w:rPr>
                <w:rFonts w:ascii="Verdana" w:hAnsi="Verdana" w:cs="TimesNewRomanPSMT"/>
                <w:sz w:val="20"/>
                <w:szCs w:val="20"/>
                <w:lang w:val="bg-BG" w:eastAsia="bg-BG"/>
              </w:rPr>
            </w:pPr>
            <w:r w:rsidRPr="009872C0">
              <w:rPr>
                <w:rFonts w:ascii="Verdana" w:hAnsi="Verdana"/>
                <w:sz w:val="20"/>
                <w:szCs w:val="20"/>
                <w:lang w:val="bg-BG"/>
              </w:rPr>
              <w:t xml:space="preserve">Съгласуваност с Националната стратегическа рамка - </w:t>
            </w:r>
            <w:r w:rsidRPr="009872C0">
              <w:rPr>
                <w:rFonts w:ascii="Verdana" w:hAnsi="Verdana" w:cs="TimesNewRomanPSMT"/>
                <w:sz w:val="20"/>
                <w:szCs w:val="20"/>
                <w:lang w:val="bg-BG" w:eastAsia="bg-BG"/>
              </w:rPr>
              <w:t>Национална програма за развитие България 2020, Националната програма за реформи</w:t>
            </w:r>
          </w:p>
        </w:tc>
      </w:tr>
    </w:tbl>
    <w:p w:rsidR="00ED77E9" w:rsidRDefault="00ED77E9" w:rsidP="00ED77E9">
      <w:pPr>
        <w:spacing w:before="240" w:after="360"/>
        <w:jc w:val="both"/>
        <w:rPr>
          <w:rFonts w:ascii="Verdana" w:eastAsia="Times New Roman" w:hAnsi="Verdana"/>
          <w:sz w:val="20"/>
          <w:szCs w:val="20"/>
          <w:lang w:val="bg-BG"/>
        </w:rPr>
      </w:pPr>
      <w:r>
        <w:rPr>
          <w:rFonts w:ascii="Verdana" w:eastAsia="Times New Roman" w:hAnsi="Verdana"/>
          <w:sz w:val="20"/>
          <w:szCs w:val="20"/>
          <w:lang w:val="bg-BG"/>
        </w:rPr>
        <w:t>Оперативната програма се базира и отразява анализите и мерките</w:t>
      </w:r>
      <w:r>
        <w:rPr>
          <w:rFonts w:ascii="Verdana" w:eastAsia="Times New Roman" w:hAnsi="Verdana"/>
          <w:sz w:val="20"/>
          <w:szCs w:val="20"/>
        </w:rPr>
        <w:t>,</w:t>
      </w:r>
      <w:r>
        <w:rPr>
          <w:rFonts w:ascii="Verdana" w:eastAsia="Times New Roman" w:hAnsi="Verdana"/>
          <w:sz w:val="20"/>
          <w:szCs w:val="20"/>
          <w:lang w:val="bg-BG"/>
        </w:rPr>
        <w:t xml:space="preserve"> предвидени в Националната програма за развитие и Националната програма за реформи в областта на науката и образованието.</w:t>
      </w:r>
    </w:p>
    <w:tbl>
      <w:tblPr>
        <w:tblW w:w="0" w:type="auto"/>
        <w:tblInd w:w="108" w:type="dxa"/>
        <w:tblBorders>
          <w:top w:val="single" w:sz="4" w:space="0" w:color="auto"/>
          <w:bottom w:val="single" w:sz="4" w:space="0" w:color="auto"/>
        </w:tblBorders>
        <w:tblLook w:val="04A0" w:firstRow="1" w:lastRow="0" w:firstColumn="1" w:lastColumn="0" w:noHBand="0" w:noVBand="1"/>
      </w:tblPr>
      <w:tblGrid>
        <w:gridCol w:w="537"/>
        <w:gridCol w:w="8382"/>
      </w:tblGrid>
      <w:tr w:rsidR="00ED77E9" w:rsidRPr="009872C0" w:rsidTr="00ED77E9">
        <w:tc>
          <w:tcPr>
            <w:tcW w:w="537" w:type="dxa"/>
            <w:vAlign w:val="center"/>
          </w:tcPr>
          <w:p w:rsidR="00ED77E9" w:rsidRPr="009872C0" w:rsidRDefault="00ED77E9" w:rsidP="00ED77E9">
            <w:pPr>
              <w:pStyle w:val="BodyText"/>
              <w:keepNext/>
              <w:spacing w:after="0" w:line="276" w:lineRule="auto"/>
              <w:jc w:val="center"/>
              <w:rPr>
                <w:rFonts w:ascii="Verdana" w:hAnsi="Verdana"/>
                <w:color w:val="548DD4"/>
                <w:sz w:val="20"/>
                <w:szCs w:val="20"/>
              </w:rPr>
            </w:pPr>
            <w:r w:rsidRPr="009872C0">
              <w:rPr>
                <w:rFonts w:ascii="Verdana" w:hAnsi="Verdana"/>
                <w:color w:val="548DD4"/>
                <w:sz w:val="36"/>
                <w:szCs w:val="36"/>
              </w:rPr>
              <w:t>?</w:t>
            </w:r>
          </w:p>
        </w:tc>
        <w:tc>
          <w:tcPr>
            <w:tcW w:w="8382" w:type="dxa"/>
            <w:shd w:val="clear" w:color="auto" w:fill="B8CCE4"/>
          </w:tcPr>
          <w:p w:rsidR="00ED77E9" w:rsidRPr="009872C0" w:rsidRDefault="00ED77E9" w:rsidP="00ED77E9">
            <w:pPr>
              <w:keepNext/>
              <w:suppressAutoHyphens/>
              <w:spacing w:before="120" w:after="120" w:line="240" w:lineRule="auto"/>
              <w:ind w:left="115"/>
              <w:jc w:val="both"/>
              <w:rPr>
                <w:rFonts w:ascii="Verdana" w:hAnsi="Verdana" w:cs="TimesNewRomanPSMT"/>
                <w:sz w:val="20"/>
                <w:szCs w:val="20"/>
                <w:lang w:val="bg-BG" w:eastAsia="bg-BG"/>
              </w:rPr>
            </w:pPr>
            <w:r w:rsidRPr="009872C0">
              <w:rPr>
                <w:rFonts w:ascii="Verdana" w:hAnsi="Verdana"/>
                <w:sz w:val="20"/>
                <w:szCs w:val="20"/>
                <w:lang w:val="bg-BG"/>
              </w:rPr>
              <w:t>Съгласуваност с Европейската нормативна рамка</w:t>
            </w:r>
          </w:p>
        </w:tc>
      </w:tr>
    </w:tbl>
    <w:p w:rsidR="00ED77E9" w:rsidRDefault="00ED77E9" w:rsidP="00ED77E9">
      <w:pPr>
        <w:spacing w:before="240" w:after="360"/>
        <w:jc w:val="both"/>
        <w:rPr>
          <w:rFonts w:ascii="Verdana" w:eastAsia="Times New Roman" w:hAnsi="Verdana"/>
          <w:sz w:val="20"/>
          <w:szCs w:val="20"/>
          <w:lang w:val="bg-BG"/>
        </w:rPr>
      </w:pPr>
      <w:r>
        <w:rPr>
          <w:rFonts w:ascii="Verdana" w:eastAsia="Times New Roman" w:hAnsi="Verdana"/>
          <w:sz w:val="20"/>
          <w:szCs w:val="20"/>
          <w:lang w:val="bg-BG"/>
        </w:rPr>
        <w:t xml:space="preserve">Оперативната програма отразява изискванията на основните регламенти за програмния период 2014-2020 и по специално Регламента за общите разпоредби 1303/2013, Регламента за Европейския социален фонд 1304/2013 и Регламента за Европейския фонд за регионално развитие 1301/2013. </w:t>
      </w:r>
    </w:p>
    <w:tbl>
      <w:tblPr>
        <w:tblW w:w="0" w:type="auto"/>
        <w:tblInd w:w="108" w:type="dxa"/>
        <w:tblBorders>
          <w:top w:val="single" w:sz="4" w:space="0" w:color="auto"/>
          <w:bottom w:val="single" w:sz="4" w:space="0" w:color="auto"/>
        </w:tblBorders>
        <w:tblLook w:val="04A0" w:firstRow="1" w:lastRow="0" w:firstColumn="1" w:lastColumn="0" w:noHBand="0" w:noVBand="1"/>
      </w:tblPr>
      <w:tblGrid>
        <w:gridCol w:w="537"/>
        <w:gridCol w:w="8382"/>
      </w:tblGrid>
      <w:tr w:rsidR="00ED77E9" w:rsidRPr="009872C0" w:rsidTr="00ED77E9">
        <w:trPr>
          <w:trHeight w:val="599"/>
        </w:trPr>
        <w:tc>
          <w:tcPr>
            <w:tcW w:w="537" w:type="dxa"/>
            <w:vAlign w:val="center"/>
          </w:tcPr>
          <w:p w:rsidR="00ED77E9" w:rsidRPr="009872C0" w:rsidRDefault="00ED77E9" w:rsidP="00ED77E9">
            <w:pPr>
              <w:pStyle w:val="BodyText"/>
              <w:spacing w:after="0" w:line="276" w:lineRule="auto"/>
              <w:jc w:val="center"/>
              <w:rPr>
                <w:rFonts w:ascii="Verdana" w:hAnsi="Verdana"/>
                <w:color w:val="548DD4"/>
                <w:sz w:val="20"/>
                <w:szCs w:val="20"/>
              </w:rPr>
            </w:pPr>
            <w:r w:rsidRPr="009872C0">
              <w:rPr>
                <w:rFonts w:ascii="Verdana" w:hAnsi="Verdana"/>
                <w:color w:val="548DD4"/>
                <w:sz w:val="36"/>
                <w:szCs w:val="36"/>
              </w:rPr>
              <w:t>?</w:t>
            </w:r>
          </w:p>
        </w:tc>
        <w:tc>
          <w:tcPr>
            <w:tcW w:w="8382" w:type="dxa"/>
            <w:shd w:val="clear" w:color="auto" w:fill="B8CCE4"/>
            <w:vAlign w:val="center"/>
          </w:tcPr>
          <w:p w:rsidR="00ED77E9" w:rsidRPr="009872C0" w:rsidRDefault="00ED77E9" w:rsidP="00ED77E9">
            <w:pPr>
              <w:suppressAutoHyphens/>
              <w:spacing w:before="120" w:after="120" w:line="240" w:lineRule="auto"/>
              <w:ind w:left="115"/>
              <w:rPr>
                <w:rFonts w:ascii="Verdana" w:hAnsi="Verdana" w:cs="TimesNewRomanPSMT"/>
                <w:sz w:val="20"/>
                <w:szCs w:val="20"/>
                <w:lang w:val="bg-BG" w:eastAsia="bg-BG"/>
              </w:rPr>
            </w:pPr>
            <w:r w:rsidRPr="009872C0">
              <w:rPr>
                <w:rFonts w:ascii="Verdana" w:hAnsi="Verdana"/>
                <w:sz w:val="20"/>
                <w:szCs w:val="20"/>
                <w:lang w:val="bg-BG"/>
              </w:rPr>
              <w:t>Съгласуваност с Националната нормативна рамка</w:t>
            </w:r>
          </w:p>
        </w:tc>
      </w:tr>
    </w:tbl>
    <w:p w:rsidR="00ED77E9" w:rsidRDefault="00ED77E9" w:rsidP="00ED77E9">
      <w:pPr>
        <w:spacing w:before="240" w:after="120"/>
        <w:jc w:val="both"/>
        <w:rPr>
          <w:rFonts w:ascii="Verdana" w:eastAsia="Times New Roman" w:hAnsi="Verdana"/>
          <w:sz w:val="20"/>
          <w:szCs w:val="20"/>
          <w:lang w:val="bg-BG"/>
        </w:rPr>
      </w:pPr>
      <w:r>
        <w:rPr>
          <w:rFonts w:ascii="Verdana" w:eastAsia="Times New Roman" w:hAnsi="Verdana"/>
          <w:sz w:val="20"/>
          <w:szCs w:val="20"/>
          <w:lang w:val="bg-BG"/>
        </w:rPr>
        <w:lastRenderedPageBreak/>
        <w:t>Оперативната програма не противоречи на разпоредбите в националното законодателство по отношение на науката и образованието. Все още предстои разработването или актуализирането на някои закони в тези сфери като Закон за средното образование и Закон за професионалното образование и обучение, които могат да повлияят върху прилагането на някои от предвидените по програмата мерки.</w:t>
      </w:r>
    </w:p>
    <w:tbl>
      <w:tblPr>
        <w:tblW w:w="0" w:type="auto"/>
        <w:tblInd w:w="108" w:type="dxa"/>
        <w:tblBorders>
          <w:top w:val="single" w:sz="4" w:space="0" w:color="auto"/>
          <w:bottom w:val="single" w:sz="4" w:space="0" w:color="auto"/>
        </w:tblBorders>
        <w:tblLook w:val="04A0" w:firstRow="1" w:lastRow="0" w:firstColumn="1" w:lastColumn="0" w:noHBand="0" w:noVBand="1"/>
      </w:tblPr>
      <w:tblGrid>
        <w:gridCol w:w="539"/>
        <w:gridCol w:w="8596"/>
      </w:tblGrid>
      <w:tr w:rsidR="00ED77E9" w:rsidRPr="009872C0" w:rsidTr="00ED77E9">
        <w:trPr>
          <w:trHeight w:val="617"/>
        </w:trPr>
        <w:tc>
          <w:tcPr>
            <w:tcW w:w="540" w:type="dxa"/>
            <w:vAlign w:val="center"/>
          </w:tcPr>
          <w:p w:rsidR="00ED77E9" w:rsidRPr="009872C0" w:rsidRDefault="00ED77E9" w:rsidP="00ED77E9">
            <w:pPr>
              <w:pStyle w:val="BodyText"/>
              <w:keepNext/>
              <w:spacing w:after="0" w:line="276" w:lineRule="auto"/>
              <w:jc w:val="center"/>
              <w:rPr>
                <w:rFonts w:ascii="Verdana" w:hAnsi="Verdana"/>
                <w:color w:val="548DD4"/>
                <w:sz w:val="20"/>
                <w:szCs w:val="20"/>
              </w:rPr>
            </w:pPr>
            <w:r w:rsidRPr="009872C0">
              <w:rPr>
                <w:rFonts w:ascii="Verdana" w:hAnsi="Verdana"/>
                <w:color w:val="548DD4"/>
                <w:sz w:val="36"/>
                <w:szCs w:val="36"/>
              </w:rPr>
              <w:t>?</w:t>
            </w:r>
          </w:p>
        </w:tc>
        <w:tc>
          <w:tcPr>
            <w:tcW w:w="8640" w:type="dxa"/>
            <w:shd w:val="clear" w:color="auto" w:fill="B8CCE4"/>
            <w:vAlign w:val="center"/>
          </w:tcPr>
          <w:p w:rsidR="00ED77E9" w:rsidRPr="009872C0" w:rsidRDefault="00ED77E9" w:rsidP="00ED77E9">
            <w:pPr>
              <w:keepNext/>
              <w:suppressAutoHyphens/>
              <w:spacing w:before="120" w:after="120" w:line="240" w:lineRule="auto"/>
              <w:ind w:left="115"/>
              <w:rPr>
                <w:rFonts w:ascii="Verdana" w:hAnsi="Verdana" w:cs="TimesNewRomanPSMT"/>
                <w:sz w:val="20"/>
                <w:szCs w:val="20"/>
                <w:lang w:val="bg-BG" w:eastAsia="bg-BG"/>
              </w:rPr>
            </w:pPr>
            <w:r w:rsidRPr="009872C0">
              <w:rPr>
                <w:rFonts w:ascii="Verdana" w:hAnsi="Verdana"/>
                <w:sz w:val="20"/>
                <w:szCs w:val="20"/>
                <w:lang w:val="bg-BG"/>
              </w:rPr>
              <w:t>Съгласуваност с други секторни програми</w:t>
            </w:r>
          </w:p>
        </w:tc>
      </w:tr>
    </w:tbl>
    <w:p w:rsidR="00ED77E9" w:rsidRPr="00FE2996" w:rsidRDefault="00ED77E9" w:rsidP="00ED77E9">
      <w:pPr>
        <w:spacing w:before="240" w:after="120"/>
        <w:jc w:val="both"/>
        <w:rPr>
          <w:rFonts w:ascii="Verdana" w:hAnsi="Verdana"/>
          <w:sz w:val="20"/>
          <w:szCs w:val="20"/>
          <w:lang w:val="bg-BG" w:eastAsia="cs-CZ"/>
        </w:rPr>
      </w:pPr>
      <w:r>
        <w:rPr>
          <w:rFonts w:ascii="Verdana" w:hAnsi="Verdana"/>
          <w:sz w:val="20"/>
          <w:szCs w:val="20"/>
          <w:lang w:val="bg-BG" w:eastAsia="cs-CZ"/>
        </w:rPr>
        <w:t>Оперативната програма като цяло взима под внимание повечето от целите и мерките, заложени в европейски и национални секторни стратегически документи, включително: „</w:t>
      </w:r>
      <w:r w:rsidRPr="004072E3">
        <w:rPr>
          <w:rFonts w:ascii="Verdana" w:hAnsi="Verdana"/>
          <w:sz w:val="20"/>
          <w:szCs w:val="20"/>
          <w:lang w:val="bg-BG" w:eastAsia="cs-CZ"/>
        </w:rPr>
        <w:t>Комюнике от Букурещ на министрите, отговорни за висшето образование</w:t>
      </w:r>
      <w:r>
        <w:rPr>
          <w:rFonts w:ascii="Verdana" w:hAnsi="Verdana"/>
          <w:sz w:val="20"/>
          <w:szCs w:val="20"/>
          <w:lang w:val="bg-BG" w:eastAsia="cs-CZ"/>
        </w:rPr>
        <w:t>“, „</w:t>
      </w:r>
      <w:r w:rsidRPr="004072E3">
        <w:rPr>
          <w:rFonts w:ascii="Verdana" w:hAnsi="Verdana"/>
          <w:sz w:val="20"/>
          <w:szCs w:val="20"/>
          <w:lang w:val="bg-BG" w:eastAsia="cs-CZ"/>
        </w:rPr>
        <w:t>Стратегия за мобилност 2020 за Европейското пр</w:t>
      </w:r>
      <w:r>
        <w:rPr>
          <w:rFonts w:ascii="Verdana" w:hAnsi="Verdana"/>
          <w:sz w:val="20"/>
          <w:szCs w:val="20"/>
          <w:lang w:val="bg-BG" w:eastAsia="cs-CZ"/>
        </w:rPr>
        <w:t>остранство за висше образование“, „</w:t>
      </w:r>
      <w:r w:rsidRPr="004072E3">
        <w:rPr>
          <w:rFonts w:ascii="Verdana" w:hAnsi="Verdana"/>
          <w:sz w:val="20"/>
          <w:szCs w:val="20"/>
          <w:lang w:val="bg-BG" w:eastAsia="cs-CZ"/>
        </w:rPr>
        <w:t>Съобщение от Комисията до Европейския парламент, до Съвета, до Европейския икономически и социален комитет и до Комитета на регионите: В подкрепа на растежа и създаването на работни места – програма за модернизиране на системите за висше образование в Европа (2011 г.)</w:t>
      </w:r>
      <w:r>
        <w:rPr>
          <w:rFonts w:ascii="Verdana" w:hAnsi="Verdana"/>
          <w:sz w:val="20"/>
          <w:szCs w:val="20"/>
          <w:lang w:val="bg-BG" w:eastAsia="cs-CZ"/>
        </w:rPr>
        <w:t>“, „</w:t>
      </w:r>
      <w:r w:rsidRPr="004072E3">
        <w:rPr>
          <w:rFonts w:ascii="Verdana" w:hAnsi="Verdana"/>
          <w:sz w:val="20"/>
          <w:szCs w:val="20"/>
          <w:lang w:val="bg-BG" w:eastAsia="cs-CZ"/>
        </w:rPr>
        <w:t xml:space="preserve">Комюнике от </w:t>
      </w:r>
      <w:proofErr w:type="spellStart"/>
      <w:r w:rsidRPr="004072E3">
        <w:rPr>
          <w:rFonts w:ascii="Verdana" w:hAnsi="Verdana"/>
          <w:sz w:val="20"/>
          <w:szCs w:val="20"/>
          <w:lang w:val="bg-BG" w:eastAsia="cs-CZ"/>
        </w:rPr>
        <w:t>Брюж</w:t>
      </w:r>
      <w:proofErr w:type="spellEnd"/>
      <w:r w:rsidRPr="004072E3">
        <w:rPr>
          <w:rFonts w:ascii="Verdana" w:hAnsi="Verdana"/>
          <w:sz w:val="20"/>
          <w:szCs w:val="20"/>
          <w:lang w:val="bg-BG" w:eastAsia="cs-CZ"/>
        </w:rPr>
        <w:t xml:space="preserve"> относно засилването на европейското сътрудничество в областта на професионалното образование и обучение за периода 2011—2020 г</w:t>
      </w:r>
      <w:r>
        <w:rPr>
          <w:rFonts w:ascii="Verdana" w:hAnsi="Verdana"/>
          <w:sz w:val="20"/>
          <w:szCs w:val="20"/>
          <w:lang w:val="bg-BG" w:eastAsia="cs-CZ"/>
        </w:rPr>
        <w:t>.“, „</w:t>
      </w:r>
      <w:r w:rsidRPr="004072E3">
        <w:rPr>
          <w:rFonts w:ascii="Verdana" w:hAnsi="Verdana"/>
          <w:sz w:val="20"/>
          <w:szCs w:val="20"/>
          <w:lang w:val="bg-BG" w:eastAsia="cs-CZ"/>
        </w:rPr>
        <w:t>Съобщение от Комисията до Европейския парламент, до Съвета, до Европейския икономически и социален комитет и до Комитета на регионите: Нов импулс за европейското сътрудничество в професионалното образование и обучение за подкрепа на стратегията „Европа 2020”</w:t>
      </w:r>
      <w:r>
        <w:rPr>
          <w:rFonts w:ascii="Verdana" w:hAnsi="Verdana"/>
          <w:sz w:val="20"/>
          <w:szCs w:val="20"/>
          <w:lang w:val="bg-BG" w:eastAsia="cs-CZ"/>
        </w:rPr>
        <w:t>“, „</w:t>
      </w:r>
      <w:r w:rsidRPr="004072E3">
        <w:rPr>
          <w:rFonts w:ascii="Verdana" w:hAnsi="Verdana"/>
          <w:sz w:val="20"/>
          <w:szCs w:val="20"/>
          <w:lang w:val="bg-BG" w:eastAsia="cs-CZ"/>
        </w:rPr>
        <w:t>Актуализирана национална стратегия за демографско развитие на населението в Република България 2012-2030 г.</w:t>
      </w:r>
      <w:r>
        <w:rPr>
          <w:rFonts w:ascii="Verdana" w:hAnsi="Verdana"/>
          <w:sz w:val="20"/>
          <w:szCs w:val="20"/>
          <w:lang w:val="bg-BG" w:eastAsia="cs-CZ"/>
        </w:rPr>
        <w:t>“, „</w:t>
      </w:r>
      <w:r w:rsidRPr="004072E3">
        <w:rPr>
          <w:rFonts w:ascii="Verdana" w:hAnsi="Verdana"/>
          <w:sz w:val="20"/>
          <w:szCs w:val="20"/>
          <w:lang w:val="bg-BG" w:eastAsia="cs-CZ"/>
        </w:rPr>
        <w:t>Национална стратегия за младежта 2010-2020 г.</w:t>
      </w:r>
      <w:r>
        <w:rPr>
          <w:rFonts w:ascii="Verdana" w:hAnsi="Verdana"/>
          <w:sz w:val="20"/>
          <w:szCs w:val="20"/>
          <w:lang w:val="bg-BG" w:eastAsia="cs-CZ"/>
        </w:rPr>
        <w:t>“, „</w:t>
      </w:r>
      <w:hyperlink r:id="rId14" w:tooltip="Национална стратегия за учене през целия живот за периода 2008-2013 г." w:history="1">
        <w:r w:rsidRPr="004072E3">
          <w:rPr>
            <w:rFonts w:ascii="Verdana" w:hAnsi="Verdana"/>
            <w:sz w:val="20"/>
            <w:szCs w:val="20"/>
            <w:lang w:val="bg-BG" w:eastAsia="cs-CZ"/>
          </w:rPr>
          <w:t>Национална стратегия за учене през целия живот за периода 2014–2020 г.</w:t>
        </w:r>
      </w:hyperlink>
      <w:r>
        <w:rPr>
          <w:rFonts w:ascii="Verdana" w:hAnsi="Verdana"/>
          <w:sz w:val="20"/>
          <w:szCs w:val="20"/>
          <w:lang w:val="bg-BG" w:eastAsia="cs-CZ"/>
        </w:rPr>
        <w:t>“, „</w:t>
      </w:r>
      <w:hyperlink r:id="rId15" w:tooltip="Национална стратегия за развитие на научните изследвания 2020" w:history="1">
        <w:r w:rsidRPr="004072E3">
          <w:rPr>
            <w:rFonts w:ascii="Verdana" w:hAnsi="Verdana"/>
            <w:sz w:val="20"/>
            <w:szCs w:val="20"/>
            <w:lang w:val="bg-BG" w:eastAsia="cs-CZ"/>
          </w:rPr>
          <w:t>Национална стратегия за развитие на научните изследвания 2020</w:t>
        </w:r>
      </w:hyperlink>
      <w:r>
        <w:rPr>
          <w:rFonts w:ascii="Verdana" w:hAnsi="Verdana"/>
          <w:sz w:val="20"/>
          <w:szCs w:val="20"/>
          <w:lang w:val="bg-BG" w:eastAsia="cs-CZ"/>
        </w:rPr>
        <w:t>“, „</w:t>
      </w:r>
      <w:r w:rsidRPr="00FE2996">
        <w:rPr>
          <w:rFonts w:ascii="Verdana" w:hAnsi="Verdana"/>
          <w:sz w:val="20"/>
          <w:szCs w:val="20"/>
          <w:lang w:val="bg-BG" w:eastAsia="cs-CZ"/>
        </w:rPr>
        <w:t>Стратегия за превенция и намаляване на дела на отпадащите и преждевременно напусналите образователната система 2013-2020</w:t>
      </w:r>
      <w:r>
        <w:rPr>
          <w:rFonts w:ascii="Verdana" w:hAnsi="Verdana"/>
          <w:sz w:val="20"/>
          <w:szCs w:val="20"/>
          <w:lang w:val="bg-BG" w:eastAsia="cs-CZ"/>
        </w:rPr>
        <w:t xml:space="preserve"> г.“ и „</w:t>
      </w:r>
      <w:r w:rsidRPr="00FE2996">
        <w:rPr>
          <w:rFonts w:ascii="Verdana" w:hAnsi="Verdana"/>
          <w:sz w:val="20"/>
          <w:szCs w:val="20"/>
          <w:lang w:val="bg-BG" w:eastAsia="cs-CZ"/>
        </w:rPr>
        <w:t>Национална стратегия на Република България за интегриране на ромите 2012-2020</w:t>
      </w:r>
      <w:r>
        <w:rPr>
          <w:rFonts w:ascii="Verdana" w:hAnsi="Verdana"/>
          <w:sz w:val="20"/>
          <w:szCs w:val="20"/>
          <w:lang w:val="bg-BG" w:eastAsia="cs-CZ"/>
        </w:rPr>
        <w:t xml:space="preserve"> г.“.</w:t>
      </w:r>
    </w:p>
    <w:p w:rsidR="00ED77E9" w:rsidRPr="00FE2996" w:rsidRDefault="00ED77E9" w:rsidP="00ED77E9">
      <w:pPr>
        <w:spacing w:before="120" w:after="120"/>
        <w:jc w:val="both"/>
        <w:rPr>
          <w:rFonts w:ascii="Verdana" w:hAnsi="Verdana"/>
          <w:sz w:val="20"/>
          <w:szCs w:val="20"/>
          <w:lang w:val="bg-BG" w:eastAsia="cs-CZ"/>
        </w:rPr>
      </w:pPr>
      <w:r w:rsidRPr="00ED77E9">
        <w:rPr>
          <w:rFonts w:ascii="Verdana" w:hAnsi="Verdana"/>
          <w:sz w:val="20"/>
          <w:szCs w:val="20"/>
          <w:lang w:val="bg-BG" w:eastAsia="cs-CZ"/>
        </w:rPr>
        <w:t>Националната пътна карта за научна инфраструктура е взета предвид, но не е спомогнала за фокусиране на подкрепата тъй като в момента е в процес на актуализация. В процес на разработване са и „Национална стратегия за висше</w:t>
      </w:r>
      <w:r>
        <w:rPr>
          <w:rFonts w:ascii="Verdana" w:hAnsi="Verdana"/>
          <w:sz w:val="20"/>
          <w:szCs w:val="20"/>
          <w:lang w:val="bg-BG" w:eastAsia="cs-CZ"/>
        </w:rPr>
        <w:t xml:space="preserve"> образование“ и „Национална стратегия за интелигентна специализация“ и „</w:t>
      </w:r>
      <w:r w:rsidRPr="00ED77E9">
        <w:rPr>
          <w:rFonts w:ascii="Verdana" w:hAnsi="Verdana"/>
          <w:sz w:val="20"/>
          <w:szCs w:val="20"/>
          <w:lang w:val="bg-BG" w:eastAsia="cs-CZ"/>
        </w:rPr>
        <w:t>Национална стратегия за развитие на педагогическите кадри“ и „Стратегия за ефективно прилагане на информационни и комуникационни технологии в образованието и науката на Република България 2014–2020 г.“, което е възпрепятствало фокусирането на подкрепата по програмата в тези области.</w:t>
      </w:r>
    </w:p>
    <w:tbl>
      <w:tblPr>
        <w:tblW w:w="0" w:type="auto"/>
        <w:tblInd w:w="108" w:type="dxa"/>
        <w:tblBorders>
          <w:top w:val="single" w:sz="4" w:space="0" w:color="auto"/>
          <w:bottom w:val="single" w:sz="4" w:space="0" w:color="auto"/>
        </w:tblBorders>
        <w:tblLook w:val="04A0" w:firstRow="1" w:lastRow="0" w:firstColumn="1" w:lastColumn="0" w:noHBand="0" w:noVBand="1"/>
      </w:tblPr>
      <w:tblGrid>
        <w:gridCol w:w="537"/>
        <w:gridCol w:w="8382"/>
      </w:tblGrid>
      <w:tr w:rsidR="00ED77E9" w:rsidRPr="009872C0" w:rsidTr="00ED77E9">
        <w:trPr>
          <w:trHeight w:val="599"/>
        </w:trPr>
        <w:tc>
          <w:tcPr>
            <w:tcW w:w="537" w:type="dxa"/>
            <w:vAlign w:val="center"/>
          </w:tcPr>
          <w:p w:rsidR="00ED77E9" w:rsidRPr="009872C0" w:rsidRDefault="00ED77E9" w:rsidP="00ED77E9">
            <w:pPr>
              <w:pStyle w:val="BodyText"/>
              <w:spacing w:after="0" w:line="276" w:lineRule="auto"/>
              <w:jc w:val="center"/>
              <w:rPr>
                <w:rFonts w:ascii="Verdana" w:hAnsi="Verdana"/>
                <w:color w:val="548DD4"/>
                <w:sz w:val="20"/>
                <w:szCs w:val="20"/>
              </w:rPr>
            </w:pPr>
            <w:r w:rsidRPr="009872C0">
              <w:rPr>
                <w:rFonts w:ascii="Verdana" w:hAnsi="Verdana"/>
                <w:color w:val="548DD4"/>
                <w:sz w:val="36"/>
                <w:szCs w:val="36"/>
              </w:rPr>
              <w:t>?</w:t>
            </w:r>
          </w:p>
        </w:tc>
        <w:tc>
          <w:tcPr>
            <w:tcW w:w="8382" w:type="dxa"/>
            <w:shd w:val="clear" w:color="auto" w:fill="B8CCE4"/>
            <w:vAlign w:val="center"/>
          </w:tcPr>
          <w:p w:rsidR="00ED77E9" w:rsidRPr="009872C0" w:rsidRDefault="00ED77E9" w:rsidP="00ED77E9">
            <w:pPr>
              <w:suppressAutoHyphens/>
              <w:spacing w:before="120" w:after="120" w:line="240" w:lineRule="auto"/>
              <w:ind w:left="115"/>
              <w:rPr>
                <w:rFonts w:ascii="Verdana" w:hAnsi="Verdana" w:cs="TimesNewRomanPSMT"/>
                <w:sz w:val="20"/>
                <w:szCs w:val="20"/>
                <w:lang w:val="bg-BG" w:eastAsia="bg-BG"/>
              </w:rPr>
            </w:pPr>
            <w:r w:rsidRPr="009872C0">
              <w:rPr>
                <w:rFonts w:ascii="Verdana" w:hAnsi="Verdana"/>
                <w:sz w:val="20"/>
                <w:szCs w:val="20"/>
                <w:lang w:val="bg-BG"/>
              </w:rPr>
              <w:t>Съгласуваност със Споразумението за партньорство</w:t>
            </w:r>
          </w:p>
        </w:tc>
      </w:tr>
    </w:tbl>
    <w:p w:rsidR="00ED77E9" w:rsidRDefault="00ED77E9" w:rsidP="00ED77E9">
      <w:pPr>
        <w:spacing w:before="240" w:after="120"/>
        <w:jc w:val="both"/>
        <w:rPr>
          <w:rFonts w:ascii="Verdana" w:hAnsi="Verdana"/>
          <w:sz w:val="20"/>
          <w:szCs w:val="20"/>
          <w:lang w:val="bg-BG" w:eastAsia="cs-CZ"/>
        </w:rPr>
      </w:pPr>
      <w:r>
        <w:rPr>
          <w:rFonts w:ascii="Verdana" w:hAnsi="Verdana"/>
          <w:sz w:val="20"/>
          <w:szCs w:val="20"/>
          <w:lang w:val="bg-BG" w:eastAsia="cs-CZ"/>
        </w:rPr>
        <w:t xml:space="preserve">Програмата е в съгласие с основните постановки на Споразумението за партньорство. Следните предизвикателства в областта на науката, образованието и иновациите, посочени в Споразумението за партньорство, </w:t>
      </w:r>
      <w:r w:rsidRPr="00ED77E9">
        <w:rPr>
          <w:rFonts w:ascii="Verdana" w:hAnsi="Verdana"/>
          <w:sz w:val="20"/>
          <w:szCs w:val="20"/>
          <w:lang w:val="bg-BG" w:eastAsia="cs-CZ"/>
        </w:rPr>
        <w:t>не са отразени в пълна степен в програмата:</w:t>
      </w:r>
    </w:p>
    <w:p w:rsidR="00ED77E9" w:rsidRPr="00B45B4F" w:rsidRDefault="00ED77E9" w:rsidP="00ED77E9">
      <w:pPr>
        <w:pStyle w:val="BodyText"/>
        <w:widowControl w:val="0"/>
        <w:numPr>
          <w:ilvl w:val="0"/>
          <w:numId w:val="19"/>
        </w:numPr>
        <w:spacing w:before="120" w:line="276" w:lineRule="auto"/>
        <w:jc w:val="both"/>
        <w:rPr>
          <w:rFonts w:ascii="Verdana" w:hAnsi="Verdana"/>
          <w:sz w:val="20"/>
          <w:szCs w:val="20"/>
          <w:lang w:eastAsia="en-US"/>
        </w:rPr>
      </w:pPr>
      <w:r w:rsidRPr="00B45B4F">
        <w:rPr>
          <w:rFonts w:ascii="Verdana" w:hAnsi="Verdana"/>
          <w:sz w:val="20"/>
          <w:szCs w:val="20"/>
          <w:lang w:eastAsia="en-US"/>
        </w:rPr>
        <w:t xml:space="preserve">Създаване и укрепване на партньорства между висшето образование, </w:t>
      </w:r>
      <w:r w:rsidRPr="00B45B4F">
        <w:rPr>
          <w:rFonts w:ascii="Verdana" w:hAnsi="Verdana"/>
          <w:sz w:val="20"/>
          <w:szCs w:val="20"/>
          <w:lang w:eastAsia="en-US"/>
        </w:rPr>
        <w:lastRenderedPageBreak/>
        <w:t>предприятията и научните изследвания;</w:t>
      </w:r>
    </w:p>
    <w:p w:rsidR="00ED77E9" w:rsidRPr="00B45B4F" w:rsidRDefault="00ED77E9" w:rsidP="00ED77E9">
      <w:pPr>
        <w:pStyle w:val="BodyText"/>
        <w:widowControl w:val="0"/>
        <w:numPr>
          <w:ilvl w:val="0"/>
          <w:numId w:val="19"/>
        </w:numPr>
        <w:spacing w:before="120" w:line="276" w:lineRule="auto"/>
        <w:jc w:val="both"/>
        <w:rPr>
          <w:rFonts w:ascii="Verdana" w:hAnsi="Verdana"/>
          <w:sz w:val="20"/>
          <w:szCs w:val="20"/>
          <w:lang w:eastAsia="en-US"/>
        </w:rPr>
      </w:pPr>
      <w:r w:rsidRPr="00B45B4F">
        <w:rPr>
          <w:rFonts w:ascii="Verdana" w:hAnsi="Verdana"/>
          <w:sz w:val="20"/>
          <w:szCs w:val="20"/>
          <w:lang w:eastAsia="en-US"/>
        </w:rPr>
        <w:t>Повишаване капацитета за управление на научните заведения;</w:t>
      </w:r>
    </w:p>
    <w:p w:rsidR="00ED77E9" w:rsidRPr="00B45B4F" w:rsidRDefault="00ED77E9" w:rsidP="00ED77E9">
      <w:pPr>
        <w:pStyle w:val="BodyText"/>
        <w:widowControl w:val="0"/>
        <w:numPr>
          <w:ilvl w:val="0"/>
          <w:numId w:val="19"/>
        </w:numPr>
        <w:spacing w:before="120" w:line="276" w:lineRule="auto"/>
        <w:jc w:val="both"/>
        <w:rPr>
          <w:rFonts w:ascii="Verdana" w:hAnsi="Verdana"/>
          <w:sz w:val="20"/>
          <w:szCs w:val="20"/>
          <w:lang w:eastAsia="en-US"/>
        </w:rPr>
      </w:pPr>
      <w:r w:rsidRPr="00B45B4F">
        <w:rPr>
          <w:rFonts w:ascii="Verdana" w:hAnsi="Verdana"/>
          <w:sz w:val="20"/>
          <w:szCs w:val="20"/>
          <w:lang w:eastAsia="en-US"/>
        </w:rPr>
        <w:t>Създаване на възможности за стажове на изследователи в предприятия;</w:t>
      </w:r>
    </w:p>
    <w:p w:rsidR="00ED77E9" w:rsidRPr="00B45B4F" w:rsidRDefault="00ED77E9" w:rsidP="00ED77E9">
      <w:pPr>
        <w:pStyle w:val="BodyText"/>
        <w:widowControl w:val="0"/>
        <w:numPr>
          <w:ilvl w:val="0"/>
          <w:numId w:val="19"/>
        </w:numPr>
        <w:spacing w:before="120" w:line="276" w:lineRule="auto"/>
        <w:jc w:val="both"/>
        <w:rPr>
          <w:rFonts w:ascii="Verdana" w:hAnsi="Verdana"/>
          <w:sz w:val="20"/>
          <w:szCs w:val="20"/>
          <w:lang w:eastAsia="en-US"/>
        </w:rPr>
      </w:pPr>
      <w:r w:rsidRPr="00B45B4F">
        <w:rPr>
          <w:rFonts w:ascii="Verdana" w:hAnsi="Verdana"/>
          <w:sz w:val="20"/>
          <w:szCs w:val="20"/>
          <w:lang w:eastAsia="en-US"/>
        </w:rPr>
        <w:t>Стимулиране на образователните институции да предоставят образователни услуги извън рамките на своята инфраструктура на базата на партньорство с работодатели, държавни и общински институции и други заинтересовани страни;</w:t>
      </w:r>
    </w:p>
    <w:p w:rsidR="00ED77E9" w:rsidRDefault="00ED77E9" w:rsidP="00ED77E9">
      <w:pPr>
        <w:pStyle w:val="BodyText"/>
        <w:widowControl w:val="0"/>
        <w:numPr>
          <w:ilvl w:val="0"/>
          <w:numId w:val="19"/>
        </w:numPr>
        <w:spacing w:before="240" w:after="360" w:line="276" w:lineRule="auto"/>
        <w:jc w:val="both"/>
        <w:rPr>
          <w:rFonts w:ascii="Verdana" w:hAnsi="Verdana"/>
          <w:sz w:val="20"/>
          <w:szCs w:val="20"/>
          <w:lang w:eastAsia="cs-CZ"/>
        </w:rPr>
      </w:pPr>
      <w:r w:rsidRPr="004745BB">
        <w:rPr>
          <w:rFonts w:ascii="Verdana" w:hAnsi="Verdana"/>
          <w:sz w:val="20"/>
          <w:szCs w:val="20"/>
          <w:lang w:eastAsia="en-US"/>
        </w:rPr>
        <w:t>Развитие на партньорства между бизнеса и научните среди.</w:t>
      </w:r>
    </w:p>
    <w:tbl>
      <w:tblPr>
        <w:tblW w:w="0" w:type="auto"/>
        <w:tblInd w:w="108" w:type="dxa"/>
        <w:tblBorders>
          <w:top w:val="single" w:sz="4" w:space="0" w:color="auto"/>
          <w:bottom w:val="single" w:sz="4" w:space="0" w:color="auto"/>
        </w:tblBorders>
        <w:tblLook w:val="04A0" w:firstRow="1" w:lastRow="0" w:firstColumn="1" w:lastColumn="0" w:noHBand="0" w:noVBand="1"/>
      </w:tblPr>
      <w:tblGrid>
        <w:gridCol w:w="537"/>
        <w:gridCol w:w="8382"/>
      </w:tblGrid>
      <w:tr w:rsidR="00ED77E9" w:rsidRPr="009872C0" w:rsidTr="00ED77E9">
        <w:trPr>
          <w:trHeight w:val="518"/>
        </w:trPr>
        <w:tc>
          <w:tcPr>
            <w:tcW w:w="537" w:type="dxa"/>
            <w:vAlign w:val="center"/>
          </w:tcPr>
          <w:p w:rsidR="00ED77E9" w:rsidRPr="009872C0" w:rsidRDefault="00ED77E9" w:rsidP="00ED77E9">
            <w:pPr>
              <w:pStyle w:val="BodyText"/>
              <w:spacing w:after="0" w:line="276" w:lineRule="auto"/>
              <w:jc w:val="center"/>
              <w:rPr>
                <w:rFonts w:ascii="Verdana" w:hAnsi="Verdana"/>
                <w:color w:val="548DD4"/>
                <w:sz w:val="20"/>
                <w:szCs w:val="20"/>
              </w:rPr>
            </w:pPr>
            <w:r w:rsidRPr="009872C0">
              <w:rPr>
                <w:rFonts w:ascii="Verdana" w:hAnsi="Verdana"/>
                <w:color w:val="548DD4"/>
                <w:sz w:val="36"/>
                <w:szCs w:val="36"/>
              </w:rPr>
              <w:t>?</w:t>
            </w:r>
          </w:p>
        </w:tc>
        <w:tc>
          <w:tcPr>
            <w:tcW w:w="8382" w:type="dxa"/>
            <w:shd w:val="clear" w:color="auto" w:fill="B8CCE4"/>
            <w:vAlign w:val="center"/>
          </w:tcPr>
          <w:p w:rsidR="00ED77E9" w:rsidRPr="009872C0" w:rsidRDefault="00ED77E9" w:rsidP="00ED77E9">
            <w:pPr>
              <w:suppressAutoHyphens/>
              <w:spacing w:before="120" w:after="120" w:line="240" w:lineRule="auto"/>
              <w:ind w:left="115"/>
              <w:rPr>
                <w:rFonts w:ascii="Verdana" w:hAnsi="Verdana" w:cs="TimesNewRomanPSMT"/>
                <w:sz w:val="20"/>
                <w:szCs w:val="20"/>
                <w:lang w:val="bg-BG" w:eastAsia="bg-BG"/>
              </w:rPr>
            </w:pPr>
            <w:r w:rsidRPr="009872C0">
              <w:rPr>
                <w:rFonts w:ascii="Verdana" w:hAnsi="Verdana"/>
                <w:sz w:val="20"/>
                <w:szCs w:val="20"/>
                <w:lang w:val="bg-BG"/>
              </w:rPr>
              <w:t>Съгласуваност с други оперативни програми</w:t>
            </w:r>
          </w:p>
        </w:tc>
      </w:tr>
    </w:tbl>
    <w:p w:rsidR="00ED77E9" w:rsidRPr="00173D95" w:rsidRDefault="00ED77E9" w:rsidP="00ED77E9">
      <w:pPr>
        <w:spacing w:before="240" w:after="360"/>
        <w:jc w:val="both"/>
        <w:rPr>
          <w:rFonts w:ascii="Verdana" w:hAnsi="Verdana"/>
          <w:sz w:val="20"/>
          <w:szCs w:val="20"/>
          <w:lang w:val="bg-BG" w:eastAsia="cs-CZ"/>
        </w:rPr>
      </w:pPr>
      <w:r>
        <w:rPr>
          <w:rFonts w:ascii="Verdana" w:hAnsi="Verdana"/>
          <w:sz w:val="20"/>
          <w:szCs w:val="20"/>
          <w:lang w:val="bg-BG" w:eastAsia="cs-CZ"/>
        </w:rPr>
        <w:t xml:space="preserve">В процеса на подготовка на програмата и на останалите оперативни програми течеше процес на синхронизиране, разделяне и допълване на подкрепата. В резултат много от въпросите бяха отразени и адресирани. </w:t>
      </w:r>
      <w:r w:rsidRPr="0055264C">
        <w:rPr>
          <w:rFonts w:ascii="Verdana" w:hAnsi="Verdana"/>
          <w:sz w:val="20"/>
          <w:szCs w:val="20"/>
          <w:lang w:val="bg-BG" w:eastAsia="cs-CZ"/>
        </w:rPr>
        <w:t>Тези процеси в много по-малка степен продължават и към момента и ще продължат до окончателното</w:t>
      </w:r>
      <w:r>
        <w:rPr>
          <w:rFonts w:ascii="Verdana" w:hAnsi="Verdana"/>
          <w:sz w:val="20"/>
          <w:szCs w:val="20"/>
          <w:lang w:val="bg-BG" w:eastAsia="cs-CZ"/>
        </w:rPr>
        <w:t xml:space="preserve"> одобрение на програмите. В тази връзка и Оперативна програма „Наука и образование за интелигентен растеж“ може да претърпи доуточняващи корекции по отношение на допълването и разграничаването с останалите оперативни програми. Особено необходимо е това по отношение на Оперативна програма „Иновации и конкурентоспособност“. </w:t>
      </w:r>
    </w:p>
    <w:p w:rsidR="00ED77E9" w:rsidRPr="00C37F4D" w:rsidRDefault="00ED77E9" w:rsidP="00ED77E9">
      <w:pPr>
        <w:jc w:val="both"/>
        <w:rPr>
          <w:rFonts w:ascii="Verdana" w:hAnsi="Verdana"/>
          <w:color w:val="548DD4" w:themeColor="text2" w:themeTint="99"/>
          <w:lang w:val="bg-BG"/>
        </w:rPr>
      </w:pPr>
      <w:r w:rsidRPr="00C37F4D">
        <w:rPr>
          <w:rFonts w:ascii="Verdana" w:hAnsi="Verdana"/>
          <w:color w:val="548DD4" w:themeColor="text2" w:themeTint="99"/>
          <w:lang w:val="bg-BG"/>
        </w:rPr>
        <w:t xml:space="preserve">Оценка на </w:t>
      </w:r>
      <w:r>
        <w:rPr>
          <w:rFonts w:ascii="Verdana" w:hAnsi="Verdana"/>
          <w:color w:val="548DD4" w:themeColor="text2" w:themeTint="99"/>
          <w:lang w:val="bg-BG"/>
        </w:rPr>
        <w:t>вътрешната</w:t>
      </w:r>
      <w:r w:rsidRPr="00C37F4D">
        <w:rPr>
          <w:rFonts w:ascii="Verdana" w:hAnsi="Verdana"/>
          <w:color w:val="548DD4" w:themeColor="text2" w:themeTint="99"/>
          <w:lang w:val="bg-BG"/>
        </w:rPr>
        <w:t xml:space="preserve"> съгласуваност на програмата</w:t>
      </w:r>
    </w:p>
    <w:tbl>
      <w:tblPr>
        <w:tblW w:w="0" w:type="auto"/>
        <w:tblInd w:w="108" w:type="dxa"/>
        <w:tblLook w:val="04A0" w:firstRow="1" w:lastRow="0" w:firstColumn="1" w:lastColumn="0" w:noHBand="0" w:noVBand="1"/>
      </w:tblPr>
      <w:tblGrid>
        <w:gridCol w:w="537"/>
        <w:gridCol w:w="8382"/>
      </w:tblGrid>
      <w:tr w:rsidR="00ED77E9" w:rsidRPr="00273D43" w:rsidTr="00ED77E9">
        <w:tc>
          <w:tcPr>
            <w:tcW w:w="537" w:type="dxa"/>
            <w:tcBorders>
              <w:top w:val="single" w:sz="4" w:space="0" w:color="auto"/>
              <w:bottom w:val="single" w:sz="4" w:space="0" w:color="auto"/>
            </w:tcBorders>
            <w:vAlign w:val="center"/>
          </w:tcPr>
          <w:p w:rsidR="00ED77E9" w:rsidRPr="00273D43" w:rsidRDefault="00ED77E9" w:rsidP="00ED77E9">
            <w:pPr>
              <w:pStyle w:val="BodyText"/>
              <w:spacing w:after="0" w:line="276" w:lineRule="auto"/>
              <w:jc w:val="center"/>
              <w:rPr>
                <w:rFonts w:ascii="Verdana" w:hAnsi="Verdana"/>
                <w:color w:val="548DD4"/>
                <w:sz w:val="20"/>
                <w:szCs w:val="20"/>
              </w:rPr>
            </w:pPr>
            <w:r w:rsidRPr="00273D43">
              <w:rPr>
                <w:rFonts w:ascii="Verdana" w:hAnsi="Verdana"/>
                <w:color w:val="548DD4"/>
                <w:sz w:val="36"/>
                <w:szCs w:val="36"/>
              </w:rPr>
              <w:t>?</w:t>
            </w:r>
          </w:p>
        </w:tc>
        <w:tc>
          <w:tcPr>
            <w:tcW w:w="8382" w:type="dxa"/>
            <w:tcBorders>
              <w:top w:val="single" w:sz="4" w:space="0" w:color="auto"/>
              <w:bottom w:val="single" w:sz="4" w:space="0" w:color="auto"/>
            </w:tcBorders>
            <w:shd w:val="clear" w:color="auto" w:fill="B8CCE4"/>
          </w:tcPr>
          <w:p w:rsidR="00ED77E9" w:rsidRPr="00273D43" w:rsidRDefault="00ED77E9" w:rsidP="00ED77E9">
            <w:pPr>
              <w:autoSpaceDE w:val="0"/>
              <w:autoSpaceDN w:val="0"/>
              <w:adjustRightInd w:val="0"/>
              <w:spacing w:before="120" w:after="120" w:line="240" w:lineRule="auto"/>
              <w:ind w:left="115"/>
              <w:rPr>
                <w:rFonts w:ascii="Verdana" w:hAnsi="Verdana"/>
                <w:sz w:val="20"/>
                <w:szCs w:val="20"/>
                <w:lang w:val="bg-BG"/>
              </w:rPr>
            </w:pPr>
            <w:r w:rsidRPr="00273D43">
              <w:rPr>
                <w:rFonts w:ascii="Verdana" w:hAnsi="Verdana"/>
                <w:sz w:val="20"/>
                <w:szCs w:val="20"/>
                <w:lang w:val="bg-BG"/>
              </w:rPr>
              <w:t>Уместност на стратегията на ОПНОИР</w:t>
            </w:r>
          </w:p>
        </w:tc>
      </w:tr>
    </w:tbl>
    <w:p w:rsidR="00ED77E9" w:rsidRDefault="00ED77E9" w:rsidP="00ED77E9">
      <w:pPr>
        <w:spacing w:before="240" w:after="360"/>
        <w:jc w:val="both"/>
        <w:rPr>
          <w:rFonts w:ascii="Verdana" w:eastAsia="Times New Roman" w:hAnsi="Verdana"/>
          <w:color w:val="000000"/>
          <w:sz w:val="20"/>
          <w:szCs w:val="20"/>
          <w:lang w:val="bg-BG" w:eastAsia="bg-BG"/>
        </w:rPr>
      </w:pPr>
      <w:r w:rsidRPr="00ED77E9">
        <w:rPr>
          <w:rFonts w:ascii="Verdana" w:eastAsia="Times New Roman" w:hAnsi="Verdana"/>
          <w:color w:val="000000"/>
          <w:sz w:val="20"/>
          <w:szCs w:val="20"/>
          <w:lang w:val="bg-BG" w:eastAsia="bg-BG"/>
        </w:rPr>
        <w:t>Стратегията на програмата е основана върху проблемите в следните три области: научно-изследователска дейност, висше образование</w:t>
      </w:r>
      <w:r w:rsidRPr="00D46A83">
        <w:rPr>
          <w:rFonts w:ascii="Verdana" w:eastAsia="Times New Roman" w:hAnsi="Verdana"/>
          <w:color w:val="000000"/>
          <w:sz w:val="20"/>
          <w:szCs w:val="20"/>
          <w:lang w:val="bg-BG" w:eastAsia="bg-BG"/>
        </w:rPr>
        <w:t xml:space="preserve"> и училищно образование. Стратегията е добре обоснована и мотивирана, като основните слабости са по отношение на необходимост от допълване на анализите и адресиране на всички анализирани проблеми чрез подходящи мерки</w:t>
      </w:r>
      <w:r>
        <w:rPr>
          <w:rFonts w:ascii="Verdana" w:eastAsia="Times New Roman" w:hAnsi="Verdana"/>
          <w:color w:val="000000"/>
          <w:sz w:val="20"/>
          <w:szCs w:val="20"/>
          <w:lang w:val="bg-BG" w:eastAsia="bg-BG"/>
        </w:rPr>
        <w:t>.</w:t>
      </w:r>
    </w:p>
    <w:tbl>
      <w:tblPr>
        <w:tblW w:w="0" w:type="auto"/>
        <w:tblLook w:val="04A0" w:firstRow="1" w:lastRow="0" w:firstColumn="1" w:lastColumn="0" w:noHBand="0" w:noVBand="1"/>
      </w:tblPr>
      <w:tblGrid>
        <w:gridCol w:w="527"/>
        <w:gridCol w:w="8716"/>
      </w:tblGrid>
      <w:tr w:rsidR="00ED77E9" w:rsidRPr="004C4B7D" w:rsidTr="00ED77E9">
        <w:tc>
          <w:tcPr>
            <w:tcW w:w="534" w:type="dxa"/>
            <w:vAlign w:val="center"/>
          </w:tcPr>
          <w:p w:rsidR="00ED77E9" w:rsidRPr="004C4B7D" w:rsidRDefault="00ED77E9" w:rsidP="00ED77E9">
            <w:pPr>
              <w:pStyle w:val="BodyText"/>
              <w:spacing w:after="0" w:line="276" w:lineRule="auto"/>
              <w:jc w:val="center"/>
              <w:rPr>
                <w:rFonts w:ascii="Verdana" w:hAnsi="Verdana"/>
                <w:b/>
                <w:color w:val="548DD4"/>
                <w:sz w:val="20"/>
                <w:szCs w:val="20"/>
              </w:rPr>
            </w:pPr>
            <w:r w:rsidRPr="004C4B7D">
              <w:rPr>
                <w:rFonts w:ascii="Verdana" w:hAnsi="Verdana"/>
                <w:b/>
                <w:color w:val="548DD4"/>
                <w:sz w:val="20"/>
                <w:szCs w:val="20"/>
              </w:rPr>
              <w:t>?</w:t>
            </w:r>
          </w:p>
        </w:tc>
        <w:tc>
          <w:tcPr>
            <w:tcW w:w="8966" w:type="dxa"/>
            <w:tcBorders>
              <w:top w:val="single" w:sz="4" w:space="0" w:color="auto"/>
              <w:bottom w:val="single" w:sz="4" w:space="0" w:color="auto"/>
              <w:right w:val="single" w:sz="4" w:space="0" w:color="auto"/>
            </w:tcBorders>
            <w:shd w:val="clear" w:color="auto" w:fill="B8CCE4"/>
          </w:tcPr>
          <w:p w:rsidR="00ED77E9" w:rsidRPr="004C4B7D" w:rsidRDefault="00ED77E9" w:rsidP="00ED77E9">
            <w:pPr>
              <w:pStyle w:val="ListParagraph"/>
              <w:numPr>
                <w:ilvl w:val="0"/>
                <w:numId w:val="7"/>
              </w:numPr>
              <w:autoSpaceDE w:val="0"/>
              <w:autoSpaceDN w:val="0"/>
              <w:adjustRightInd w:val="0"/>
              <w:spacing w:before="120" w:after="120" w:line="240" w:lineRule="auto"/>
              <w:ind w:left="473"/>
              <w:rPr>
                <w:rFonts w:ascii="Verdana" w:hAnsi="Verdana"/>
                <w:sz w:val="20"/>
                <w:szCs w:val="20"/>
                <w:lang w:val="bg-BG"/>
              </w:rPr>
            </w:pPr>
            <w:r w:rsidRPr="004C4B7D">
              <w:rPr>
                <w:rFonts w:ascii="Verdana" w:hAnsi="Verdana"/>
                <w:sz w:val="20"/>
                <w:szCs w:val="20"/>
                <w:lang w:val="bg-BG"/>
              </w:rPr>
              <w:t>Адекватност на мерките, заложени в програмата и степента, в която ще допринесат за постигане на целите й</w:t>
            </w:r>
          </w:p>
        </w:tc>
      </w:tr>
    </w:tbl>
    <w:p w:rsidR="00ED77E9" w:rsidRDefault="00ED77E9" w:rsidP="00ED77E9">
      <w:pPr>
        <w:spacing w:before="240" w:after="120"/>
        <w:jc w:val="both"/>
        <w:rPr>
          <w:rFonts w:ascii="Verdana" w:eastAsia="Times New Roman" w:hAnsi="Verdana"/>
          <w:color w:val="000000"/>
          <w:sz w:val="20"/>
          <w:szCs w:val="20"/>
          <w:lang w:val="bg-BG" w:eastAsia="bg-BG"/>
        </w:rPr>
      </w:pPr>
      <w:r>
        <w:rPr>
          <w:rFonts w:ascii="Verdana" w:eastAsia="Times New Roman" w:hAnsi="Verdana"/>
          <w:color w:val="000000"/>
          <w:sz w:val="20"/>
          <w:szCs w:val="20"/>
          <w:lang w:val="bg-BG" w:eastAsia="bg-BG"/>
        </w:rPr>
        <w:t>Програмата е разписана в 4 приоритетни оси. Три от осите адресират основните проблеми, дискутирани в стратегията, а четвъртата ос е предвидена за техническа помощ за подкрепа на управлението и изпълнението на програмата.</w:t>
      </w:r>
    </w:p>
    <w:p w:rsidR="00ED77E9" w:rsidRDefault="00ED77E9" w:rsidP="00ED77E9">
      <w:pPr>
        <w:spacing w:before="120" w:after="120"/>
        <w:jc w:val="both"/>
        <w:rPr>
          <w:rFonts w:ascii="Verdana" w:eastAsia="Times New Roman" w:hAnsi="Verdana"/>
          <w:color w:val="000000"/>
          <w:sz w:val="20"/>
          <w:szCs w:val="20"/>
          <w:lang w:val="bg-BG" w:eastAsia="bg-BG"/>
        </w:rPr>
      </w:pPr>
      <w:r>
        <w:rPr>
          <w:rFonts w:ascii="Verdana" w:eastAsia="Times New Roman" w:hAnsi="Verdana"/>
          <w:color w:val="000000"/>
          <w:sz w:val="20"/>
          <w:szCs w:val="20"/>
          <w:lang w:val="bg-BG" w:eastAsia="bg-BG"/>
        </w:rPr>
        <w:t>Първата специфична ос “</w:t>
      </w:r>
      <w:r w:rsidRPr="00585C07">
        <w:rPr>
          <w:rFonts w:ascii="Verdana" w:eastAsia="Times New Roman" w:hAnsi="Verdana"/>
          <w:i/>
          <w:color w:val="000000"/>
          <w:sz w:val="20"/>
          <w:szCs w:val="20"/>
          <w:lang w:val="bg-BG" w:eastAsia="bg-BG"/>
        </w:rPr>
        <w:t>Научни изследвания и технологично развитие</w:t>
      </w:r>
      <w:r>
        <w:rPr>
          <w:rFonts w:ascii="Verdana" w:eastAsia="Times New Roman" w:hAnsi="Verdana"/>
          <w:color w:val="000000"/>
          <w:sz w:val="20"/>
          <w:szCs w:val="20"/>
          <w:lang w:val="bg-BG" w:eastAsia="bg-BG"/>
        </w:rPr>
        <w:t xml:space="preserve">“ е разписана в два инвестиционни приоритета, касаещи подобряване на научната инфраструктура и насърчаване на научно-приложните дейности и връзката наука-бизнес. Двата приоритета и заложените специфични цели отразяват основните нужди. Обосновката на първата специфична цел очертава основните проблеми и </w:t>
      </w:r>
      <w:r>
        <w:rPr>
          <w:rFonts w:ascii="Verdana" w:eastAsia="Times New Roman" w:hAnsi="Verdana"/>
          <w:color w:val="000000"/>
          <w:sz w:val="20"/>
          <w:szCs w:val="20"/>
          <w:lang w:val="bg-BG" w:eastAsia="bg-BG"/>
        </w:rPr>
        <w:lastRenderedPageBreak/>
        <w:t xml:space="preserve">подходи за решаването им, но има нужда от по-добро структуриране и редактиране на текста. Обосновката на втората специфична цел е много по-неясна и поради това и подходите и мерките за нейното адресиране не са достатъчно убедителни. От особено значение за фокусиране на инвестиционния приоритет е наличието на ясна стратегия за разделяне и допълване на подкрепата, която ще бъде предоставена в тази област между Оперативна програма „Наука и образование за интелигентен растеж“ и Оперативна програма „Иновации и конкурентоспособност“. </w:t>
      </w:r>
    </w:p>
    <w:p w:rsidR="00ED77E9" w:rsidRPr="009A761F" w:rsidRDefault="00ED77E9" w:rsidP="00ED77E9">
      <w:pPr>
        <w:spacing w:before="120" w:after="120"/>
        <w:jc w:val="both"/>
        <w:rPr>
          <w:rFonts w:ascii="Verdana" w:hAnsi="Verdana"/>
          <w:sz w:val="20"/>
          <w:szCs w:val="20"/>
          <w:lang w:val="bg-BG"/>
        </w:rPr>
      </w:pPr>
      <w:r>
        <w:rPr>
          <w:rFonts w:ascii="Verdana" w:eastAsia="Times New Roman" w:hAnsi="Verdana"/>
          <w:color w:val="000000"/>
          <w:sz w:val="20"/>
          <w:szCs w:val="20"/>
          <w:lang w:val="bg-BG" w:eastAsia="bg-BG"/>
        </w:rPr>
        <w:t>Втората специфична ос “</w:t>
      </w:r>
      <w:r w:rsidRPr="00585C07">
        <w:rPr>
          <w:rFonts w:ascii="Verdana" w:eastAsia="Times New Roman" w:hAnsi="Verdana"/>
          <w:i/>
          <w:color w:val="000000"/>
          <w:sz w:val="20"/>
          <w:szCs w:val="20"/>
          <w:lang w:val="bg-BG" w:eastAsia="bg-BG"/>
        </w:rPr>
        <w:t>Образование и учене през целия живот</w:t>
      </w:r>
      <w:r>
        <w:rPr>
          <w:rFonts w:ascii="Verdana" w:eastAsia="Times New Roman" w:hAnsi="Verdana"/>
          <w:color w:val="000000"/>
          <w:sz w:val="20"/>
          <w:szCs w:val="20"/>
          <w:lang w:val="bg-BG" w:eastAsia="bg-BG"/>
        </w:rPr>
        <w:t>“ е разписана в четири инвестиционни приоритета насочени към (1) н</w:t>
      </w:r>
      <w:r w:rsidRPr="00D46A83">
        <w:rPr>
          <w:rFonts w:ascii="Verdana" w:eastAsia="Times New Roman" w:hAnsi="Verdana"/>
          <w:color w:val="000000"/>
          <w:sz w:val="20"/>
          <w:szCs w:val="20"/>
          <w:lang w:val="bg-BG" w:eastAsia="bg-BG"/>
        </w:rPr>
        <w:t xml:space="preserve">амаляване и предотвратяване на преждевременното напускане на училище, </w:t>
      </w:r>
      <w:r>
        <w:rPr>
          <w:rFonts w:ascii="Verdana" w:eastAsia="Times New Roman" w:hAnsi="Verdana"/>
          <w:color w:val="000000"/>
          <w:sz w:val="20"/>
          <w:szCs w:val="20"/>
          <w:lang w:val="bg-BG" w:eastAsia="bg-BG"/>
        </w:rPr>
        <w:t xml:space="preserve">(2) </w:t>
      </w:r>
      <w:r w:rsidRPr="00D46A83">
        <w:rPr>
          <w:rFonts w:ascii="Verdana" w:eastAsia="Times New Roman" w:hAnsi="Verdana"/>
          <w:color w:val="000000"/>
          <w:sz w:val="20"/>
          <w:szCs w:val="20"/>
          <w:lang w:val="bg-BG" w:eastAsia="bg-BG"/>
        </w:rPr>
        <w:t>подобряване на качеството и достъпа до висше образование</w:t>
      </w:r>
      <w:r>
        <w:rPr>
          <w:rFonts w:ascii="Verdana" w:eastAsia="Times New Roman" w:hAnsi="Verdana"/>
          <w:color w:val="000000"/>
          <w:sz w:val="20"/>
          <w:szCs w:val="20"/>
          <w:lang w:val="bg-BG" w:eastAsia="bg-BG"/>
        </w:rPr>
        <w:t xml:space="preserve">, (3) учене през целия живот и (4) подобряване на системите за образование и обучение спрямо пазара на труда. Първият инвестиционен приоритет е добре разписан в три специфични цели, насочени към подобряване на постиженията на децата, обхващане и задържане в училище и подобряване на качеството на образованието. Обосновката на втория инвестиционен приоритет, насочен към висшето образование, също е добре мотивирана като възможности за подобрение има по отношение на третата специфична цел, визираща достъпа до висше образование. Третият инвестиционен приоритет добре очертава проблемите, свързани с квалификацията на заетите в сферата на образованието. Втората специфична цел на приоритета, отнасяща се до продължаващото обучение е необходимо да бъде фокусирана, включително с цел да се избегне дублиране на подкрепа с Оперативна програма „Човешки ресурси”. Обосновката на четвъртия </w:t>
      </w:r>
      <w:r w:rsidRPr="009A761F">
        <w:rPr>
          <w:rFonts w:ascii="Verdana" w:eastAsia="Times New Roman" w:hAnsi="Verdana"/>
          <w:color w:val="000000"/>
          <w:sz w:val="20"/>
          <w:szCs w:val="20"/>
          <w:lang w:val="bg-BG" w:eastAsia="bg-BG"/>
        </w:rPr>
        <w:t xml:space="preserve">инвестиционен приоритет се нуждае от фокусиране и допълване на анализа на нуждите. </w:t>
      </w:r>
      <w:r w:rsidRPr="009A761F">
        <w:rPr>
          <w:rFonts w:ascii="Verdana" w:hAnsi="Verdana"/>
          <w:sz w:val="20"/>
          <w:szCs w:val="20"/>
          <w:lang w:val="bg-BG"/>
        </w:rPr>
        <w:t>Насърчаването на образование в инженерно-технически и природни специалности не е добре обосновано. Предвидената подкрепа за подобряване на компютърните умения, като цяло</w:t>
      </w:r>
      <w:r>
        <w:rPr>
          <w:rFonts w:ascii="Verdana" w:hAnsi="Verdana"/>
          <w:sz w:val="20"/>
          <w:szCs w:val="20"/>
          <w:lang w:val="bg-BG"/>
        </w:rPr>
        <w:t>,</w:t>
      </w:r>
      <w:r w:rsidRPr="009A761F">
        <w:rPr>
          <w:rFonts w:ascii="Verdana" w:hAnsi="Verdana"/>
          <w:sz w:val="20"/>
          <w:szCs w:val="20"/>
          <w:lang w:val="bg-BG"/>
        </w:rPr>
        <w:t xml:space="preserve"> вече е адресирана в предходните инвестиционни приоритети 1 и 2.</w:t>
      </w:r>
    </w:p>
    <w:p w:rsidR="00ED77E9" w:rsidRPr="009A761F" w:rsidRDefault="00ED77E9" w:rsidP="00ED77E9">
      <w:pPr>
        <w:spacing w:before="120" w:after="120"/>
        <w:jc w:val="both"/>
        <w:rPr>
          <w:rFonts w:ascii="Verdana" w:hAnsi="Verdana"/>
          <w:sz w:val="20"/>
          <w:szCs w:val="20"/>
          <w:lang w:val="bg-BG"/>
        </w:rPr>
      </w:pPr>
      <w:r w:rsidRPr="009A761F">
        <w:rPr>
          <w:rFonts w:ascii="Verdana" w:eastAsia="Times New Roman" w:hAnsi="Verdana"/>
          <w:color w:val="000000"/>
          <w:sz w:val="20"/>
          <w:szCs w:val="20"/>
          <w:lang w:val="bg-BG" w:eastAsia="bg-BG"/>
        </w:rPr>
        <w:t>Третата приоритетна ос „</w:t>
      </w:r>
      <w:r w:rsidRPr="009A761F">
        <w:rPr>
          <w:rFonts w:ascii="Verdana" w:eastAsia="Times New Roman" w:hAnsi="Verdana"/>
          <w:i/>
          <w:color w:val="000000"/>
          <w:sz w:val="20"/>
          <w:szCs w:val="20"/>
          <w:lang w:val="bg-BG" w:eastAsia="bg-BG"/>
        </w:rPr>
        <w:t>Образователна среда за активно социално приобщаване</w:t>
      </w:r>
      <w:r w:rsidRPr="009A761F">
        <w:rPr>
          <w:rFonts w:ascii="Verdana" w:eastAsia="Times New Roman" w:hAnsi="Verdana"/>
          <w:color w:val="000000"/>
          <w:sz w:val="20"/>
          <w:szCs w:val="20"/>
          <w:lang w:val="bg-BG" w:eastAsia="bg-BG"/>
        </w:rPr>
        <w:t xml:space="preserve">” е разписана в два инвестиционни приоритета, насочени към активно приобщаване с цел по-добра пригодност за заетост и социално икономическо интегриране на </w:t>
      </w:r>
      <w:proofErr w:type="spellStart"/>
      <w:r w:rsidRPr="009A761F">
        <w:rPr>
          <w:rFonts w:ascii="Verdana" w:eastAsia="Times New Roman" w:hAnsi="Verdana"/>
          <w:color w:val="000000"/>
          <w:sz w:val="20"/>
          <w:szCs w:val="20"/>
          <w:lang w:val="bg-BG" w:eastAsia="bg-BG"/>
        </w:rPr>
        <w:t>маргинализирани</w:t>
      </w:r>
      <w:proofErr w:type="spellEnd"/>
      <w:r w:rsidRPr="009A761F">
        <w:rPr>
          <w:rFonts w:ascii="Verdana" w:eastAsia="Times New Roman" w:hAnsi="Verdana"/>
          <w:color w:val="000000"/>
          <w:sz w:val="20"/>
          <w:szCs w:val="20"/>
          <w:lang w:val="bg-BG" w:eastAsia="bg-BG"/>
        </w:rPr>
        <w:t xml:space="preserve"> общности. </w:t>
      </w:r>
      <w:r w:rsidRPr="009A761F">
        <w:rPr>
          <w:rFonts w:ascii="Verdana" w:hAnsi="Verdana"/>
          <w:sz w:val="20"/>
          <w:szCs w:val="20"/>
          <w:lang w:val="bg-BG"/>
        </w:rPr>
        <w:t xml:space="preserve">Двете специфични цели </w:t>
      </w:r>
      <w:r>
        <w:rPr>
          <w:rFonts w:ascii="Verdana" w:hAnsi="Verdana"/>
          <w:sz w:val="20"/>
          <w:szCs w:val="20"/>
          <w:lang w:val="bg-BG"/>
        </w:rPr>
        <w:t>на първия инвестиционен п</w:t>
      </w:r>
      <w:r w:rsidRPr="009A761F">
        <w:rPr>
          <w:rFonts w:ascii="Verdana" w:hAnsi="Verdana"/>
          <w:sz w:val="20"/>
          <w:szCs w:val="20"/>
          <w:lang w:val="bg-BG"/>
        </w:rPr>
        <w:t>р</w:t>
      </w:r>
      <w:r>
        <w:rPr>
          <w:rFonts w:ascii="Verdana" w:hAnsi="Verdana"/>
          <w:sz w:val="20"/>
          <w:szCs w:val="20"/>
          <w:lang w:val="bg-BG"/>
        </w:rPr>
        <w:t>и</w:t>
      </w:r>
      <w:r w:rsidRPr="009A761F">
        <w:rPr>
          <w:rFonts w:ascii="Verdana" w:hAnsi="Verdana"/>
          <w:sz w:val="20"/>
          <w:szCs w:val="20"/>
          <w:lang w:val="bg-BG"/>
        </w:rPr>
        <w:t>оритет адресират два основни проблема пред приобщаващото образование: включващо образование за деца със специални образователни способности и образователната система, която взема предвид индивидуалните потребности на учащите. Обосновката на втората специфична цел е твърде обща и е възможно да бъде фокусирана върху целодневната организация на учебния процес. Обосновката на втория инвестиционен приорите</w:t>
      </w:r>
      <w:r>
        <w:rPr>
          <w:rFonts w:ascii="Verdana" w:hAnsi="Verdana"/>
          <w:sz w:val="20"/>
          <w:szCs w:val="20"/>
          <w:lang w:val="bg-BG"/>
        </w:rPr>
        <w:t>т</w:t>
      </w:r>
      <w:r w:rsidRPr="009A761F">
        <w:rPr>
          <w:rFonts w:ascii="Verdana" w:hAnsi="Verdana"/>
          <w:sz w:val="20"/>
          <w:szCs w:val="20"/>
          <w:lang w:val="bg-BG"/>
        </w:rPr>
        <w:t xml:space="preserve"> посочва основните проблеми, но не е изчерпателна по отношение на предоставяне на конкретна информация за сегрегацията в училищния процес, което в резултат би фокусирало мерките за решаване на проблемите.</w:t>
      </w:r>
    </w:p>
    <w:p w:rsidR="00ED77E9" w:rsidRPr="00266E7C" w:rsidRDefault="00ED77E9" w:rsidP="00ED77E9">
      <w:pPr>
        <w:spacing w:before="120" w:after="120"/>
        <w:jc w:val="both"/>
        <w:rPr>
          <w:rFonts w:ascii="Verdana" w:eastAsia="Times New Roman" w:hAnsi="Verdana"/>
          <w:color w:val="000000"/>
          <w:sz w:val="20"/>
          <w:szCs w:val="20"/>
          <w:lang w:val="bg-BG" w:eastAsia="bg-BG"/>
        </w:rPr>
      </w:pPr>
      <w:r w:rsidRPr="009A761F">
        <w:rPr>
          <w:rFonts w:ascii="Verdana" w:eastAsia="Times New Roman" w:hAnsi="Verdana"/>
          <w:color w:val="000000"/>
          <w:sz w:val="20"/>
          <w:szCs w:val="20"/>
          <w:lang w:val="bg-BG" w:eastAsia="bg-BG"/>
        </w:rPr>
        <w:t>Четвъртата приоритетна ос „</w:t>
      </w:r>
      <w:r w:rsidRPr="009A761F">
        <w:rPr>
          <w:rFonts w:ascii="Verdana" w:eastAsia="Times New Roman" w:hAnsi="Verdana"/>
          <w:i/>
          <w:color w:val="000000"/>
          <w:sz w:val="20"/>
          <w:szCs w:val="20"/>
          <w:lang w:val="bg-BG" w:eastAsia="bg-BG"/>
        </w:rPr>
        <w:t xml:space="preserve">Техническа помощ” </w:t>
      </w:r>
      <w:r w:rsidRPr="009A761F">
        <w:rPr>
          <w:rFonts w:ascii="Verdana" w:eastAsia="Times New Roman" w:hAnsi="Verdana"/>
          <w:color w:val="000000"/>
          <w:sz w:val="20"/>
          <w:szCs w:val="20"/>
          <w:lang w:val="bg-BG" w:eastAsia="bg-BG"/>
        </w:rPr>
        <w:t>е разписан</w:t>
      </w:r>
      <w:r>
        <w:rPr>
          <w:rFonts w:ascii="Verdana" w:eastAsia="Times New Roman" w:hAnsi="Verdana"/>
          <w:color w:val="000000"/>
          <w:sz w:val="20"/>
          <w:szCs w:val="20"/>
          <w:lang w:val="bg-BG" w:eastAsia="bg-BG"/>
        </w:rPr>
        <w:t>а</w:t>
      </w:r>
      <w:r w:rsidRPr="009A761F">
        <w:rPr>
          <w:rFonts w:ascii="Verdana" w:eastAsia="Times New Roman" w:hAnsi="Verdana"/>
          <w:color w:val="000000"/>
          <w:sz w:val="20"/>
          <w:szCs w:val="20"/>
          <w:lang w:val="bg-BG" w:eastAsia="bg-BG"/>
        </w:rPr>
        <w:t xml:space="preserve"> в една специфична</w:t>
      </w:r>
      <w:r w:rsidRPr="00266E7C">
        <w:rPr>
          <w:rFonts w:ascii="Verdana" w:eastAsia="Times New Roman" w:hAnsi="Verdana"/>
          <w:color w:val="000000"/>
          <w:sz w:val="20"/>
          <w:szCs w:val="20"/>
          <w:lang w:val="bg-BG" w:eastAsia="bg-BG"/>
        </w:rPr>
        <w:t xml:space="preserve"> цел</w:t>
      </w:r>
      <w:r>
        <w:rPr>
          <w:rFonts w:ascii="Verdana" w:eastAsia="Times New Roman" w:hAnsi="Verdana"/>
          <w:color w:val="000000"/>
          <w:sz w:val="20"/>
          <w:szCs w:val="20"/>
          <w:lang w:val="bg-BG" w:eastAsia="bg-BG"/>
        </w:rPr>
        <w:t>, покриваща нуждата от укрепване на административния капацитет на управляващия орган и на бенефициентите по програмата. Като цяло основните нужди са очертани както и възможните мерки за тяхното решаване.</w:t>
      </w:r>
    </w:p>
    <w:tbl>
      <w:tblPr>
        <w:tblW w:w="0" w:type="auto"/>
        <w:tblLook w:val="04A0" w:firstRow="1" w:lastRow="0" w:firstColumn="1" w:lastColumn="0" w:noHBand="0" w:noVBand="1"/>
      </w:tblPr>
      <w:tblGrid>
        <w:gridCol w:w="528"/>
        <w:gridCol w:w="8494"/>
      </w:tblGrid>
      <w:tr w:rsidR="00ED77E9" w:rsidRPr="004C4B7D" w:rsidTr="00ED77E9">
        <w:tc>
          <w:tcPr>
            <w:tcW w:w="528" w:type="dxa"/>
            <w:vAlign w:val="center"/>
          </w:tcPr>
          <w:p w:rsidR="00ED77E9" w:rsidRPr="004C4B7D" w:rsidRDefault="00ED77E9" w:rsidP="00B045AA">
            <w:pPr>
              <w:pStyle w:val="BodyText"/>
              <w:keepNext/>
              <w:spacing w:after="0" w:line="276" w:lineRule="auto"/>
              <w:jc w:val="center"/>
              <w:rPr>
                <w:rFonts w:ascii="Verdana" w:hAnsi="Verdana"/>
                <w:b/>
                <w:color w:val="548DD4"/>
                <w:sz w:val="20"/>
                <w:szCs w:val="20"/>
              </w:rPr>
            </w:pPr>
            <w:r w:rsidRPr="004C4B7D">
              <w:rPr>
                <w:rFonts w:ascii="Verdana" w:hAnsi="Verdana"/>
                <w:b/>
                <w:color w:val="548DD4"/>
                <w:sz w:val="20"/>
                <w:szCs w:val="20"/>
              </w:rPr>
              <w:lastRenderedPageBreak/>
              <w:t>?</w:t>
            </w:r>
          </w:p>
        </w:tc>
        <w:tc>
          <w:tcPr>
            <w:tcW w:w="8494" w:type="dxa"/>
            <w:tcBorders>
              <w:top w:val="single" w:sz="4" w:space="0" w:color="auto"/>
              <w:bottom w:val="single" w:sz="4" w:space="0" w:color="auto"/>
              <w:right w:val="single" w:sz="4" w:space="0" w:color="auto"/>
            </w:tcBorders>
            <w:shd w:val="clear" w:color="auto" w:fill="B8CCE4"/>
          </w:tcPr>
          <w:p w:rsidR="00ED77E9" w:rsidRPr="004C4B7D" w:rsidRDefault="00ED77E9" w:rsidP="00B045AA">
            <w:pPr>
              <w:pStyle w:val="ListParagraph"/>
              <w:keepNext/>
              <w:numPr>
                <w:ilvl w:val="0"/>
                <w:numId w:val="7"/>
              </w:numPr>
              <w:autoSpaceDE w:val="0"/>
              <w:autoSpaceDN w:val="0"/>
              <w:adjustRightInd w:val="0"/>
              <w:spacing w:before="120" w:after="120" w:line="240" w:lineRule="auto"/>
              <w:ind w:left="473"/>
              <w:rPr>
                <w:rFonts w:ascii="Verdana" w:hAnsi="Verdana"/>
                <w:sz w:val="20"/>
                <w:szCs w:val="20"/>
                <w:lang w:val="bg-BG"/>
              </w:rPr>
            </w:pPr>
            <w:r w:rsidRPr="004C4B7D">
              <w:rPr>
                <w:rFonts w:ascii="Verdana" w:hAnsi="Verdana"/>
                <w:sz w:val="20"/>
                <w:szCs w:val="20"/>
                <w:lang w:val="bg-BG"/>
              </w:rPr>
              <w:t>Адекватност на определените допустими бенефициенти и целеви групи</w:t>
            </w:r>
          </w:p>
        </w:tc>
      </w:tr>
    </w:tbl>
    <w:p w:rsidR="00ED77E9" w:rsidRDefault="00ED77E9" w:rsidP="00ED77E9">
      <w:pPr>
        <w:spacing w:before="240" w:after="360"/>
        <w:jc w:val="both"/>
        <w:rPr>
          <w:rFonts w:ascii="Verdana" w:eastAsia="Times New Roman" w:hAnsi="Verdana"/>
          <w:color w:val="000000"/>
          <w:sz w:val="20"/>
          <w:szCs w:val="20"/>
          <w:lang w:val="bg-BG" w:eastAsia="bg-BG"/>
        </w:rPr>
      </w:pPr>
      <w:r>
        <w:rPr>
          <w:rFonts w:ascii="Verdana" w:eastAsia="Times New Roman" w:hAnsi="Verdana"/>
          <w:color w:val="000000"/>
          <w:sz w:val="20"/>
          <w:szCs w:val="20"/>
          <w:lang w:val="bg-BG" w:eastAsia="bg-BG"/>
        </w:rPr>
        <w:t>Бенефициентите и целевите групи като цяло са адекватно определени и отговарят на заложените мерки и дейности. Изключение е Министерството на образованието и науката, което е включено като бенефициент по приоритетна ос 1 без неговата роля в мерките за подкрепа на научните изследвания и технологично развитие да е много ясна.</w:t>
      </w:r>
    </w:p>
    <w:tbl>
      <w:tblPr>
        <w:tblW w:w="0" w:type="auto"/>
        <w:tblInd w:w="108" w:type="dxa"/>
        <w:tblBorders>
          <w:top w:val="single" w:sz="4" w:space="0" w:color="auto"/>
          <w:bottom w:val="single" w:sz="4" w:space="0" w:color="auto"/>
        </w:tblBorders>
        <w:tblLook w:val="04A0" w:firstRow="1" w:lastRow="0" w:firstColumn="1" w:lastColumn="0" w:noHBand="0" w:noVBand="1"/>
      </w:tblPr>
      <w:tblGrid>
        <w:gridCol w:w="420"/>
        <w:gridCol w:w="8494"/>
      </w:tblGrid>
      <w:tr w:rsidR="00ED77E9" w:rsidRPr="00937B75" w:rsidTr="00ED77E9">
        <w:trPr>
          <w:trHeight w:val="563"/>
        </w:trPr>
        <w:tc>
          <w:tcPr>
            <w:tcW w:w="420" w:type="dxa"/>
            <w:vAlign w:val="center"/>
          </w:tcPr>
          <w:p w:rsidR="00ED77E9" w:rsidRPr="00937B75" w:rsidRDefault="00ED77E9" w:rsidP="00ED77E9">
            <w:pPr>
              <w:pStyle w:val="BodyText"/>
              <w:spacing w:after="0" w:line="276" w:lineRule="auto"/>
              <w:jc w:val="center"/>
              <w:rPr>
                <w:rFonts w:ascii="Verdana" w:hAnsi="Verdana"/>
                <w:color w:val="548DD4"/>
                <w:sz w:val="36"/>
                <w:szCs w:val="36"/>
              </w:rPr>
            </w:pPr>
            <w:r w:rsidRPr="00937B75">
              <w:rPr>
                <w:rFonts w:ascii="Verdana" w:hAnsi="Verdana"/>
                <w:color w:val="548DD4"/>
                <w:sz w:val="36"/>
                <w:szCs w:val="36"/>
              </w:rPr>
              <w:t>?</w:t>
            </w:r>
          </w:p>
        </w:tc>
        <w:tc>
          <w:tcPr>
            <w:tcW w:w="8494" w:type="dxa"/>
            <w:shd w:val="clear" w:color="auto" w:fill="B8CCE4"/>
            <w:vAlign w:val="center"/>
          </w:tcPr>
          <w:p w:rsidR="00ED77E9" w:rsidRPr="00937B75" w:rsidRDefault="00ED77E9" w:rsidP="00ED77E9">
            <w:pPr>
              <w:autoSpaceDE w:val="0"/>
              <w:autoSpaceDN w:val="0"/>
              <w:adjustRightInd w:val="0"/>
              <w:spacing w:before="120" w:after="120" w:line="240" w:lineRule="auto"/>
              <w:ind w:left="115"/>
              <w:rPr>
                <w:rFonts w:ascii="Verdana" w:hAnsi="Verdana"/>
                <w:sz w:val="20"/>
                <w:szCs w:val="20"/>
                <w:lang w:val="bg-BG"/>
              </w:rPr>
            </w:pPr>
            <w:r w:rsidRPr="00937B75">
              <w:rPr>
                <w:rFonts w:ascii="Verdana" w:hAnsi="Verdana"/>
                <w:sz w:val="20"/>
                <w:szCs w:val="20"/>
                <w:lang w:val="bg-BG"/>
              </w:rPr>
              <w:t>Уместност на предложените форми за подкрепа;</w:t>
            </w:r>
          </w:p>
        </w:tc>
      </w:tr>
    </w:tbl>
    <w:p w:rsidR="00ED77E9" w:rsidRDefault="00ED77E9" w:rsidP="00ED77E9">
      <w:pPr>
        <w:spacing w:before="240" w:after="120"/>
        <w:jc w:val="both"/>
        <w:rPr>
          <w:rFonts w:ascii="Verdana" w:eastAsia="Times New Roman" w:hAnsi="Verdana"/>
          <w:color w:val="000000"/>
          <w:sz w:val="20"/>
          <w:szCs w:val="20"/>
          <w:lang w:val="bg-BG" w:eastAsia="bg-BG"/>
        </w:rPr>
      </w:pPr>
      <w:r>
        <w:rPr>
          <w:rFonts w:ascii="Verdana" w:eastAsia="Times New Roman" w:hAnsi="Verdana"/>
          <w:color w:val="000000"/>
          <w:sz w:val="20"/>
          <w:szCs w:val="20"/>
          <w:lang w:val="bg-BG" w:eastAsia="bg-BG"/>
        </w:rPr>
        <w:t>Програмата не предвижда конкретни форми на подкрепа, като очакванията са, че подкрепата ще бъде предоставяна както чрез договори за директно предоставяне на безвъзмездна помощ, така и на конкурентен принцип. Предложените принципи за подбор на операции като цяло са уместни. Два от тях – относно тематичната концентрация и прилагането на хоризон</w:t>
      </w:r>
      <w:r w:rsidR="001B4183">
        <w:rPr>
          <w:rFonts w:ascii="Verdana" w:eastAsia="Times New Roman" w:hAnsi="Verdana"/>
          <w:color w:val="000000"/>
          <w:sz w:val="20"/>
          <w:szCs w:val="20"/>
          <w:lang w:val="bg-BG" w:eastAsia="bg-BG"/>
        </w:rPr>
        <w:t>талните принципи са твърде общи и</w:t>
      </w:r>
      <w:r>
        <w:rPr>
          <w:rFonts w:ascii="Verdana" w:eastAsia="Times New Roman" w:hAnsi="Verdana"/>
          <w:color w:val="000000"/>
          <w:sz w:val="20"/>
          <w:szCs w:val="20"/>
          <w:lang w:val="bg-BG" w:eastAsia="bg-BG"/>
        </w:rPr>
        <w:t xml:space="preserve"> от задължителен характер за всички операции и поради това нямат добавена стойност при избора на операции.</w:t>
      </w:r>
    </w:p>
    <w:p w:rsidR="00ED77E9" w:rsidRDefault="00ED77E9" w:rsidP="00ED77E9">
      <w:pPr>
        <w:spacing w:before="120" w:after="120"/>
        <w:jc w:val="both"/>
        <w:rPr>
          <w:rFonts w:ascii="Verdana" w:eastAsia="Times New Roman" w:hAnsi="Verdana"/>
          <w:color w:val="000000"/>
          <w:sz w:val="20"/>
          <w:szCs w:val="20"/>
          <w:lang w:val="bg-BG" w:eastAsia="bg-BG"/>
        </w:rPr>
      </w:pPr>
      <w:r>
        <w:rPr>
          <w:rFonts w:ascii="Verdana" w:eastAsia="Times New Roman" w:hAnsi="Verdana"/>
          <w:color w:val="000000"/>
          <w:sz w:val="20"/>
          <w:szCs w:val="20"/>
          <w:lang w:val="bg-BG" w:eastAsia="bg-BG"/>
        </w:rPr>
        <w:t>Не се предвижда използване на финансови инструменти. Предвид, че са заложени дейности където има потенциал за прилагане на такива инструменти (стипендии, съвместни инициативи наука-бизнес) е препоръчително да се анализират възможностите за използване на финансови инструменти за някои от мерките.</w:t>
      </w:r>
    </w:p>
    <w:p w:rsidR="00ED77E9" w:rsidRDefault="00ED77E9" w:rsidP="00ED77E9">
      <w:pPr>
        <w:spacing w:before="120" w:after="120"/>
        <w:jc w:val="both"/>
        <w:rPr>
          <w:rFonts w:ascii="Verdana" w:eastAsia="Times New Roman" w:hAnsi="Verdana"/>
          <w:color w:val="000000"/>
          <w:sz w:val="20"/>
          <w:szCs w:val="20"/>
          <w:lang w:val="bg-BG" w:eastAsia="bg-BG"/>
        </w:rPr>
      </w:pPr>
    </w:p>
    <w:tbl>
      <w:tblPr>
        <w:tblW w:w="0" w:type="auto"/>
        <w:tblInd w:w="108" w:type="dxa"/>
        <w:tblBorders>
          <w:top w:val="single" w:sz="4" w:space="0" w:color="auto"/>
          <w:bottom w:val="single" w:sz="4" w:space="0" w:color="auto"/>
        </w:tblBorders>
        <w:tblLook w:val="04A0" w:firstRow="1" w:lastRow="0" w:firstColumn="1" w:lastColumn="0" w:noHBand="0" w:noVBand="1"/>
      </w:tblPr>
      <w:tblGrid>
        <w:gridCol w:w="718"/>
        <w:gridCol w:w="8417"/>
      </w:tblGrid>
      <w:tr w:rsidR="00ED77E9" w:rsidRPr="00B45B4F" w:rsidTr="00ED77E9">
        <w:tc>
          <w:tcPr>
            <w:tcW w:w="720" w:type="dxa"/>
            <w:vAlign w:val="center"/>
          </w:tcPr>
          <w:p w:rsidR="00ED77E9" w:rsidRPr="00B45B4F" w:rsidRDefault="00ED77E9" w:rsidP="00ED77E9">
            <w:pPr>
              <w:pStyle w:val="BodyText"/>
              <w:keepNext/>
              <w:spacing w:after="0" w:line="276" w:lineRule="auto"/>
              <w:jc w:val="center"/>
              <w:rPr>
                <w:rFonts w:ascii="Verdana" w:hAnsi="Verdana"/>
                <w:color w:val="548DD4"/>
                <w:sz w:val="36"/>
                <w:szCs w:val="36"/>
              </w:rPr>
            </w:pPr>
            <w:r w:rsidRPr="00B45B4F">
              <w:rPr>
                <w:rFonts w:ascii="Verdana" w:eastAsia="Times New Roman" w:hAnsi="Verdana"/>
                <w:b/>
                <w:color w:val="548DD4"/>
                <w:sz w:val="36"/>
                <w:szCs w:val="36"/>
              </w:rPr>
              <w:t>?</w:t>
            </w:r>
          </w:p>
        </w:tc>
        <w:tc>
          <w:tcPr>
            <w:tcW w:w="8460" w:type="dxa"/>
            <w:shd w:val="clear" w:color="auto" w:fill="B8CCE4"/>
          </w:tcPr>
          <w:p w:rsidR="00ED77E9" w:rsidRPr="00BD61F8" w:rsidRDefault="00ED77E9" w:rsidP="00ED77E9">
            <w:pPr>
              <w:keepNext/>
              <w:autoSpaceDE w:val="0"/>
              <w:autoSpaceDN w:val="0"/>
              <w:adjustRightInd w:val="0"/>
              <w:spacing w:after="120" w:line="240" w:lineRule="auto"/>
              <w:ind w:left="72"/>
              <w:rPr>
                <w:rFonts w:ascii="Verdana" w:hAnsi="Verdana"/>
                <w:sz w:val="20"/>
                <w:szCs w:val="20"/>
                <w:lang w:val="bg-BG"/>
              </w:rPr>
            </w:pPr>
            <w:r w:rsidRPr="00BD61F8">
              <w:rPr>
                <w:rFonts w:ascii="Verdana" w:hAnsi="Verdana"/>
                <w:sz w:val="20"/>
                <w:szCs w:val="20"/>
                <w:lang w:val="bg-BG"/>
              </w:rPr>
              <w:t xml:space="preserve">Оценка на интегрирането на хоризонталните принципи </w:t>
            </w:r>
          </w:p>
          <w:p w:rsidR="00ED77E9" w:rsidRPr="00B45B4F" w:rsidRDefault="00ED77E9" w:rsidP="00ED77E9">
            <w:pPr>
              <w:pStyle w:val="ListParagraph"/>
              <w:keepNext/>
              <w:numPr>
                <w:ilvl w:val="0"/>
                <w:numId w:val="57"/>
              </w:numPr>
              <w:autoSpaceDE w:val="0"/>
              <w:autoSpaceDN w:val="0"/>
              <w:adjustRightInd w:val="0"/>
              <w:spacing w:before="120" w:after="120" w:line="240" w:lineRule="auto"/>
              <w:ind w:left="522"/>
              <w:rPr>
                <w:rFonts w:ascii="Verdana" w:hAnsi="Verdana"/>
                <w:sz w:val="20"/>
                <w:szCs w:val="20"/>
                <w:lang w:val="bg-BG"/>
              </w:rPr>
            </w:pPr>
            <w:r w:rsidRPr="00B45B4F">
              <w:rPr>
                <w:rFonts w:ascii="Verdana" w:hAnsi="Verdana"/>
                <w:sz w:val="20"/>
                <w:szCs w:val="20"/>
                <w:lang w:val="bg-BG"/>
              </w:rPr>
              <w:t xml:space="preserve">Анализ на степента, в която принципът за равенство и </w:t>
            </w:r>
            <w:proofErr w:type="spellStart"/>
            <w:r w:rsidRPr="00B45B4F">
              <w:rPr>
                <w:rFonts w:ascii="Verdana" w:hAnsi="Verdana"/>
                <w:sz w:val="20"/>
                <w:szCs w:val="20"/>
                <w:lang w:val="bg-BG"/>
              </w:rPr>
              <w:t>недискриминация</w:t>
            </w:r>
            <w:proofErr w:type="spellEnd"/>
            <w:r w:rsidRPr="00B45B4F">
              <w:rPr>
                <w:rFonts w:ascii="Verdana" w:hAnsi="Verdana"/>
                <w:sz w:val="20"/>
                <w:szCs w:val="20"/>
                <w:lang w:val="bg-BG"/>
              </w:rPr>
              <w:t xml:space="preserve"> е залегнал в програмния документ и степента, в която фигурира в различните части на програмата;</w:t>
            </w:r>
          </w:p>
          <w:p w:rsidR="00ED77E9" w:rsidRPr="00B45B4F" w:rsidRDefault="00ED77E9" w:rsidP="00ED77E9">
            <w:pPr>
              <w:pStyle w:val="ListParagraph"/>
              <w:keepNext/>
              <w:numPr>
                <w:ilvl w:val="0"/>
                <w:numId w:val="57"/>
              </w:numPr>
              <w:autoSpaceDE w:val="0"/>
              <w:autoSpaceDN w:val="0"/>
              <w:adjustRightInd w:val="0"/>
              <w:spacing w:before="120" w:after="120" w:line="240" w:lineRule="auto"/>
              <w:ind w:left="522"/>
              <w:rPr>
                <w:rFonts w:ascii="Verdana" w:hAnsi="Verdana"/>
                <w:sz w:val="18"/>
                <w:szCs w:val="18"/>
                <w:lang w:val="bg-BG"/>
              </w:rPr>
            </w:pPr>
            <w:r w:rsidRPr="00B45B4F">
              <w:rPr>
                <w:rFonts w:ascii="Verdana" w:hAnsi="Verdana"/>
                <w:sz w:val="20"/>
                <w:szCs w:val="20"/>
                <w:lang w:val="bg-BG"/>
              </w:rPr>
              <w:t xml:space="preserve">Оценка на потенциалния принос на програмата към насърчаването на равните възможности между половете и </w:t>
            </w:r>
            <w:proofErr w:type="spellStart"/>
            <w:r w:rsidRPr="00B45B4F">
              <w:rPr>
                <w:rFonts w:ascii="Verdana" w:hAnsi="Verdana"/>
                <w:sz w:val="20"/>
                <w:szCs w:val="20"/>
                <w:lang w:val="bg-BG"/>
              </w:rPr>
              <w:t>недискриминацията</w:t>
            </w:r>
            <w:proofErr w:type="spellEnd"/>
            <w:r w:rsidRPr="00B45B4F">
              <w:rPr>
                <w:rFonts w:ascii="Verdana" w:hAnsi="Verdana"/>
                <w:sz w:val="20"/>
                <w:szCs w:val="20"/>
                <w:lang w:val="bg-BG"/>
              </w:rPr>
              <w:t>;</w:t>
            </w:r>
          </w:p>
        </w:tc>
      </w:tr>
    </w:tbl>
    <w:p w:rsidR="00ED77E9" w:rsidRDefault="00ED77E9" w:rsidP="00ED77E9">
      <w:pPr>
        <w:spacing w:before="240" w:after="360"/>
        <w:jc w:val="both"/>
        <w:rPr>
          <w:rFonts w:ascii="Verdana" w:eastAsia="Times New Roman" w:hAnsi="Verdana"/>
          <w:color w:val="000000"/>
          <w:sz w:val="20"/>
          <w:szCs w:val="20"/>
          <w:lang w:val="bg-BG" w:eastAsia="bg-BG"/>
        </w:rPr>
      </w:pPr>
      <w:r>
        <w:rPr>
          <w:rFonts w:ascii="Verdana" w:eastAsia="Times New Roman" w:hAnsi="Verdana"/>
          <w:color w:val="000000"/>
          <w:sz w:val="20"/>
          <w:szCs w:val="20"/>
          <w:lang w:val="bg-BG" w:eastAsia="bg-BG"/>
        </w:rPr>
        <w:t xml:space="preserve">В програмата са залегнали основните хоризонтални принципи – „партньорство”, „равенство и </w:t>
      </w:r>
      <w:proofErr w:type="spellStart"/>
      <w:r>
        <w:rPr>
          <w:rFonts w:ascii="Verdana" w:eastAsia="Times New Roman" w:hAnsi="Verdana"/>
          <w:color w:val="000000"/>
          <w:sz w:val="20"/>
          <w:szCs w:val="20"/>
          <w:lang w:val="bg-BG" w:eastAsia="bg-BG"/>
        </w:rPr>
        <w:t>недискриминация</w:t>
      </w:r>
      <w:proofErr w:type="spellEnd"/>
      <w:r>
        <w:rPr>
          <w:rFonts w:ascii="Verdana" w:eastAsia="Times New Roman" w:hAnsi="Verdana"/>
          <w:color w:val="000000"/>
          <w:sz w:val="20"/>
          <w:szCs w:val="20"/>
          <w:lang w:val="bg-BG" w:eastAsia="bg-BG"/>
        </w:rPr>
        <w:t>”, „устойчиво развитие”, „равенство между половете”, „социални иновации” и „транснационално сътрудничество”. Предвижда се принципите да бъдат интегрирани в програмата както чрез конкретни мерки, така и чрез предоставяне на предимство при подбора на проекти. Не са разписани механизми за наблюдение на прилагане на принципите за „устойчиво развити</w:t>
      </w:r>
      <w:r w:rsidR="001B4183">
        <w:rPr>
          <w:rFonts w:ascii="Verdana" w:eastAsia="Times New Roman" w:hAnsi="Verdana"/>
          <w:color w:val="000000"/>
          <w:sz w:val="20"/>
          <w:szCs w:val="20"/>
          <w:lang w:val="bg-BG" w:eastAsia="bg-BG"/>
        </w:rPr>
        <w:t>е” и „равенство между половете”. П</w:t>
      </w:r>
      <w:r>
        <w:rPr>
          <w:rFonts w:ascii="Verdana" w:eastAsia="Times New Roman" w:hAnsi="Verdana"/>
          <w:color w:val="000000"/>
          <w:sz w:val="20"/>
          <w:szCs w:val="20"/>
          <w:lang w:val="bg-BG" w:eastAsia="bg-BG"/>
        </w:rPr>
        <w:t xml:space="preserve">редвидените специални проверки за наблюдение на прилагането на принципа за „равенство и </w:t>
      </w:r>
      <w:proofErr w:type="spellStart"/>
      <w:r>
        <w:rPr>
          <w:rFonts w:ascii="Verdana" w:eastAsia="Times New Roman" w:hAnsi="Verdana"/>
          <w:color w:val="000000"/>
          <w:sz w:val="20"/>
          <w:szCs w:val="20"/>
          <w:lang w:val="bg-BG" w:eastAsia="bg-BG"/>
        </w:rPr>
        <w:t>недискриминация</w:t>
      </w:r>
      <w:proofErr w:type="spellEnd"/>
      <w:r>
        <w:rPr>
          <w:rFonts w:ascii="Verdana" w:eastAsia="Times New Roman" w:hAnsi="Verdana"/>
          <w:color w:val="000000"/>
          <w:sz w:val="20"/>
          <w:szCs w:val="20"/>
          <w:lang w:val="bg-BG" w:eastAsia="bg-BG"/>
        </w:rPr>
        <w:t>” е възможно да доведат до увеличаване на административната тежест, както за Управляващия орган така и за бенефициентите.</w:t>
      </w:r>
    </w:p>
    <w:p w:rsidR="00B045AA" w:rsidRDefault="00B045AA" w:rsidP="00ED77E9">
      <w:pPr>
        <w:spacing w:before="240" w:after="360"/>
        <w:jc w:val="both"/>
        <w:rPr>
          <w:rFonts w:ascii="Verdana" w:eastAsia="Times New Roman" w:hAnsi="Verdana"/>
          <w:color w:val="000000"/>
          <w:sz w:val="20"/>
          <w:szCs w:val="20"/>
          <w:lang w:val="bg-BG" w:eastAsia="bg-BG"/>
        </w:rPr>
      </w:pPr>
    </w:p>
    <w:p w:rsidR="00B045AA" w:rsidRPr="00173D95" w:rsidRDefault="00B045AA" w:rsidP="00ED77E9">
      <w:pPr>
        <w:spacing w:before="240" w:after="360"/>
        <w:jc w:val="both"/>
        <w:rPr>
          <w:rFonts w:ascii="Verdana" w:eastAsia="Times New Roman" w:hAnsi="Verdana"/>
          <w:color w:val="000000"/>
          <w:sz w:val="20"/>
          <w:szCs w:val="20"/>
          <w:lang w:val="bg-BG" w:eastAsia="bg-BG"/>
        </w:rPr>
      </w:pPr>
    </w:p>
    <w:p w:rsidR="00ED77E9" w:rsidRDefault="00ED77E9" w:rsidP="00ED77E9">
      <w:pPr>
        <w:jc w:val="both"/>
        <w:rPr>
          <w:rFonts w:ascii="Verdana" w:hAnsi="Verdana"/>
          <w:color w:val="548DD4" w:themeColor="text2" w:themeTint="99"/>
          <w:lang w:val="bg-BG"/>
        </w:rPr>
      </w:pPr>
      <w:r w:rsidRPr="00470F95">
        <w:rPr>
          <w:rFonts w:ascii="Verdana" w:hAnsi="Verdana"/>
          <w:color w:val="548DD4" w:themeColor="text2" w:themeTint="99"/>
          <w:lang w:val="bg-BG"/>
        </w:rPr>
        <w:lastRenderedPageBreak/>
        <w:t>Оценка на системата от и</w:t>
      </w:r>
      <w:r>
        <w:rPr>
          <w:rFonts w:ascii="Verdana" w:hAnsi="Verdana"/>
          <w:color w:val="548DD4" w:themeColor="text2" w:themeTint="99"/>
          <w:lang w:val="bg-BG"/>
        </w:rPr>
        <w:t>нд</w:t>
      </w:r>
      <w:r w:rsidRPr="00470F95">
        <w:rPr>
          <w:rFonts w:ascii="Verdana" w:hAnsi="Verdana"/>
          <w:color w:val="548DD4" w:themeColor="text2" w:themeTint="99"/>
          <w:lang w:val="bg-BG"/>
        </w:rPr>
        <w:t>икатори</w:t>
      </w:r>
    </w:p>
    <w:tbl>
      <w:tblPr>
        <w:tblW w:w="0" w:type="auto"/>
        <w:tblInd w:w="108" w:type="dxa"/>
        <w:tblBorders>
          <w:top w:val="single" w:sz="4" w:space="0" w:color="auto"/>
          <w:bottom w:val="single" w:sz="4" w:space="0" w:color="auto"/>
        </w:tblBorders>
        <w:tblLook w:val="04A0" w:firstRow="1" w:lastRow="0" w:firstColumn="1" w:lastColumn="0" w:noHBand="0" w:noVBand="1"/>
      </w:tblPr>
      <w:tblGrid>
        <w:gridCol w:w="567"/>
        <w:gridCol w:w="8352"/>
      </w:tblGrid>
      <w:tr w:rsidR="00ED77E9" w:rsidRPr="00D84F40" w:rsidTr="00B122A1">
        <w:tc>
          <w:tcPr>
            <w:tcW w:w="567" w:type="dxa"/>
            <w:vAlign w:val="center"/>
          </w:tcPr>
          <w:p w:rsidR="00ED77E9" w:rsidRPr="00D84F40" w:rsidRDefault="00ED77E9" w:rsidP="00ED77E9">
            <w:pPr>
              <w:spacing w:after="0"/>
              <w:jc w:val="center"/>
              <w:rPr>
                <w:rFonts w:ascii="Verdana" w:eastAsia="Times New Roman" w:hAnsi="Verdana"/>
                <w:color w:val="548DD4"/>
                <w:sz w:val="36"/>
                <w:szCs w:val="36"/>
                <w:lang w:val="bg-BG" w:eastAsia="bg-BG"/>
              </w:rPr>
            </w:pPr>
            <w:r w:rsidRPr="00D84F40">
              <w:rPr>
                <w:rFonts w:ascii="Verdana" w:eastAsia="Times New Roman" w:hAnsi="Verdana"/>
                <w:color w:val="548DD4"/>
                <w:sz w:val="36"/>
                <w:szCs w:val="36"/>
                <w:lang w:val="bg-BG" w:eastAsia="bg-BG"/>
              </w:rPr>
              <w:t>?</w:t>
            </w:r>
          </w:p>
        </w:tc>
        <w:tc>
          <w:tcPr>
            <w:tcW w:w="8352" w:type="dxa"/>
            <w:shd w:val="clear" w:color="auto" w:fill="B8CCE4"/>
          </w:tcPr>
          <w:p w:rsidR="00ED77E9" w:rsidRPr="00D84F40" w:rsidRDefault="00ED77E9" w:rsidP="00ED77E9">
            <w:pPr>
              <w:autoSpaceDE w:val="0"/>
              <w:autoSpaceDN w:val="0"/>
              <w:adjustRightInd w:val="0"/>
              <w:spacing w:before="120" w:after="120"/>
              <w:ind w:left="113"/>
              <w:rPr>
                <w:rFonts w:ascii="Verdana" w:eastAsia="Times New Roman" w:hAnsi="Verdana"/>
                <w:sz w:val="20"/>
                <w:szCs w:val="20"/>
                <w:lang w:val="bg-BG"/>
              </w:rPr>
            </w:pPr>
            <w:r w:rsidRPr="00D84F40">
              <w:rPr>
                <w:rFonts w:ascii="Verdana" w:hAnsi="Verdana"/>
                <w:sz w:val="20"/>
                <w:szCs w:val="20"/>
                <w:lang w:val="bg-BG"/>
              </w:rPr>
              <w:t>Оценка на уместността и яснотата на системата от индикатори</w:t>
            </w:r>
          </w:p>
        </w:tc>
      </w:tr>
    </w:tbl>
    <w:p w:rsidR="00ED77E9" w:rsidRDefault="00B122A1" w:rsidP="00ED77E9">
      <w:pPr>
        <w:spacing w:before="240" w:after="360"/>
        <w:jc w:val="both"/>
        <w:rPr>
          <w:rFonts w:ascii="Verdana" w:eastAsia="Times New Roman" w:hAnsi="Verdana"/>
          <w:color w:val="000000"/>
          <w:sz w:val="20"/>
          <w:szCs w:val="20"/>
          <w:lang w:val="bg-BG" w:eastAsia="bg-BG"/>
        </w:rPr>
      </w:pPr>
      <w:r>
        <w:rPr>
          <w:rFonts w:ascii="Verdana" w:eastAsia="Times New Roman" w:hAnsi="Verdana"/>
          <w:color w:val="000000"/>
          <w:sz w:val="20"/>
          <w:szCs w:val="20"/>
          <w:lang w:val="bg-BG" w:eastAsia="bg-BG"/>
        </w:rPr>
        <w:t>Системата от индикатори беше подобрявана и доработвана, както м. август ГД СФМОП предложи и базови и целеви стойности по повечето от индикаторите. Все още са необходимо уточняване на системата от гледна точка на намаляване на броя на индикаторите за резултат за някои от специфичните цели и ясното им обвързване със специфичните цели. Отправени са специфични бележки.</w:t>
      </w:r>
    </w:p>
    <w:tbl>
      <w:tblPr>
        <w:tblW w:w="0" w:type="auto"/>
        <w:tblInd w:w="108" w:type="dxa"/>
        <w:tblBorders>
          <w:top w:val="single" w:sz="4" w:space="0" w:color="auto"/>
          <w:bottom w:val="single" w:sz="4" w:space="0" w:color="auto"/>
        </w:tblBorders>
        <w:tblLook w:val="04A0" w:firstRow="1" w:lastRow="0" w:firstColumn="1" w:lastColumn="0" w:noHBand="0" w:noVBand="1"/>
      </w:tblPr>
      <w:tblGrid>
        <w:gridCol w:w="567"/>
        <w:gridCol w:w="8352"/>
      </w:tblGrid>
      <w:tr w:rsidR="00ED77E9" w:rsidRPr="005757F7" w:rsidTr="00565858">
        <w:tc>
          <w:tcPr>
            <w:tcW w:w="567" w:type="dxa"/>
            <w:vAlign w:val="center"/>
          </w:tcPr>
          <w:p w:rsidR="00ED77E9" w:rsidRPr="005757F7" w:rsidRDefault="00ED77E9" w:rsidP="00ED77E9">
            <w:pPr>
              <w:spacing w:after="0"/>
              <w:jc w:val="center"/>
              <w:rPr>
                <w:rFonts w:ascii="Verdana" w:eastAsia="Times New Roman" w:hAnsi="Verdana"/>
                <w:color w:val="548DD4"/>
                <w:sz w:val="36"/>
                <w:szCs w:val="36"/>
                <w:lang w:val="bg-BG" w:eastAsia="bg-BG"/>
              </w:rPr>
            </w:pPr>
            <w:r w:rsidRPr="005757F7">
              <w:rPr>
                <w:rFonts w:ascii="Verdana" w:eastAsia="Times New Roman" w:hAnsi="Verdana"/>
                <w:color w:val="548DD4"/>
                <w:sz w:val="36"/>
                <w:szCs w:val="36"/>
                <w:lang w:val="bg-BG" w:eastAsia="bg-BG"/>
              </w:rPr>
              <w:t>?</w:t>
            </w:r>
          </w:p>
        </w:tc>
        <w:tc>
          <w:tcPr>
            <w:tcW w:w="8352" w:type="dxa"/>
            <w:shd w:val="clear" w:color="auto" w:fill="B8CCE4"/>
          </w:tcPr>
          <w:p w:rsidR="00ED77E9" w:rsidRPr="005757F7" w:rsidRDefault="00ED77E9" w:rsidP="00ED77E9">
            <w:pPr>
              <w:autoSpaceDE w:val="0"/>
              <w:autoSpaceDN w:val="0"/>
              <w:adjustRightInd w:val="0"/>
              <w:spacing w:before="120" w:after="120"/>
              <w:ind w:left="113"/>
              <w:rPr>
                <w:rFonts w:ascii="Verdana" w:eastAsia="Times New Roman" w:hAnsi="Verdana"/>
                <w:sz w:val="20"/>
                <w:szCs w:val="20"/>
                <w:lang w:val="bg-BG"/>
              </w:rPr>
            </w:pPr>
            <w:r w:rsidRPr="005757F7">
              <w:rPr>
                <w:rFonts w:ascii="Verdana" w:hAnsi="Verdana"/>
                <w:sz w:val="20"/>
                <w:szCs w:val="20"/>
                <w:lang w:val="bg-BG"/>
              </w:rPr>
              <w:t>Оценка на реалистичността при количественото изразяване на базовите и целевите стойности на индикаторите</w:t>
            </w:r>
          </w:p>
        </w:tc>
      </w:tr>
    </w:tbl>
    <w:p w:rsidR="00ED77E9" w:rsidRDefault="00565858" w:rsidP="00ED77E9">
      <w:pPr>
        <w:widowControl w:val="0"/>
        <w:tabs>
          <w:tab w:val="left" w:pos="0"/>
          <w:tab w:val="right" w:pos="9214"/>
        </w:tabs>
        <w:spacing w:before="240" w:after="360"/>
        <w:jc w:val="both"/>
        <w:rPr>
          <w:rFonts w:ascii="Verdana" w:eastAsia="Times New Roman" w:hAnsi="Verdana"/>
          <w:bCs/>
          <w:color w:val="000000"/>
          <w:sz w:val="20"/>
          <w:szCs w:val="20"/>
          <w:lang w:val="bg-BG" w:eastAsia="bg-BG"/>
        </w:rPr>
      </w:pPr>
      <w:r>
        <w:rPr>
          <w:rFonts w:ascii="Verdana" w:hAnsi="Verdana"/>
          <w:sz w:val="20"/>
          <w:szCs w:val="20"/>
          <w:lang w:val="bg-BG"/>
        </w:rPr>
        <w:t>През м. август 2014 ГД СФМОП предостави нова система от индикатори</w:t>
      </w:r>
      <w:r w:rsidR="00B122A1">
        <w:rPr>
          <w:rFonts w:ascii="Verdana" w:hAnsi="Verdana"/>
          <w:sz w:val="20"/>
          <w:szCs w:val="20"/>
          <w:lang w:val="bg-BG"/>
        </w:rPr>
        <w:t xml:space="preserve"> със заложени базови, междинни и целеви стойности</w:t>
      </w:r>
      <w:r>
        <w:rPr>
          <w:rFonts w:ascii="Verdana" w:hAnsi="Verdana"/>
          <w:sz w:val="20"/>
          <w:szCs w:val="20"/>
          <w:lang w:val="bg-BG"/>
        </w:rPr>
        <w:t xml:space="preserve">, която все още не е инкорпорирана в текста на програмата. Новата система е коментирана в доклада за оценка, включително заложените стойности. </w:t>
      </w:r>
      <w:r w:rsidR="00524377">
        <w:rPr>
          <w:rFonts w:ascii="Verdana" w:hAnsi="Verdana"/>
          <w:sz w:val="20"/>
          <w:szCs w:val="20"/>
          <w:lang w:val="bg-BG"/>
        </w:rPr>
        <w:t>Тъй като заедно със системата от индикатори не беше предоставена информация, относно изчисляване на базовите и целевите стойности, о</w:t>
      </w:r>
      <w:r>
        <w:rPr>
          <w:rFonts w:ascii="Verdana" w:hAnsi="Verdana"/>
          <w:sz w:val="20"/>
          <w:szCs w:val="20"/>
          <w:lang w:val="bg-BG"/>
        </w:rPr>
        <w:t>ценката на адекватността на заложените стойности се основава на данни от предишен опит в изпълнение на подобни мерки по ОПРЧР 2007-2013</w:t>
      </w:r>
      <w:r w:rsidR="00524377">
        <w:rPr>
          <w:rFonts w:ascii="Verdana" w:hAnsi="Verdana"/>
          <w:sz w:val="20"/>
          <w:szCs w:val="20"/>
          <w:lang w:val="bg-BG"/>
        </w:rPr>
        <w:t xml:space="preserve">, </w:t>
      </w:r>
      <w:r w:rsidR="00524377">
        <w:rPr>
          <w:rFonts w:ascii="Verdana" w:hAnsi="Verdana"/>
          <w:bCs/>
          <w:color w:val="000000"/>
          <w:sz w:val="20"/>
          <w:szCs w:val="20"/>
          <w:lang w:val="bg-BG" w:eastAsia="bg-BG"/>
        </w:rPr>
        <w:t>заложения бюджет по програмата, наличния административен капацитет и информация в самата програма относно естеството на дейностите и целите, които индикаторите измерват.</w:t>
      </w:r>
      <w:r>
        <w:rPr>
          <w:rFonts w:ascii="Verdana" w:hAnsi="Verdana"/>
          <w:sz w:val="20"/>
          <w:szCs w:val="20"/>
          <w:lang w:val="bg-BG"/>
        </w:rPr>
        <w:t xml:space="preserve"> Не по всички индикатори за резултат са заложени базови стойности. Повечето от заложените стойности изглеждат реалистични, предвид на изходната информация, с която се разполага.</w:t>
      </w:r>
    </w:p>
    <w:tbl>
      <w:tblPr>
        <w:tblW w:w="0" w:type="auto"/>
        <w:tblInd w:w="108" w:type="dxa"/>
        <w:tblBorders>
          <w:top w:val="single" w:sz="4" w:space="0" w:color="auto"/>
          <w:bottom w:val="single" w:sz="4" w:space="0" w:color="auto"/>
        </w:tblBorders>
        <w:tblLook w:val="04A0" w:firstRow="1" w:lastRow="0" w:firstColumn="1" w:lastColumn="0" w:noHBand="0" w:noVBand="1"/>
      </w:tblPr>
      <w:tblGrid>
        <w:gridCol w:w="567"/>
        <w:gridCol w:w="8352"/>
      </w:tblGrid>
      <w:tr w:rsidR="00ED77E9" w:rsidRPr="005757F7" w:rsidTr="00ED77E9">
        <w:tc>
          <w:tcPr>
            <w:tcW w:w="567" w:type="dxa"/>
            <w:vAlign w:val="center"/>
          </w:tcPr>
          <w:p w:rsidR="00ED77E9" w:rsidRPr="005757F7" w:rsidRDefault="00ED77E9" w:rsidP="00ED77E9">
            <w:pPr>
              <w:spacing w:after="0"/>
              <w:jc w:val="center"/>
              <w:rPr>
                <w:rFonts w:ascii="Verdana" w:eastAsia="Times New Roman" w:hAnsi="Verdana"/>
                <w:color w:val="548DD4"/>
                <w:sz w:val="36"/>
                <w:szCs w:val="36"/>
                <w:lang w:val="bg-BG" w:eastAsia="bg-BG"/>
              </w:rPr>
            </w:pPr>
            <w:r w:rsidRPr="005757F7">
              <w:rPr>
                <w:rFonts w:ascii="Verdana" w:eastAsia="Times New Roman" w:hAnsi="Verdana"/>
                <w:color w:val="548DD4"/>
                <w:sz w:val="36"/>
                <w:szCs w:val="36"/>
                <w:lang w:val="bg-BG" w:eastAsia="bg-BG"/>
              </w:rPr>
              <w:t>?</w:t>
            </w:r>
          </w:p>
        </w:tc>
        <w:tc>
          <w:tcPr>
            <w:tcW w:w="8352" w:type="dxa"/>
            <w:shd w:val="clear" w:color="auto" w:fill="B8CCE4"/>
          </w:tcPr>
          <w:p w:rsidR="00ED77E9" w:rsidRPr="005757F7" w:rsidRDefault="00ED77E9" w:rsidP="00ED77E9">
            <w:pPr>
              <w:autoSpaceDE w:val="0"/>
              <w:autoSpaceDN w:val="0"/>
              <w:adjustRightInd w:val="0"/>
              <w:spacing w:before="120" w:after="120"/>
              <w:ind w:left="113"/>
              <w:rPr>
                <w:rFonts w:ascii="Verdana" w:eastAsia="Times New Roman" w:hAnsi="Verdana"/>
                <w:sz w:val="20"/>
                <w:szCs w:val="20"/>
                <w:lang w:val="bg-BG"/>
              </w:rPr>
            </w:pPr>
            <w:r w:rsidRPr="005757F7">
              <w:rPr>
                <w:rFonts w:ascii="Verdana" w:hAnsi="Verdana"/>
                <w:sz w:val="20"/>
                <w:szCs w:val="20"/>
                <w:lang w:val="bg-BG"/>
              </w:rPr>
              <w:t>Уместност на дефинираните етапни цели</w:t>
            </w:r>
          </w:p>
        </w:tc>
      </w:tr>
    </w:tbl>
    <w:p w:rsidR="00ED77E9" w:rsidRDefault="00ED77E9" w:rsidP="00ED77E9">
      <w:pPr>
        <w:widowControl w:val="0"/>
        <w:tabs>
          <w:tab w:val="left" w:pos="0"/>
          <w:tab w:val="right" w:pos="9214"/>
        </w:tabs>
        <w:spacing w:before="240" w:after="360"/>
        <w:jc w:val="both"/>
        <w:rPr>
          <w:rFonts w:ascii="Verdana" w:eastAsia="Times New Roman" w:hAnsi="Verdana"/>
          <w:bCs/>
          <w:color w:val="000000"/>
          <w:sz w:val="20"/>
          <w:szCs w:val="20"/>
          <w:lang w:val="bg-BG" w:eastAsia="bg-BG"/>
        </w:rPr>
      </w:pPr>
      <w:r>
        <w:rPr>
          <w:rFonts w:ascii="Verdana" w:eastAsia="Times New Roman" w:hAnsi="Verdana"/>
          <w:bCs/>
          <w:color w:val="000000"/>
          <w:sz w:val="20"/>
          <w:szCs w:val="20"/>
          <w:lang w:val="bg-BG" w:eastAsia="bg-BG"/>
        </w:rPr>
        <w:t>Разделът не беше възможно да бъде разработен тъй като в последният вариант на програмата от май 2014 не са идентифицирани етапни цели.</w:t>
      </w:r>
    </w:p>
    <w:p w:rsidR="00ED77E9" w:rsidRDefault="00ED77E9" w:rsidP="00ED77E9">
      <w:pPr>
        <w:keepNext/>
        <w:tabs>
          <w:tab w:val="left" w:pos="0"/>
          <w:tab w:val="right" w:pos="9214"/>
        </w:tabs>
        <w:spacing w:after="120"/>
        <w:jc w:val="both"/>
        <w:rPr>
          <w:rFonts w:ascii="Verdana" w:hAnsi="Verdana"/>
          <w:color w:val="548DD4" w:themeColor="text2" w:themeTint="99"/>
          <w:lang w:val="bg-BG"/>
        </w:rPr>
      </w:pPr>
      <w:r w:rsidRPr="00162DA3">
        <w:rPr>
          <w:rFonts w:ascii="Verdana" w:hAnsi="Verdana"/>
          <w:color w:val="548DD4" w:themeColor="text2" w:themeTint="99"/>
          <w:lang w:val="bg-BG"/>
        </w:rPr>
        <w:t>Оценка на разпределението на бюджета</w:t>
      </w:r>
    </w:p>
    <w:tbl>
      <w:tblPr>
        <w:tblW w:w="9072" w:type="dxa"/>
        <w:tblInd w:w="108" w:type="dxa"/>
        <w:tblBorders>
          <w:top w:val="single" w:sz="4" w:space="0" w:color="auto"/>
          <w:bottom w:val="single" w:sz="4" w:space="0" w:color="auto"/>
        </w:tblBorders>
        <w:tblLook w:val="04A0" w:firstRow="1" w:lastRow="0" w:firstColumn="1" w:lastColumn="0" w:noHBand="0" w:noVBand="1"/>
      </w:tblPr>
      <w:tblGrid>
        <w:gridCol w:w="567"/>
        <w:gridCol w:w="8505"/>
      </w:tblGrid>
      <w:tr w:rsidR="00ED77E9" w:rsidRPr="000071C8" w:rsidTr="00ED77E9">
        <w:tc>
          <w:tcPr>
            <w:tcW w:w="567" w:type="dxa"/>
            <w:vAlign w:val="center"/>
          </w:tcPr>
          <w:p w:rsidR="00ED77E9" w:rsidRPr="000071C8" w:rsidRDefault="00ED77E9" w:rsidP="00ED77E9">
            <w:pPr>
              <w:spacing w:after="0"/>
              <w:jc w:val="center"/>
              <w:rPr>
                <w:rFonts w:ascii="Verdana" w:eastAsia="Times New Roman" w:hAnsi="Verdana"/>
                <w:color w:val="548DD4"/>
                <w:sz w:val="36"/>
                <w:szCs w:val="36"/>
                <w:lang w:val="bg-BG" w:eastAsia="bg-BG"/>
              </w:rPr>
            </w:pPr>
            <w:r w:rsidRPr="000071C8">
              <w:rPr>
                <w:rFonts w:ascii="Verdana" w:eastAsia="Times New Roman" w:hAnsi="Verdana"/>
                <w:color w:val="548DD4"/>
                <w:sz w:val="36"/>
                <w:szCs w:val="36"/>
                <w:lang w:val="bg-BG" w:eastAsia="bg-BG"/>
              </w:rPr>
              <w:t>?</w:t>
            </w:r>
          </w:p>
        </w:tc>
        <w:tc>
          <w:tcPr>
            <w:tcW w:w="8505" w:type="dxa"/>
            <w:shd w:val="clear" w:color="auto" w:fill="B8CCE4"/>
          </w:tcPr>
          <w:p w:rsidR="00ED77E9" w:rsidRPr="000071C8" w:rsidRDefault="00ED77E9" w:rsidP="00ED77E9">
            <w:pPr>
              <w:autoSpaceDE w:val="0"/>
              <w:autoSpaceDN w:val="0"/>
              <w:adjustRightInd w:val="0"/>
              <w:spacing w:before="120" w:after="120" w:line="240" w:lineRule="auto"/>
              <w:ind w:left="135"/>
              <w:rPr>
                <w:rFonts w:ascii="Verdana" w:eastAsia="Times New Roman" w:hAnsi="Verdana" w:cs="TimesNewRomanPSMT"/>
                <w:sz w:val="20"/>
                <w:szCs w:val="20"/>
                <w:lang w:val="bg-BG" w:eastAsia="bg-BG"/>
              </w:rPr>
            </w:pPr>
            <w:r w:rsidRPr="000071C8">
              <w:rPr>
                <w:rFonts w:ascii="Verdana" w:eastAsia="Times New Roman" w:hAnsi="Verdana" w:cs="TimesNewRomanPSMT"/>
                <w:sz w:val="20"/>
                <w:szCs w:val="20"/>
                <w:lang w:val="bg-BG" w:eastAsia="bg-BG"/>
              </w:rPr>
              <w:t>Последователност и обоснованост на разпределението на бюджетните средства спрямо целите на програмата</w:t>
            </w:r>
          </w:p>
        </w:tc>
      </w:tr>
    </w:tbl>
    <w:p w:rsidR="00ED77E9" w:rsidRDefault="00ED77E9" w:rsidP="00ED77E9">
      <w:pPr>
        <w:tabs>
          <w:tab w:val="left" w:pos="0"/>
          <w:tab w:val="right" w:pos="9214"/>
        </w:tabs>
        <w:spacing w:before="240" w:after="120"/>
        <w:jc w:val="both"/>
        <w:rPr>
          <w:rFonts w:ascii="Verdana" w:eastAsia="Calibri" w:hAnsi="Verdana"/>
          <w:sz w:val="20"/>
          <w:szCs w:val="20"/>
          <w:lang w:val="bg-BG"/>
        </w:rPr>
      </w:pPr>
      <w:r>
        <w:rPr>
          <w:rFonts w:ascii="Verdana" w:eastAsia="Calibri" w:hAnsi="Verdana"/>
          <w:sz w:val="20"/>
          <w:szCs w:val="20"/>
          <w:lang w:val="bg-BG"/>
        </w:rPr>
        <w:t>Бюджетът на оперативната програма е разпределен между образование и учене през целия живот, (съответно 36,1 за приоритетна ос 2 и 18,</w:t>
      </w:r>
      <w:r w:rsidR="00720EFF">
        <w:rPr>
          <w:rFonts w:ascii="Verdana" w:eastAsia="Calibri" w:hAnsi="Verdana"/>
          <w:sz w:val="20"/>
          <w:szCs w:val="20"/>
        </w:rPr>
        <w:t>4</w:t>
      </w:r>
      <w:r>
        <w:rPr>
          <w:rFonts w:ascii="Verdana" w:eastAsia="Calibri" w:hAnsi="Verdana"/>
          <w:sz w:val="20"/>
          <w:szCs w:val="20"/>
          <w:lang w:val="bg-BG"/>
        </w:rPr>
        <w:t>% за приоритетна ос 3) и научни изследвания и технологично развитие (приоритетна ос 1 – 4</w:t>
      </w:r>
      <w:r w:rsidR="00720EFF">
        <w:rPr>
          <w:rFonts w:ascii="Verdana" w:eastAsia="Calibri" w:hAnsi="Verdana"/>
          <w:sz w:val="20"/>
          <w:szCs w:val="20"/>
        </w:rPr>
        <w:t>1</w:t>
      </w:r>
      <w:r>
        <w:rPr>
          <w:rFonts w:ascii="Verdana" w:eastAsia="Calibri" w:hAnsi="Verdana"/>
          <w:sz w:val="20"/>
          <w:szCs w:val="20"/>
          <w:lang w:val="bg-BG"/>
        </w:rPr>
        <w:t>,</w:t>
      </w:r>
      <w:r w:rsidR="00720EFF">
        <w:rPr>
          <w:rFonts w:ascii="Verdana" w:eastAsia="Calibri" w:hAnsi="Verdana"/>
          <w:sz w:val="20"/>
          <w:szCs w:val="20"/>
        </w:rPr>
        <w:t>4</w:t>
      </w:r>
      <w:r>
        <w:rPr>
          <w:rFonts w:ascii="Verdana" w:eastAsia="Calibri" w:hAnsi="Verdana"/>
          <w:sz w:val="20"/>
          <w:szCs w:val="20"/>
          <w:lang w:val="bg-BG"/>
        </w:rPr>
        <w:t xml:space="preserve">). </w:t>
      </w:r>
      <w:r w:rsidRPr="00ED77E9">
        <w:rPr>
          <w:rFonts w:ascii="Verdana" w:eastAsia="Calibri" w:hAnsi="Verdana"/>
          <w:sz w:val="20"/>
          <w:szCs w:val="20"/>
          <w:lang w:val="bg-BG"/>
        </w:rPr>
        <w:t xml:space="preserve">За техническа помощ са заделени </w:t>
      </w:r>
      <w:r w:rsidR="00720EFF">
        <w:rPr>
          <w:rFonts w:ascii="Verdana" w:eastAsia="Calibri" w:hAnsi="Verdana"/>
          <w:sz w:val="20"/>
          <w:szCs w:val="20"/>
        </w:rPr>
        <w:t>4</w:t>
      </w:r>
      <w:r w:rsidR="00720EFF">
        <w:rPr>
          <w:rFonts w:ascii="Verdana" w:eastAsia="Calibri" w:hAnsi="Verdana"/>
          <w:sz w:val="20"/>
          <w:szCs w:val="20"/>
          <w:lang w:val="bg-BG"/>
        </w:rPr>
        <w:t>,</w:t>
      </w:r>
      <w:r w:rsidR="00720EFF">
        <w:rPr>
          <w:rFonts w:ascii="Verdana" w:eastAsia="Calibri" w:hAnsi="Verdana"/>
          <w:sz w:val="20"/>
          <w:szCs w:val="20"/>
        </w:rPr>
        <w:t>1</w:t>
      </w:r>
      <w:r w:rsidRPr="00ED77E9">
        <w:rPr>
          <w:rFonts w:ascii="Verdana" w:eastAsia="Calibri" w:hAnsi="Verdana"/>
          <w:sz w:val="20"/>
          <w:szCs w:val="20"/>
          <w:lang w:val="bg-BG"/>
        </w:rPr>
        <w:t xml:space="preserve">% от финансовия ресурс по програмата. </w:t>
      </w:r>
    </w:p>
    <w:p w:rsidR="00ED77E9" w:rsidRDefault="00ED77E9" w:rsidP="00ED77E9">
      <w:pPr>
        <w:tabs>
          <w:tab w:val="left" w:pos="0"/>
          <w:tab w:val="right" w:pos="9214"/>
        </w:tabs>
        <w:spacing w:after="120"/>
        <w:jc w:val="both"/>
        <w:rPr>
          <w:rFonts w:ascii="Verdana" w:eastAsia="Calibri" w:hAnsi="Verdana"/>
          <w:sz w:val="20"/>
          <w:szCs w:val="20"/>
          <w:lang w:val="bg-BG"/>
        </w:rPr>
      </w:pPr>
      <w:r>
        <w:rPr>
          <w:rFonts w:ascii="Verdana" w:eastAsia="Calibri" w:hAnsi="Verdana"/>
          <w:sz w:val="20"/>
          <w:szCs w:val="20"/>
          <w:lang w:val="bg-BG"/>
        </w:rPr>
        <w:t xml:space="preserve">За подобряването на </w:t>
      </w:r>
      <w:r w:rsidRPr="0024053C">
        <w:rPr>
          <w:rFonts w:ascii="Verdana" w:eastAsia="Calibri" w:hAnsi="Verdana"/>
          <w:i/>
          <w:sz w:val="20"/>
          <w:szCs w:val="20"/>
          <w:lang w:val="bg-BG"/>
        </w:rPr>
        <w:t>образованието и ученето през целия живот (</w:t>
      </w:r>
      <w:r>
        <w:rPr>
          <w:rFonts w:ascii="Verdana" w:eastAsia="Calibri" w:hAnsi="Verdana"/>
          <w:i/>
          <w:sz w:val="20"/>
          <w:szCs w:val="20"/>
          <w:lang w:val="bg-BG"/>
        </w:rPr>
        <w:t>приоритетна ос</w:t>
      </w:r>
      <w:r w:rsidRPr="0024053C">
        <w:rPr>
          <w:rFonts w:ascii="Verdana" w:eastAsia="Calibri" w:hAnsi="Verdana"/>
          <w:i/>
          <w:sz w:val="20"/>
          <w:szCs w:val="20"/>
          <w:lang w:val="bg-BG"/>
        </w:rPr>
        <w:t xml:space="preserve"> 2)</w:t>
      </w:r>
      <w:r w:rsidRPr="0022413E">
        <w:rPr>
          <w:rFonts w:ascii="Verdana" w:eastAsia="Calibri" w:hAnsi="Verdana"/>
          <w:color w:val="548DD4" w:themeColor="text2" w:themeTint="99"/>
          <w:sz w:val="20"/>
          <w:szCs w:val="20"/>
          <w:lang w:val="bg-BG"/>
        </w:rPr>
        <w:t xml:space="preserve"> </w:t>
      </w:r>
      <w:r>
        <w:rPr>
          <w:rFonts w:ascii="Verdana" w:eastAsia="Calibri" w:hAnsi="Verdana"/>
          <w:sz w:val="20"/>
          <w:szCs w:val="20"/>
          <w:lang w:val="bg-BG"/>
        </w:rPr>
        <w:t xml:space="preserve">с предвидените над 200 млн. евро европейско финансиране предвид високата </w:t>
      </w:r>
      <w:proofErr w:type="spellStart"/>
      <w:r>
        <w:rPr>
          <w:rFonts w:ascii="Verdana" w:eastAsia="Calibri" w:hAnsi="Verdana"/>
          <w:sz w:val="20"/>
          <w:szCs w:val="20"/>
          <w:lang w:val="bg-BG"/>
        </w:rPr>
        <w:t>приоритетност</w:t>
      </w:r>
      <w:proofErr w:type="spellEnd"/>
      <w:r>
        <w:rPr>
          <w:rFonts w:ascii="Verdana" w:eastAsia="Calibri" w:hAnsi="Verdana"/>
          <w:sz w:val="20"/>
          <w:szCs w:val="20"/>
          <w:lang w:val="bg-BG"/>
        </w:rPr>
        <w:t xml:space="preserve"> на образованието за постигането на интелигентния растеж в дългосрочен план, увеличението от 5%, което на практика се изразява в намаление </w:t>
      </w:r>
      <w:r>
        <w:rPr>
          <w:rFonts w:ascii="Verdana" w:eastAsia="Calibri" w:hAnsi="Verdana"/>
          <w:sz w:val="20"/>
          <w:szCs w:val="20"/>
          <w:lang w:val="bg-BG"/>
        </w:rPr>
        <w:lastRenderedPageBreak/>
        <w:t>в реално изражение, изглежда недостатъчно. Друг важен въпрос е свързан и с разпределението на средствата между цялото многообразие от дейности, обхванати в тази приоритетна ос, за което, на този етап, няма информация. Необходимо е да се представи и информация относно начина, по който ще бъде спазено изискването за фокусиране на поне 60% от всички средства по ЕСФ в рамките на най-много 5 инвестиционни приоритета.</w:t>
      </w:r>
    </w:p>
    <w:p w:rsidR="00ED77E9" w:rsidRDefault="00ED77E9" w:rsidP="00ED77E9">
      <w:pPr>
        <w:tabs>
          <w:tab w:val="left" w:pos="0"/>
          <w:tab w:val="right" w:pos="9214"/>
        </w:tabs>
        <w:spacing w:after="120"/>
        <w:jc w:val="both"/>
        <w:rPr>
          <w:rFonts w:ascii="Verdana" w:eastAsia="Calibri" w:hAnsi="Verdana"/>
          <w:sz w:val="20"/>
          <w:szCs w:val="20"/>
          <w:lang w:val="bg-BG"/>
        </w:rPr>
      </w:pPr>
      <w:r>
        <w:rPr>
          <w:rFonts w:ascii="Verdana" w:eastAsia="Calibri" w:hAnsi="Verdana"/>
          <w:sz w:val="20"/>
          <w:szCs w:val="20"/>
          <w:lang w:val="bg-BG"/>
        </w:rPr>
        <w:t xml:space="preserve">За постигането на поставените цели във връзка с </w:t>
      </w:r>
      <w:r w:rsidRPr="00735453">
        <w:rPr>
          <w:rFonts w:ascii="Verdana" w:eastAsia="Calibri" w:hAnsi="Verdana"/>
          <w:i/>
          <w:sz w:val="20"/>
          <w:szCs w:val="20"/>
          <w:lang w:val="bg-BG"/>
        </w:rPr>
        <w:t>приобщаването към образованието</w:t>
      </w:r>
      <w:r w:rsidR="001B4183">
        <w:rPr>
          <w:rFonts w:ascii="Verdana" w:eastAsia="Calibri" w:hAnsi="Verdana"/>
          <w:sz w:val="20"/>
          <w:szCs w:val="20"/>
          <w:lang w:val="bg-BG"/>
        </w:rPr>
        <w:t xml:space="preserve"> (приоритетна ос 3)</w:t>
      </w:r>
      <w:r>
        <w:rPr>
          <w:rFonts w:ascii="Verdana" w:eastAsia="Calibri" w:hAnsi="Verdana"/>
          <w:sz w:val="20"/>
          <w:szCs w:val="20"/>
          <w:lang w:val="bg-BG"/>
        </w:rPr>
        <w:t xml:space="preserve"> са заделени 107 млн. евро европейско финансиране. Този ресурс е значително по-малък от финансирането по аналогични дейности през 2007-2013 г. по Оперативна програма „Развитие на човешките ресурси“. </w:t>
      </w:r>
    </w:p>
    <w:tbl>
      <w:tblPr>
        <w:tblW w:w="9090" w:type="dxa"/>
        <w:tblInd w:w="108" w:type="dxa"/>
        <w:tblBorders>
          <w:top w:val="single" w:sz="4" w:space="0" w:color="auto"/>
          <w:bottom w:val="single" w:sz="4" w:space="0" w:color="auto"/>
        </w:tblBorders>
        <w:tblLook w:val="04A0" w:firstRow="1" w:lastRow="0" w:firstColumn="1" w:lastColumn="0" w:noHBand="0" w:noVBand="1"/>
      </w:tblPr>
      <w:tblGrid>
        <w:gridCol w:w="567"/>
        <w:gridCol w:w="8523"/>
      </w:tblGrid>
      <w:tr w:rsidR="00ED77E9" w:rsidRPr="000071C8" w:rsidTr="00ED77E9">
        <w:tc>
          <w:tcPr>
            <w:tcW w:w="567" w:type="dxa"/>
            <w:vAlign w:val="center"/>
          </w:tcPr>
          <w:p w:rsidR="00ED77E9" w:rsidRPr="000071C8" w:rsidRDefault="00ED77E9" w:rsidP="00ED77E9">
            <w:pPr>
              <w:spacing w:after="0"/>
              <w:jc w:val="center"/>
              <w:rPr>
                <w:rFonts w:ascii="Verdana" w:eastAsia="Times New Roman" w:hAnsi="Verdana"/>
                <w:color w:val="548DD4"/>
                <w:sz w:val="36"/>
                <w:szCs w:val="36"/>
                <w:lang w:val="bg-BG" w:eastAsia="bg-BG"/>
              </w:rPr>
            </w:pPr>
            <w:r w:rsidRPr="000071C8">
              <w:rPr>
                <w:rFonts w:ascii="Verdana" w:eastAsia="Times New Roman" w:hAnsi="Verdana"/>
                <w:color w:val="548DD4"/>
                <w:sz w:val="36"/>
                <w:szCs w:val="36"/>
                <w:lang w:val="bg-BG" w:eastAsia="bg-BG"/>
              </w:rPr>
              <w:t>?</w:t>
            </w:r>
          </w:p>
        </w:tc>
        <w:tc>
          <w:tcPr>
            <w:tcW w:w="8523" w:type="dxa"/>
            <w:shd w:val="clear" w:color="auto" w:fill="B8CCE4"/>
          </w:tcPr>
          <w:p w:rsidR="00ED77E9" w:rsidRPr="000071C8" w:rsidRDefault="00ED77E9" w:rsidP="00ED77E9">
            <w:pPr>
              <w:autoSpaceDE w:val="0"/>
              <w:autoSpaceDN w:val="0"/>
              <w:adjustRightInd w:val="0"/>
              <w:spacing w:before="120" w:after="120" w:line="240" w:lineRule="auto"/>
              <w:ind w:left="135"/>
              <w:rPr>
                <w:rFonts w:ascii="Verdana" w:eastAsia="Times New Roman" w:hAnsi="Verdana" w:cs="TimesNewRomanPSMT"/>
                <w:sz w:val="20"/>
                <w:szCs w:val="20"/>
                <w:lang w:val="bg-BG" w:eastAsia="bg-BG"/>
              </w:rPr>
            </w:pPr>
            <w:r w:rsidRPr="000071C8">
              <w:rPr>
                <w:rFonts w:ascii="Verdana" w:eastAsia="Times New Roman" w:hAnsi="Verdana" w:cs="TimesNewRomanPSMT"/>
                <w:sz w:val="20"/>
                <w:szCs w:val="20"/>
                <w:lang w:val="bg-BG" w:eastAsia="bg-BG"/>
              </w:rPr>
              <w:t>Последователност и обоснованост на разпределението на бюджетните средства спрямо изискванията на регламентите (интегриран подход, фокусиране на интервенциите, финансов инженеринг и др.)</w:t>
            </w:r>
          </w:p>
        </w:tc>
      </w:tr>
    </w:tbl>
    <w:p w:rsidR="00ED77E9" w:rsidRPr="00246246" w:rsidRDefault="00ED77E9" w:rsidP="00ED77E9">
      <w:pPr>
        <w:widowControl w:val="0"/>
        <w:tabs>
          <w:tab w:val="left" w:pos="0"/>
          <w:tab w:val="right" w:pos="9214"/>
        </w:tabs>
        <w:spacing w:before="240" w:after="120"/>
        <w:jc w:val="both"/>
        <w:rPr>
          <w:rFonts w:ascii="Verdana" w:eastAsia="Times New Roman" w:hAnsi="Verdana"/>
          <w:bCs/>
          <w:color w:val="000000"/>
          <w:sz w:val="20"/>
          <w:szCs w:val="20"/>
          <w:lang w:val="bg-BG" w:eastAsia="bg-BG"/>
        </w:rPr>
      </w:pPr>
      <w:r>
        <w:rPr>
          <w:rFonts w:ascii="Verdana" w:eastAsia="Times New Roman" w:hAnsi="Verdana"/>
          <w:bCs/>
          <w:color w:val="000000"/>
          <w:sz w:val="20"/>
          <w:szCs w:val="20"/>
          <w:lang w:val="bg-BG" w:eastAsia="bg-BG"/>
        </w:rPr>
        <w:t>Р</w:t>
      </w:r>
      <w:r w:rsidRPr="00246246">
        <w:rPr>
          <w:rFonts w:ascii="Verdana" w:eastAsia="Times New Roman" w:hAnsi="Verdana"/>
          <w:bCs/>
          <w:color w:val="000000"/>
          <w:sz w:val="20"/>
          <w:szCs w:val="20"/>
          <w:lang w:val="bg-BG" w:eastAsia="bg-BG"/>
        </w:rPr>
        <w:t xml:space="preserve">азпределението на бюджетните ангажименти по години </w:t>
      </w:r>
      <w:r w:rsidR="00720EFF">
        <w:rPr>
          <w:rFonts w:ascii="Verdana" w:eastAsia="Times New Roman" w:hAnsi="Verdana"/>
          <w:bCs/>
          <w:color w:val="000000"/>
          <w:sz w:val="20"/>
          <w:szCs w:val="20"/>
          <w:lang w:val="bg-BG" w:eastAsia="bg-BG"/>
        </w:rPr>
        <w:t xml:space="preserve">не </w:t>
      </w:r>
      <w:r>
        <w:rPr>
          <w:rFonts w:ascii="Verdana" w:eastAsia="Times New Roman" w:hAnsi="Verdana"/>
          <w:bCs/>
          <w:color w:val="000000"/>
          <w:sz w:val="20"/>
          <w:szCs w:val="20"/>
          <w:lang w:val="bg-BG" w:eastAsia="bg-BG"/>
        </w:rPr>
        <w:t xml:space="preserve">крие риск от </w:t>
      </w:r>
      <w:r w:rsidRPr="00246246">
        <w:rPr>
          <w:rFonts w:ascii="Verdana" w:eastAsia="Times New Roman" w:hAnsi="Verdana"/>
          <w:bCs/>
          <w:color w:val="000000"/>
          <w:sz w:val="20"/>
          <w:szCs w:val="20"/>
          <w:lang w:val="bg-BG" w:eastAsia="bg-BG"/>
        </w:rPr>
        <w:t>автоматична загуба на средства</w:t>
      </w:r>
      <w:r>
        <w:rPr>
          <w:rFonts w:ascii="Verdana" w:eastAsia="Times New Roman" w:hAnsi="Verdana"/>
          <w:bCs/>
          <w:color w:val="000000"/>
          <w:sz w:val="20"/>
          <w:szCs w:val="20"/>
          <w:lang w:val="bg-BG" w:eastAsia="bg-BG"/>
        </w:rPr>
        <w:t xml:space="preserve"> </w:t>
      </w:r>
      <w:r w:rsidR="00720EFF">
        <w:rPr>
          <w:rFonts w:ascii="Verdana" w:eastAsia="Times New Roman" w:hAnsi="Verdana"/>
          <w:bCs/>
          <w:color w:val="000000"/>
          <w:sz w:val="20"/>
          <w:szCs w:val="20"/>
          <w:lang w:val="bg-BG" w:eastAsia="bg-BG"/>
        </w:rPr>
        <w:t>дори и при допускане за профил на усвояване по програмата, който е сходен на аналогични дейности по ОП РЧР 2007-2013</w:t>
      </w:r>
      <w:r w:rsidRPr="00246246">
        <w:rPr>
          <w:rFonts w:ascii="Verdana" w:eastAsia="Times New Roman" w:hAnsi="Verdana"/>
          <w:bCs/>
          <w:color w:val="000000"/>
          <w:sz w:val="20"/>
          <w:szCs w:val="20"/>
          <w:lang w:val="bg-BG" w:eastAsia="bg-BG"/>
        </w:rPr>
        <w:t>.</w:t>
      </w:r>
      <w:r>
        <w:rPr>
          <w:rFonts w:ascii="Verdana" w:eastAsia="Times New Roman" w:hAnsi="Verdana"/>
          <w:bCs/>
          <w:color w:val="000000"/>
          <w:sz w:val="20"/>
          <w:szCs w:val="20"/>
          <w:lang w:val="bg-BG" w:eastAsia="bg-BG"/>
        </w:rPr>
        <w:t xml:space="preserve"> </w:t>
      </w:r>
    </w:p>
    <w:p w:rsidR="00ED77E9" w:rsidRDefault="00ED77E9" w:rsidP="00ED77E9">
      <w:pPr>
        <w:pStyle w:val="ListParagraph1"/>
        <w:widowControl w:val="0"/>
        <w:tabs>
          <w:tab w:val="left" w:pos="0"/>
          <w:tab w:val="right" w:pos="9214"/>
        </w:tabs>
        <w:spacing w:before="120" w:after="360" w:line="276" w:lineRule="auto"/>
        <w:ind w:left="0"/>
        <w:rPr>
          <w:rFonts w:ascii="Verdana" w:hAnsi="Verdana"/>
          <w:color w:val="000000"/>
          <w:sz w:val="20"/>
          <w:lang w:val="bg-BG" w:eastAsia="bg-BG"/>
        </w:rPr>
      </w:pPr>
      <w:r>
        <w:rPr>
          <w:rFonts w:ascii="Verdana" w:eastAsia="Calibri" w:hAnsi="Verdana"/>
          <w:sz w:val="20"/>
          <w:lang w:val="bg-BG"/>
        </w:rPr>
        <w:t xml:space="preserve">Във варианта на програмата от </w:t>
      </w:r>
      <w:r w:rsidR="00720EFF">
        <w:rPr>
          <w:rFonts w:ascii="Verdana" w:eastAsia="Calibri" w:hAnsi="Verdana"/>
          <w:sz w:val="20"/>
          <w:lang w:val="bg-BG"/>
        </w:rPr>
        <w:t>август</w:t>
      </w:r>
      <w:r>
        <w:rPr>
          <w:rFonts w:ascii="Verdana" w:eastAsia="Calibri" w:hAnsi="Verdana"/>
          <w:sz w:val="20"/>
          <w:lang w:val="bg-BG"/>
        </w:rPr>
        <w:t xml:space="preserve"> 2014 г. няма изложена финансова обосновка, </w:t>
      </w:r>
      <w:r>
        <w:rPr>
          <w:rFonts w:ascii="Verdana" w:hAnsi="Verdana"/>
          <w:bCs/>
          <w:color w:val="000000"/>
          <w:sz w:val="20"/>
          <w:lang w:val="bg-BG" w:eastAsia="bg-BG"/>
        </w:rPr>
        <w:t>което не позволява да се оцени изпълнението на изискването относно тематичната концентрация</w:t>
      </w:r>
      <w:r w:rsidRPr="00191A87">
        <w:rPr>
          <w:rFonts w:ascii="Verdana" w:hAnsi="Verdana"/>
          <w:bCs/>
          <w:color w:val="000000"/>
          <w:sz w:val="20"/>
          <w:lang w:val="bg-BG" w:eastAsia="bg-BG"/>
        </w:rPr>
        <w:t>.</w:t>
      </w:r>
      <w:r w:rsidRPr="00191A87">
        <w:rPr>
          <w:rFonts w:ascii="Verdana" w:hAnsi="Verdana"/>
          <w:bCs/>
          <w:color w:val="000000"/>
          <w:sz w:val="20"/>
          <w:lang w:eastAsia="bg-BG"/>
        </w:rPr>
        <w:t xml:space="preserve"> </w:t>
      </w:r>
    </w:p>
    <w:tbl>
      <w:tblPr>
        <w:tblW w:w="9090" w:type="dxa"/>
        <w:tblInd w:w="108" w:type="dxa"/>
        <w:tblBorders>
          <w:top w:val="single" w:sz="4" w:space="0" w:color="auto"/>
          <w:bottom w:val="single" w:sz="4" w:space="0" w:color="auto"/>
        </w:tblBorders>
        <w:tblLook w:val="04A0" w:firstRow="1" w:lastRow="0" w:firstColumn="1" w:lastColumn="0" w:noHBand="0" w:noVBand="1"/>
      </w:tblPr>
      <w:tblGrid>
        <w:gridCol w:w="567"/>
        <w:gridCol w:w="8523"/>
      </w:tblGrid>
      <w:tr w:rsidR="00ED77E9" w:rsidRPr="000071C8" w:rsidTr="00ED77E9">
        <w:tc>
          <w:tcPr>
            <w:tcW w:w="567" w:type="dxa"/>
            <w:vAlign w:val="center"/>
          </w:tcPr>
          <w:p w:rsidR="00ED77E9" w:rsidRPr="00A51D03" w:rsidRDefault="00ED77E9" w:rsidP="00ED77E9">
            <w:pPr>
              <w:spacing w:after="0"/>
              <w:jc w:val="center"/>
              <w:rPr>
                <w:rFonts w:ascii="Verdana" w:eastAsia="Times New Roman" w:hAnsi="Verdana"/>
                <w:color w:val="548DD4"/>
                <w:sz w:val="36"/>
                <w:szCs w:val="36"/>
                <w:lang w:val="bg-BG" w:eastAsia="bg-BG"/>
              </w:rPr>
            </w:pPr>
            <w:r w:rsidRPr="00A51D03">
              <w:rPr>
                <w:rFonts w:ascii="Verdana" w:eastAsia="Times New Roman" w:hAnsi="Verdana"/>
                <w:color w:val="548DD4"/>
                <w:sz w:val="36"/>
                <w:szCs w:val="36"/>
                <w:lang w:val="bg-BG" w:eastAsia="bg-BG"/>
              </w:rPr>
              <w:t>?</w:t>
            </w:r>
          </w:p>
        </w:tc>
        <w:tc>
          <w:tcPr>
            <w:tcW w:w="8523" w:type="dxa"/>
            <w:shd w:val="clear" w:color="auto" w:fill="B8CCE4"/>
          </w:tcPr>
          <w:p w:rsidR="00ED77E9" w:rsidRPr="00A51D03" w:rsidRDefault="00ED77E9" w:rsidP="00ED77E9">
            <w:pPr>
              <w:autoSpaceDE w:val="0"/>
              <w:autoSpaceDN w:val="0"/>
              <w:adjustRightInd w:val="0"/>
              <w:spacing w:before="120" w:after="120" w:line="240" w:lineRule="auto"/>
              <w:ind w:left="135"/>
              <w:rPr>
                <w:rFonts w:ascii="Verdana" w:eastAsia="Times New Roman" w:hAnsi="Verdana" w:cs="TimesNewRomanPSMT"/>
                <w:sz w:val="20"/>
                <w:szCs w:val="20"/>
                <w:lang w:val="bg-BG" w:eastAsia="bg-BG"/>
              </w:rPr>
            </w:pPr>
            <w:r w:rsidRPr="00A51D03">
              <w:rPr>
                <w:rFonts w:ascii="Verdana" w:eastAsia="Times New Roman" w:hAnsi="Verdana" w:cs="TimesNewRomanPSMT"/>
                <w:sz w:val="20"/>
                <w:szCs w:val="20"/>
                <w:lang w:val="bg-BG" w:eastAsia="bg-BG"/>
              </w:rPr>
              <w:t>Анализ на дела от финансовия ресурс, насочен към области със стратегическо значение и на степента, в която средствата са насочени директно към идентифицираните в социално-икономическия анализ потребности и предизвикателства</w:t>
            </w:r>
          </w:p>
        </w:tc>
      </w:tr>
    </w:tbl>
    <w:p w:rsidR="00ED77E9" w:rsidRPr="00B05786" w:rsidRDefault="00ED77E9" w:rsidP="00ED77E9">
      <w:pPr>
        <w:widowControl w:val="0"/>
        <w:tabs>
          <w:tab w:val="left" w:pos="0"/>
          <w:tab w:val="right" w:pos="9214"/>
        </w:tabs>
        <w:spacing w:before="240" w:after="0"/>
        <w:jc w:val="both"/>
        <w:rPr>
          <w:rFonts w:ascii="Verdana" w:eastAsia="Times New Roman" w:hAnsi="Verdana"/>
          <w:bCs/>
          <w:color w:val="000000"/>
          <w:sz w:val="20"/>
          <w:szCs w:val="20"/>
          <w:lang w:val="bg-BG" w:eastAsia="bg-BG"/>
        </w:rPr>
      </w:pPr>
      <w:r>
        <w:rPr>
          <w:rFonts w:ascii="Verdana" w:eastAsia="Times New Roman" w:hAnsi="Verdana"/>
          <w:bCs/>
          <w:color w:val="000000"/>
          <w:sz w:val="20"/>
          <w:szCs w:val="20"/>
          <w:lang w:val="bg-BG" w:eastAsia="bg-BG"/>
        </w:rPr>
        <w:t>Оперативната програма ще способства постигането на следните приоритети на Националната програма за развитие</w:t>
      </w:r>
      <w:r w:rsidRPr="00B05786">
        <w:rPr>
          <w:rFonts w:ascii="Verdana" w:eastAsia="Times New Roman" w:hAnsi="Verdana"/>
          <w:bCs/>
          <w:color w:val="000000"/>
          <w:sz w:val="20"/>
          <w:szCs w:val="20"/>
          <w:lang w:val="bg-BG" w:eastAsia="bg-BG"/>
        </w:rPr>
        <w:t>:</w:t>
      </w:r>
    </w:p>
    <w:p w:rsidR="00ED77E9" w:rsidRDefault="00ED77E9" w:rsidP="00ED77E9">
      <w:pPr>
        <w:widowControl w:val="0"/>
        <w:tabs>
          <w:tab w:val="left" w:pos="360"/>
          <w:tab w:val="right" w:pos="9214"/>
        </w:tabs>
        <w:spacing w:before="120" w:after="0"/>
        <w:ind w:left="360"/>
        <w:jc w:val="both"/>
        <w:rPr>
          <w:rFonts w:ascii="Verdana" w:eastAsia="Times New Roman" w:hAnsi="Verdana"/>
          <w:bCs/>
          <w:color w:val="000000"/>
          <w:sz w:val="20"/>
          <w:szCs w:val="20"/>
          <w:lang w:val="bg-BG" w:eastAsia="bg-BG"/>
        </w:rPr>
      </w:pPr>
      <w:r w:rsidRPr="00B05786">
        <w:rPr>
          <w:rFonts w:ascii="Verdana" w:eastAsia="Times New Roman" w:hAnsi="Verdana"/>
          <w:bCs/>
          <w:color w:val="000000"/>
          <w:sz w:val="20"/>
          <w:szCs w:val="20"/>
          <w:lang w:val="bg-BG" w:eastAsia="bg-BG"/>
        </w:rPr>
        <w:t>1. Подобряване на достъпа и повишаване на качеството на образованието и обучението и качествените характеристики на работната сила.</w:t>
      </w:r>
    </w:p>
    <w:p w:rsidR="00ED77E9" w:rsidRPr="00B05786" w:rsidRDefault="00ED77E9" w:rsidP="00ED77E9">
      <w:pPr>
        <w:widowControl w:val="0"/>
        <w:tabs>
          <w:tab w:val="left" w:pos="360"/>
          <w:tab w:val="right" w:pos="9214"/>
        </w:tabs>
        <w:spacing w:before="120" w:after="0"/>
        <w:ind w:left="360"/>
        <w:jc w:val="both"/>
        <w:rPr>
          <w:rFonts w:ascii="Verdana" w:eastAsia="Times New Roman" w:hAnsi="Verdana"/>
          <w:bCs/>
          <w:color w:val="000000"/>
          <w:sz w:val="20"/>
          <w:szCs w:val="20"/>
          <w:lang w:val="bg-BG" w:eastAsia="bg-BG"/>
        </w:rPr>
      </w:pPr>
      <w:r>
        <w:rPr>
          <w:rFonts w:ascii="Verdana" w:eastAsia="Times New Roman" w:hAnsi="Verdana"/>
          <w:bCs/>
          <w:color w:val="000000"/>
          <w:sz w:val="20"/>
          <w:szCs w:val="20"/>
          <w:lang w:val="bg-BG" w:eastAsia="bg-BG"/>
        </w:rPr>
        <w:t xml:space="preserve">2. </w:t>
      </w:r>
      <w:r w:rsidRPr="0018694D">
        <w:rPr>
          <w:rFonts w:ascii="Verdana" w:eastAsia="Times New Roman" w:hAnsi="Verdana"/>
          <w:bCs/>
          <w:color w:val="000000"/>
          <w:sz w:val="20"/>
          <w:szCs w:val="20"/>
          <w:lang w:val="bg-BG" w:eastAsia="bg-BG"/>
        </w:rPr>
        <w:t>Намаляване на бедността и насърчаване на социалното включване.</w:t>
      </w:r>
    </w:p>
    <w:p w:rsidR="00ED77E9" w:rsidRDefault="00ED77E9" w:rsidP="00ED77E9">
      <w:pPr>
        <w:widowControl w:val="0"/>
        <w:tabs>
          <w:tab w:val="left" w:pos="360"/>
          <w:tab w:val="right" w:pos="9214"/>
        </w:tabs>
        <w:spacing w:before="120" w:after="0"/>
        <w:ind w:left="360"/>
        <w:jc w:val="both"/>
        <w:rPr>
          <w:rFonts w:ascii="Verdana" w:eastAsia="Times New Roman" w:hAnsi="Verdana"/>
          <w:bCs/>
          <w:color w:val="000000"/>
          <w:sz w:val="20"/>
          <w:szCs w:val="20"/>
          <w:lang w:val="bg-BG" w:eastAsia="bg-BG"/>
        </w:rPr>
      </w:pPr>
      <w:r w:rsidRPr="004D26B9">
        <w:rPr>
          <w:rFonts w:ascii="Verdana" w:eastAsia="Times New Roman" w:hAnsi="Verdana"/>
          <w:bCs/>
          <w:color w:val="000000"/>
          <w:sz w:val="20"/>
          <w:szCs w:val="20"/>
          <w:lang w:val="bg-BG" w:eastAsia="bg-BG"/>
        </w:rPr>
        <w:t>5. Подкрепа на иновационните и инвестиционни дейности за повишаване на конкурентоспособността на икономиката.</w:t>
      </w:r>
    </w:p>
    <w:p w:rsidR="00ED77E9" w:rsidRDefault="00ED77E9" w:rsidP="00ED77E9">
      <w:pPr>
        <w:widowControl w:val="0"/>
        <w:tabs>
          <w:tab w:val="left" w:pos="0"/>
          <w:tab w:val="right" w:pos="9214"/>
        </w:tabs>
        <w:spacing w:before="120" w:after="360"/>
        <w:jc w:val="both"/>
        <w:rPr>
          <w:rFonts w:ascii="Verdana" w:eastAsia="Times New Roman" w:hAnsi="Verdana"/>
          <w:bCs/>
          <w:color w:val="000000"/>
          <w:sz w:val="20"/>
          <w:szCs w:val="20"/>
          <w:lang w:val="bg-BG" w:eastAsia="bg-BG"/>
        </w:rPr>
      </w:pPr>
      <w:r w:rsidRPr="00B05786">
        <w:rPr>
          <w:rFonts w:ascii="Verdana" w:eastAsia="Times New Roman" w:hAnsi="Verdana"/>
          <w:bCs/>
          <w:color w:val="000000"/>
          <w:sz w:val="20"/>
          <w:szCs w:val="20"/>
          <w:lang w:val="bg-BG" w:eastAsia="bg-BG"/>
        </w:rPr>
        <w:t xml:space="preserve">Финансовото разпределение в Споразумението за партньорство, предполага за </w:t>
      </w:r>
      <w:r>
        <w:rPr>
          <w:rFonts w:ascii="Verdana" w:eastAsia="Times New Roman" w:hAnsi="Verdana"/>
          <w:bCs/>
          <w:color w:val="000000"/>
          <w:sz w:val="20"/>
          <w:szCs w:val="20"/>
          <w:lang w:val="bg-BG" w:eastAsia="bg-BG"/>
        </w:rPr>
        <w:t>тематични цели 1, 9</w:t>
      </w:r>
      <w:r>
        <w:rPr>
          <w:rStyle w:val="FootnoteReference"/>
          <w:rFonts w:ascii="Verdana" w:eastAsia="Times New Roman" w:hAnsi="Verdana"/>
          <w:bCs/>
          <w:color w:val="000000"/>
          <w:sz w:val="20"/>
          <w:szCs w:val="20"/>
          <w:lang w:val="bg-BG" w:eastAsia="bg-BG"/>
        </w:rPr>
        <w:footnoteReference w:id="1"/>
      </w:r>
      <w:r>
        <w:rPr>
          <w:rFonts w:ascii="Verdana" w:eastAsia="Times New Roman" w:hAnsi="Verdana"/>
          <w:bCs/>
          <w:color w:val="000000"/>
          <w:sz w:val="20"/>
          <w:szCs w:val="20"/>
          <w:lang w:val="bg-BG" w:eastAsia="bg-BG"/>
        </w:rPr>
        <w:t xml:space="preserve"> и 10</w:t>
      </w:r>
      <w:r w:rsidRPr="00B05786">
        <w:rPr>
          <w:rFonts w:ascii="Verdana" w:eastAsia="Times New Roman" w:hAnsi="Verdana"/>
          <w:bCs/>
          <w:color w:val="000000"/>
          <w:sz w:val="20"/>
          <w:szCs w:val="20"/>
          <w:lang w:val="bg-BG" w:eastAsia="bg-BG"/>
        </w:rPr>
        <w:t xml:space="preserve"> </w:t>
      </w:r>
      <w:r>
        <w:rPr>
          <w:rFonts w:ascii="Verdana" w:eastAsia="Times New Roman" w:hAnsi="Verdana"/>
          <w:bCs/>
          <w:color w:val="000000"/>
          <w:sz w:val="20"/>
          <w:szCs w:val="20"/>
          <w:lang w:val="bg-BG" w:eastAsia="bg-BG"/>
        </w:rPr>
        <w:t>да</w:t>
      </w:r>
      <w:r w:rsidRPr="00B05786">
        <w:rPr>
          <w:rFonts w:ascii="Verdana" w:eastAsia="Times New Roman" w:hAnsi="Verdana"/>
          <w:bCs/>
          <w:color w:val="000000"/>
          <w:sz w:val="20"/>
          <w:szCs w:val="20"/>
          <w:lang w:val="bg-BG" w:eastAsia="bg-BG"/>
        </w:rPr>
        <w:t xml:space="preserve"> бъдат изразходени общо </w:t>
      </w:r>
      <w:r>
        <w:rPr>
          <w:rFonts w:ascii="Verdana" w:eastAsia="Times New Roman" w:hAnsi="Verdana"/>
          <w:bCs/>
          <w:color w:val="000000"/>
          <w:sz w:val="20"/>
          <w:szCs w:val="20"/>
          <w:lang w:val="bg-BG" w:eastAsia="bg-BG"/>
        </w:rPr>
        <w:t>23</w:t>
      </w:r>
      <w:r w:rsidRPr="00B05786">
        <w:rPr>
          <w:rFonts w:ascii="Verdana" w:eastAsia="Times New Roman" w:hAnsi="Verdana"/>
          <w:bCs/>
          <w:color w:val="000000"/>
          <w:sz w:val="20"/>
          <w:szCs w:val="20"/>
          <w:lang w:val="bg-BG" w:eastAsia="bg-BG"/>
        </w:rPr>
        <w:t>% от всички европейски средства</w:t>
      </w:r>
      <w:r w:rsidRPr="00B05786">
        <w:rPr>
          <w:rStyle w:val="FootnoteReference"/>
          <w:rFonts w:ascii="Verdana" w:eastAsia="Times New Roman" w:hAnsi="Verdana"/>
          <w:bCs/>
          <w:color w:val="000000"/>
          <w:sz w:val="20"/>
          <w:szCs w:val="20"/>
          <w:lang w:val="bg-BG" w:eastAsia="bg-BG"/>
        </w:rPr>
        <w:footnoteReference w:id="2"/>
      </w:r>
      <w:r w:rsidRPr="00B05786">
        <w:rPr>
          <w:rFonts w:ascii="Verdana" w:eastAsia="Times New Roman" w:hAnsi="Verdana"/>
          <w:bCs/>
          <w:color w:val="000000"/>
          <w:sz w:val="20"/>
          <w:szCs w:val="20"/>
          <w:lang w:val="bg-BG" w:eastAsia="bg-BG"/>
        </w:rPr>
        <w:t xml:space="preserve">, което </w:t>
      </w:r>
      <w:r>
        <w:rPr>
          <w:rFonts w:ascii="Verdana" w:eastAsia="Times New Roman" w:hAnsi="Verdana"/>
          <w:bCs/>
          <w:color w:val="000000"/>
          <w:sz w:val="20"/>
          <w:szCs w:val="20"/>
          <w:lang w:val="bg-BG" w:eastAsia="bg-BG"/>
        </w:rPr>
        <w:t xml:space="preserve">е по-ниско, но съпоставимо на </w:t>
      </w:r>
      <w:r w:rsidRPr="00B05786">
        <w:rPr>
          <w:rFonts w:ascii="Verdana" w:eastAsia="Times New Roman" w:hAnsi="Verdana"/>
          <w:bCs/>
          <w:color w:val="000000"/>
          <w:sz w:val="20"/>
          <w:szCs w:val="20"/>
          <w:lang w:val="bg-BG" w:eastAsia="bg-BG"/>
        </w:rPr>
        <w:t xml:space="preserve">заложените общо </w:t>
      </w:r>
      <w:r>
        <w:rPr>
          <w:rFonts w:ascii="Verdana" w:eastAsia="Times New Roman" w:hAnsi="Verdana"/>
          <w:bCs/>
          <w:color w:val="000000"/>
          <w:sz w:val="20"/>
          <w:szCs w:val="20"/>
          <w:lang w:val="bg-BG" w:eastAsia="bg-BG"/>
        </w:rPr>
        <w:t>28</w:t>
      </w:r>
      <w:r w:rsidRPr="00B05786">
        <w:rPr>
          <w:rFonts w:ascii="Verdana" w:eastAsia="Times New Roman" w:hAnsi="Verdana"/>
          <w:bCs/>
          <w:color w:val="000000"/>
          <w:sz w:val="20"/>
          <w:szCs w:val="20"/>
          <w:lang w:val="bg-BG" w:eastAsia="bg-BG"/>
        </w:rPr>
        <w:t xml:space="preserve">% за аналогичните приоритети в </w:t>
      </w:r>
      <w:r>
        <w:rPr>
          <w:rFonts w:ascii="Verdana" w:eastAsia="Times New Roman" w:hAnsi="Verdana"/>
          <w:bCs/>
          <w:color w:val="000000"/>
          <w:sz w:val="20"/>
          <w:szCs w:val="20"/>
          <w:lang w:val="bg-BG" w:eastAsia="bg-BG"/>
        </w:rPr>
        <w:t>Националната програма за развитие</w:t>
      </w:r>
      <w:r w:rsidRPr="00B05786">
        <w:rPr>
          <w:rFonts w:ascii="Verdana" w:eastAsia="Times New Roman" w:hAnsi="Verdana"/>
          <w:bCs/>
          <w:color w:val="000000"/>
          <w:sz w:val="20"/>
          <w:szCs w:val="20"/>
          <w:lang w:val="bg-BG" w:eastAsia="bg-BG"/>
        </w:rPr>
        <w:t>.</w:t>
      </w:r>
    </w:p>
    <w:p w:rsidR="00ED77E9" w:rsidRPr="005E3F90" w:rsidRDefault="00ED77E9" w:rsidP="00ED77E9">
      <w:pPr>
        <w:keepNext/>
        <w:tabs>
          <w:tab w:val="left" w:pos="0"/>
          <w:tab w:val="right" w:pos="9214"/>
        </w:tabs>
        <w:spacing w:after="120"/>
        <w:jc w:val="both"/>
        <w:rPr>
          <w:rFonts w:ascii="Verdana" w:hAnsi="Verdana"/>
          <w:color w:val="548DD4" w:themeColor="text2" w:themeTint="99"/>
          <w:lang w:val="bg-BG"/>
        </w:rPr>
      </w:pPr>
      <w:r w:rsidRPr="005E3F90">
        <w:rPr>
          <w:rFonts w:ascii="Verdana" w:hAnsi="Verdana"/>
          <w:color w:val="548DD4" w:themeColor="text2" w:themeTint="99"/>
          <w:lang w:val="bg-BG"/>
        </w:rPr>
        <w:lastRenderedPageBreak/>
        <w:t>Оценка на административния капацитет, управлението на програмата, наблюдението и оценката</w:t>
      </w:r>
    </w:p>
    <w:tbl>
      <w:tblPr>
        <w:tblW w:w="9090" w:type="dxa"/>
        <w:tblInd w:w="108" w:type="dxa"/>
        <w:tblBorders>
          <w:top w:val="single" w:sz="4" w:space="0" w:color="auto"/>
          <w:bottom w:val="single" w:sz="4" w:space="0" w:color="auto"/>
        </w:tblBorders>
        <w:tblLook w:val="04A0" w:firstRow="1" w:lastRow="0" w:firstColumn="1" w:lastColumn="0" w:noHBand="0" w:noVBand="1"/>
      </w:tblPr>
      <w:tblGrid>
        <w:gridCol w:w="531"/>
        <w:gridCol w:w="8559"/>
      </w:tblGrid>
      <w:tr w:rsidR="00ED77E9" w:rsidRPr="00890D49" w:rsidTr="00ED77E9">
        <w:trPr>
          <w:trHeight w:val="452"/>
        </w:trPr>
        <w:tc>
          <w:tcPr>
            <w:tcW w:w="531" w:type="dxa"/>
            <w:vAlign w:val="center"/>
          </w:tcPr>
          <w:p w:rsidR="00ED77E9" w:rsidRPr="005757F7" w:rsidRDefault="00ED77E9" w:rsidP="00ED77E9">
            <w:pPr>
              <w:pStyle w:val="BodyText"/>
              <w:spacing w:before="120"/>
              <w:jc w:val="center"/>
              <w:rPr>
                <w:rFonts w:ascii="Verdana" w:hAnsi="Verdana"/>
                <w:color w:val="548DD4"/>
                <w:sz w:val="36"/>
                <w:szCs w:val="36"/>
              </w:rPr>
            </w:pPr>
            <w:r w:rsidRPr="005757F7">
              <w:rPr>
                <w:rFonts w:ascii="Verdana" w:hAnsi="Verdana"/>
                <w:color w:val="548DD4"/>
                <w:sz w:val="36"/>
                <w:szCs w:val="36"/>
              </w:rPr>
              <w:t>?</w:t>
            </w:r>
          </w:p>
        </w:tc>
        <w:tc>
          <w:tcPr>
            <w:tcW w:w="8559" w:type="dxa"/>
            <w:shd w:val="clear" w:color="auto" w:fill="B8CCE4"/>
            <w:vAlign w:val="center"/>
          </w:tcPr>
          <w:p w:rsidR="00ED77E9" w:rsidRPr="005757F7" w:rsidRDefault="00ED77E9" w:rsidP="00ED77E9">
            <w:pPr>
              <w:autoSpaceDE w:val="0"/>
              <w:autoSpaceDN w:val="0"/>
              <w:adjustRightInd w:val="0"/>
              <w:spacing w:before="120" w:after="120"/>
              <w:rPr>
                <w:rFonts w:ascii="Verdana" w:hAnsi="Verdana"/>
                <w:sz w:val="20"/>
                <w:szCs w:val="20"/>
                <w:lang w:val="bg-BG"/>
              </w:rPr>
            </w:pPr>
            <w:r w:rsidRPr="005757F7">
              <w:rPr>
                <w:rFonts w:ascii="Verdana" w:hAnsi="Verdana"/>
                <w:sz w:val="20"/>
                <w:szCs w:val="20"/>
                <w:lang w:val="bg-BG"/>
              </w:rPr>
              <w:t>Адекватност на структурата за управление</w:t>
            </w:r>
          </w:p>
        </w:tc>
      </w:tr>
    </w:tbl>
    <w:p w:rsidR="00ED77E9" w:rsidRDefault="00ED77E9" w:rsidP="00ED77E9">
      <w:pPr>
        <w:spacing w:before="240" w:after="120"/>
        <w:jc w:val="both"/>
        <w:rPr>
          <w:rFonts w:ascii="Verdana" w:hAnsi="Verdana"/>
          <w:sz w:val="20"/>
          <w:szCs w:val="20"/>
          <w:lang w:val="bg-BG" w:eastAsia="cs-CZ"/>
        </w:rPr>
      </w:pPr>
      <w:r>
        <w:rPr>
          <w:rFonts w:ascii="Verdana" w:hAnsi="Verdana"/>
          <w:sz w:val="20"/>
          <w:szCs w:val="20"/>
          <w:lang w:val="bg-BG" w:eastAsia="cs-CZ"/>
        </w:rPr>
        <w:t>През юни 2014 Главна дирекция “Структурни фондове и международни образователни програми“ в Министерство на образованието и науката е преструктурирана, като са добавени нови звена във връзка с функциите, които дирекцията ще поеме като управляващ орган на оперативната програма.</w:t>
      </w:r>
    </w:p>
    <w:p w:rsidR="00ED77E9" w:rsidRPr="00261140" w:rsidRDefault="00ED77E9" w:rsidP="00ED77E9">
      <w:pPr>
        <w:jc w:val="both"/>
        <w:rPr>
          <w:rFonts w:ascii="Verdana" w:hAnsi="Verdana"/>
          <w:sz w:val="20"/>
          <w:szCs w:val="20"/>
          <w:lang w:val="bg-BG" w:eastAsia="cs-CZ"/>
        </w:rPr>
      </w:pPr>
      <w:r w:rsidRPr="00261140">
        <w:rPr>
          <w:rFonts w:ascii="Verdana" w:hAnsi="Verdana"/>
          <w:sz w:val="20"/>
          <w:szCs w:val="20"/>
          <w:lang w:val="bg-BG" w:eastAsia="cs-CZ"/>
        </w:rPr>
        <w:t xml:space="preserve">Структурата е адекватна на новите отговорности на дирекцията. Отдел </w:t>
      </w:r>
      <w:r w:rsidRPr="00261140">
        <w:rPr>
          <w:rFonts w:ascii="Verdana" w:hAnsi="Verdana"/>
          <w:sz w:val="20"/>
          <w:szCs w:val="20"/>
          <w:lang w:val="bg-BG"/>
        </w:rPr>
        <w:t>„Управление на риска и контрол“ би трябвало да бъде на подчинение директно на главния директор</w:t>
      </w:r>
      <w:r>
        <w:rPr>
          <w:rFonts w:ascii="Verdana" w:hAnsi="Verdana"/>
          <w:sz w:val="20"/>
          <w:szCs w:val="20"/>
          <w:lang w:val="bg-BG"/>
        </w:rPr>
        <w:t>,</w:t>
      </w:r>
      <w:r w:rsidRPr="00261140">
        <w:rPr>
          <w:rFonts w:ascii="Verdana" w:hAnsi="Verdana"/>
          <w:sz w:val="20"/>
          <w:szCs w:val="20"/>
          <w:lang w:val="bg-BG"/>
        </w:rPr>
        <w:t xml:space="preserve"> за да се осигури независимостта на експерта по нередности.</w:t>
      </w:r>
    </w:p>
    <w:tbl>
      <w:tblPr>
        <w:tblW w:w="9090" w:type="dxa"/>
        <w:tblInd w:w="108" w:type="dxa"/>
        <w:tblBorders>
          <w:top w:val="single" w:sz="4" w:space="0" w:color="auto"/>
          <w:bottom w:val="single" w:sz="4" w:space="0" w:color="auto"/>
        </w:tblBorders>
        <w:tblLook w:val="04A0" w:firstRow="1" w:lastRow="0" w:firstColumn="1" w:lastColumn="0" w:noHBand="0" w:noVBand="1"/>
      </w:tblPr>
      <w:tblGrid>
        <w:gridCol w:w="531"/>
        <w:gridCol w:w="8559"/>
      </w:tblGrid>
      <w:tr w:rsidR="00ED77E9" w:rsidRPr="00890D49" w:rsidTr="00ED77E9">
        <w:tc>
          <w:tcPr>
            <w:tcW w:w="531" w:type="dxa"/>
            <w:vAlign w:val="center"/>
          </w:tcPr>
          <w:p w:rsidR="00ED77E9" w:rsidRPr="005757F7" w:rsidRDefault="00ED77E9" w:rsidP="00ED77E9">
            <w:pPr>
              <w:pStyle w:val="BodyText"/>
              <w:spacing w:before="120" w:line="276" w:lineRule="auto"/>
              <w:jc w:val="center"/>
              <w:rPr>
                <w:rFonts w:ascii="Verdana" w:hAnsi="Verdana"/>
                <w:color w:val="548DD4"/>
                <w:sz w:val="36"/>
                <w:szCs w:val="36"/>
              </w:rPr>
            </w:pPr>
            <w:r w:rsidRPr="005757F7">
              <w:rPr>
                <w:rFonts w:ascii="Verdana" w:hAnsi="Verdana"/>
                <w:color w:val="548DD4"/>
                <w:sz w:val="36"/>
                <w:szCs w:val="36"/>
              </w:rPr>
              <w:t>?</w:t>
            </w:r>
          </w:p>
        </w:tc>
        <w:tc>
          <w:tcPr>
            <w:tcW w:w="8559" w:type="dxa"/>
            <w:shd w:val="clear" w:color="auto" w:fill="B8CCE4"/>
          </w:tcPr>
          <w:p w:rsidR="00ED77E9" w:rsidRPr="005757F7" w:rsidRDefault="00ED77E9" w:rsidP="00ED77E9">
            <w:pPr>
              <w:autoSpaceDE w:val="0"/>
              <w:autoSpaceDN w:val="0"/>
              <w:adjustRightInd w:val="0"/>
              <w:spacing w:before="120" w:after="120"/>
              <w:rPr>
                <w:rFonts w:ascii="Verdana" w:hAnsi="Verdana"/>
                <w:sz w:val="20"/>
                <w:szCs w:val="20"/>
                <w:lang w:val="bg-BG"/>
              </w:rPr>
            </w:pPr>
            <w:r w:rsidRPr="005757F7">
              <w:rPr>
                <w:rFonts w:ascii="Verdana" w:hAnsi="Verdana"/>
                <w:sz w:val="20"/>
                <w:szCs w:val="20"/>
                <w:lang w:val="bg-BG"/>
              </w:rPr>
              <w:t>Адекватност на чове</w:t>
            </w:r>
            <w:r>
              <w:rPr>
                <w:rFonts w:ascii="Verdana" w:hAnsi="Verdana"/>
                <w:sz w:val="20"/>
                <w:szCs w:val="20"/>
                <w:lang w:val="bg-BG"/>
              </w:rPr>
              <w:t>шките ресурси и на административ</w:t>
            </w:r>
            <w:r w:rsidRPr="005757F7">
              <w:rPr>
                <w:rFonts w:ascii="Verdana" w:hAnsi="Verdana"/>
                <w:sz w:val="20"/>
                <w:szCs w:val="20"/>
                <w:lang w:val="bg-BG"/>
              </w:rPr>
              <w:t>ния капацитет за управление на програмата</w:t>
            </w:r>
          </w:p>
        </w:tc>
      </w:tr>
    </w:tbl>
    <w:p w:rsidR="00ED77E9" w:rsidRPr="007C30D0" w:rsidRDefault="00ED77E9" w:rsidP="00ED77E9">
      <w:pPr>
        <w:autoSpaceDE w:val="0"/>
        <w:autoSpaceDN w:val="0"/>
        <w:adjustRightInd w:val="0"/>
        <w:spacing w:before="240" w:after="120"/>
        <w:jc w:val="both"/>
        <w:rPr>
          <w:rFonts w:ascii="Verdana" w:hAnsi="Verdana"/>
          <w:sz w:val="20"/>
          <w:szCs w:val="20"/>
          <w:lang w:val="bg-BG"/>
        </w:rPr>
      </w:pPr>
      <w:r w:rsidRPr="007C30D0">
        <w:rPr>
          <w:rFonts w:ascii="Verdana" w:hAnsi="Verdana"/>
          <w:sz w:val="20"/>
          <w:szCs w:val="20"/>
          <w:lang w:val="bg-BG"/>
        </w:rPr>
        <w:t>Предвижда се управляващият орган да работи с 87 експерта. Анализите показват, че предвидените човешки ресурси не са адекватни на отговорностите за отдел</w:t>
      </w:r>
      <w:r>
        <w:rPr>
          <w:rFonts w:ascii="Verdana" w:hAnsi="Verdana"/>
          <w:sz w:val="20"/>
          <w:szCs w:val="20"/>
          <w:lang w:val="bg-BG"/>
        </w:rPr>
        <w:t>и</w:t>
      </w:r>
      <w:r w:rsidRPr="007C30D0">
        <w:rPr>
          <w:rFonts w:ascii="Verdana" w:hAnsi="Verdana"/>
          <w:bCs/>
          <w:color w:val="000000"/>
          <w:sz w:val="20"/>
          <w:szCs w:val="20"/>
          <w:lang w:val="bg-BG"/>
        </w:rPr>
        <w:t xml:space="preserve"> </w:t>
      </w:r>
      <w:r w:rsidRPr="007C30D0">
        <w:rPr>
          <w:rFonts w:ascii="Verdana" w:hAnsi="Verdana" w:cs="TimesNewRomanPSMT"/>
          <w:sz w:val="20"/>
          <w:szCs w:val="20"/>
          <w:lang w:val="bg-BG" w:eastAsia="bg-BG"/>
        </w:rPr>
        <w:t>„Програмиране и договаряне“</w:t>
      </w:r>
      <w:r>
        <w:rPr>
          <w:rFonts w:ascii="Verdana" w:hAnsi="Verdana" w:cs="TimesNewRomanPSMT"/>
          <w:sz w:val="20"/>
          <w:szCs w:val="20"/>
          <w:lang w:val="bg-BG" w:eastAsia="bg-BG"/>
        </w:rPr>
        <w:t>,</w:t>
      </w:r>
      <w:r w:rsidRPr="007C30D0">
        <w:rPr>
          <w:rFonts w:ascii="Verdana" w:hAnsi="Verdana" w:cs="TimesNewRomanPSMT"/>
          <w:sz w:val="20"/>
          <w:szCs w:val="20"/>
          <w:lang w:val="bg-BG" w:eastAsia="bg-BG"/>
        </w:rPr>
        <w:t xml:space="preserve"> „Финансово планиране, счетоводна отчетност и плащания“ и </w:t>
      </w:r>
      <w:r w:rsidRPr="007C30D0">
        <w:rPr>
          <w:rFonts w:ascii="Verdana" w:hAnsi="Verdana"/>
          <w:sz w:val="20"/>
          <w:szCs w:val="20"/>
          <w:lang w:val="bg-BG"/>
        </w:rPr>
        <w:t>„Управление на риска и контрол“</w:t>
      </w:r>
      <w:r>
        <w:rPr>
          <w:rFonts w:ascii="Verdana" w:hAnsi="Verdana"/>
          <w:sz w:val="20"/>
          <w:szCs w:val="20"/>
          <w:lang w:val="bg-BG"/>
        </w:rPr>
        <w:t xml:space="preserve">. </w:t>
      </w:r>
      <w:r w:rsidRPr="007C30D0">
        <w:rPr>
          <w:rFonts w:ascii="Verdana" w:hAnsi="Verdana"/>
          <w:sz w:val="20"/>
          <w:szCs w:val="20"/>
          <w:lang w:val="bg-BG"/>
        </w:rPr>
        <w:t>За първите два отдела е необходими допълнител</w:t>
      </w:r>
      <w:r>
        <w:rPr>
          <w:rFonts w:ascii="Verdana" w:hAnsi="Verdana"/>
          <w:sz w:val="20"/>
          <w:szCs w:val="20"/>
          <w:lang w:val="bg-BG"/>
        </w:rPr>
        <w:t>ен</w:t>
      </w:r>
      <w:r w:rsidRPr="007C30D0">
        <w:rPr>
          <w:rFonts w:ascii="Verdana" w:hAnsi="Verdana"/>
          <w:sz w:val="20"/>
          <w:szCs w:val="20"/>
          <w:lang w:val="bg-BG"/>
        </w:rPr>
        <w:t xml:space="preserve"> човешки ресурс. За намаляване натоварването на отдел </w:t>
      </w:r>
      <w:r>
        <w:rPr>
          <w:rFonts w:ascii="Verdana" w:hAnsi="Verdana"/>
          <w:sz w:val="20"/>
          <w:szCs w:val="20"/>
          <w:lang w:val="bg-BG"/>
        </w:rPr>
        <w:t>„</w:t>
      </w:r>
      <w:r w:rsidRPr="007C30D0">
        <w:rPr>
          <w:rFonts w:ascii="Verdana" w:hAnsi="Verdana"/>
          <w:sz w:val="20"/>
          <w:szCs w:val="20"/>
          <w:lang w:val="bg-BG"/>
        </w:rPr>
        <w:t>Управление на риска и контрол“ е препоръчително да бъде премахнат предв</w:t>
      </w:r>
      <w:r>
        <w:rPr>
          <w:rFonts w:ascii="Verdana" w:hAnsi="Verdana"/>
          <w:sz w:val="20"/>
          <w:szCs w:val="20"/>
          <w:lang w:val="bg-BG"/>
        </w:rPr>
        <w:t>арителният контрол върху общест</w:t>
      </w:r>
      <w:r w:rsidRPr="007C30D0">
        <w:rPr>
          <w:rFonts w:ascii="Verdana" w:hAnsi="Verdana"/>
          <w:sz w:val="20"/>
          <w:szCs w:val="20"/>
          <w:lang w:val="bg-BG"/>
        </w:rPr>
        <w:t>в</w:t>
      </w:r>
      <w:r>
        <w:rPr>
          <w:rFonts w:ascii="Verdana" w:hAnsi="Verdana"/>
          <w:sz w:val="20"/>
          <w:szCs w:val="20"/>
          <w:lang w:val="bg-BG"/>
        </w:rPr>
        <w:t>е</w:t>
      </w:r>
      <w:r w:rsidRPr="007C30D0">
        <w:rPr>
          <w:rFonts w:ascii="Verdana" w:hAnsi="Verdana"/>
          <w:sz w:val="20"/>
          <w:szCs w:val="20"/>
          <w:lang w:val="bg-BG"/>
        </w:rPr>
        <w:t>ните поръчки на бенефициентите или да се въведе праг, над който да бъде осъществяван такъв контрол.</w:t>
      </w:r>
    </w:p>
    <w:p w:rsidR="00ED77E9" w:rsidRDefault="00ED77E9" w:rsidP="00ED77E9">
      <w:pPr>
        <w:spacing w:after="120"/>
        <w:jc w:val="both"/>
        <w:rPr>
          <w:rFonts w:ascii="Verdana" w:hAnsi="Verdana"/>
          <w:sz w:val="20"/>
          <w:szCs w:val="20"/>
          <w:lang w:val="bg-BG" w:eastAsia="cs-CZ"/>
        </w:rPr>
      </w:pPr>
      <w:r w:rsidRPr="007C30D0">
        <w:rPr>
          <w:rFonts w:ascii="Verdana" w:hAnsi="Verdana"/>
          <w:sz w:val="20"/>
          <w:szCs w:val="20"/>
          <w:lang w:val="bg-BG" w:eastAsia="cs-CZ"/>
        </w:rPr>
        <w:t>Служителите притежават опит в управление на фондове на Европейския съюз и имат възможност да получават обучение. Съществува опит в разработване на процедури и наръчници. Работата по разписване на системите за управление и контрол е започнала.</w:t>
      </w:r>
    </w:p>
    <w:p w:rsidR="00ED77E9" w:rsidRPr="00355798" w:rsidRDefault="00ED77E9" w:rsidP="00ED77E9">
      <w:pPr>
        <w:widowControl w:val="0"/>
        <w:tabs>
          <w:tab w:val="left" w:pos="0"/>
          <w:tab w:val="right" w:pos="9214"/>
        </w:tabs>
        <w:spacing w:before="120" w:after="120"/>
        <w:jc w:val="both"/>
        <w:rPr>
          <w:rFonts w:ascii="Verdana" w:hAnsi="Verdana"/>
          <w:bCs/>
          <w:color w:val="000000"/>
          <w:sz w:val="20"/>
          <w:szCs w:val="20"/>
          <w:lang w:val="bg-BG"/>
        </w:rPr>
      </w:pPr>
      <w:r>
        <w:rPr>
          <w:rFonts w:ascii="Verdana" w:hAnsi="Verdana"/>
          <w:bCs/>
          <w:color w:val="000000"/>
          <w:sz w:val="20"/>
          <w:szCs w:val="20"/>
          <w:lang w:val="bg-BG"/>
        </w:rPr>
        <w:t>Текучеството в дирекцията е малко и с</w:t>
      </w:r>
      <w:r w:rsidRPr="00355798">
        <w:rPr>
          <w:rFonts w:ascii="Verdana" w:hAnsi="Verdana"/>
          <w:bCs/>
          <w:color w:val="000000"/>
          <w:sz w:val="20"/>
          <w:szCs w:val="20"/>
          <w:lang w:val="bg-BG"/>
        </w:rPr>
        <w:t>лужителите като цяло са удовлетворени от работата в ГДСФМОП, но тяхната по-добра мотивация ще повиши административния капацитет на дирекцията.</w:t>
      </w:r>
    </w:p>
    <w:p w:rsidR="00ED77E9" w:rsidRPr="007C30D0" w:rsidRDefault="00ED77E9" w:rsidP="00ED77E9">
      <w:pPr>
        <w:spacing w:after="360"/>
        <w:jc w:val="both"/>
        <w:rPr>
          <w:rFonts w:ascii="Verdana" w:hAnsi="Verdana"/>
          <w:sz w:val="20"/>
          <w:szCs w:val="20"/>
          <w:lang w:val="bg-BG" w:eastAsia="cs-CZ"/>
        </w:rPr>
      </w:pPr>
      <w:r w:rsidRPr="007C30D0">
        <w:rPr>
          <w:rFonts w:ascii="Verdana" w:hAnsi="Verdana"/>
          <w:sz w:val="20"/>
          <w:szCs w:val="20"/>
          <w:lang w:val="bg-BG" w:eastAsia="cs-CZ"/>
        </w:rPr>
        <w:t>Основен проблем пред изпълнението на програмата се оказват недостатъчните технически средства, с които разполага дирекцията. Вече е стартирана поръчка за доставка на оборудване.</w:t>
      </w:r>
    </w:p>
    <w:tbl>
      <w:tblPr>
        <w:tblW w:w="9090" w:type="dxa"/>
        <w:tblInd w:w="108" w:type="dxa"/>
        <w:tblBorders>
          <w:top w:val="single" w:sz="4" w:space="0" w:color="auto"/>
          <w:bottom w:val="single" w:sz="4" w:space="0" w:color="auto"/>
        </w:tblBorders>
        <w:tblLook w:val="04A0" w:firstRow="1" w:lastRow="0" w:firstColumn="1" w:lastColumn="0" w:noHBand="0" w:noVBand="1"/>
      </w:tblPr>
      <w:tblGrid>
        <w:gridCol w:w="531"/>
        <w:gridCol w:w="8559"/>
      </w:tblGrid>
      <w:tr w:rsidR="00ED77E9" w:rsidRPr="00890D49" w:rsidTr="00ED77E9">
        <w:tc>
          <w:tcPr>
            <w:tcW w:w="531" w:type="dxa"/>
            <w:vAlign w:val="center"/>
          </w:tcPr>
          <w:p w:rsidR="00ED77E9" w:rsidRPr="005757F7" w:rsidRDefault="00ED77E9" w:rsidP="00ED77E9">
            <w:pPr>
              <w:pStyle w:val="BodyText"/>
              <w:spacing w:before="120" w:line="276" w:lineRule="auto"/>
              <w:jc w:val="center"/>
              <w:rPr>
                <w:rFonts w:ascii="Verdana" w:hAnsi="Verdana"/>
                <w:color w:val="548DD4"/>
                <w:sz w:val="36"/>
                <w:szCs w:val="36"/>
              </w:rPr>
            </w:pPr>
            <w:r w:rsidRPr="005757F7">
              <w:rPr>
                <w:rFonts w:ascii="Verdana" w:hAnsi="Verdana"/>
                <w:color w:val="548DD4"/>
                <w:sz w:val="36"/>
                <w:szCs w:val="36"/>
              </w:rPr>
              <w:t>?</w:t>
            </w:r>
          </w:p>
        </w:tc>
        <w:tc>
          <w:tcPr>
            <w:tcW w:w="8559" w:type="dxa"/>
            <w:shd w:val="clear" w:color="auto" w:fill="B8CCE4"/>
          </w:tcPr>
          <w:p w:rsidR="00ED77E9" w:rsidRPr="005757F7" w:rsidRDefault="00ED77E9" w:rsidP="00ED77E9">
            <w:pPr>
              <w:autoSpaceDE w:val="0"/>
              <w:autoSpaceDN w:val="0"/>
              <w:adjustRightInd w:val="0"/>
              <w:spacing w:before="120" w:after="120"/>
              <w:rPr>
                <w:rFonts w:ascii="Verdana" w:hAnsi="Verdana"/>
                <w:sz w:val="20"/>
                <w:szCs w:val="20"/>
                <w:lang w:val="bg-BG"/>
              </w:rPr>
            </w:pPr>
            <w:r w:rsidRPr="005757F7">
              <w:rPr>
                <w:rFonts w:ascii="Verdana" w:hAnsi="Verdana"/>
                <w:sz w:val="20"/>
                <w:szCs w:val="20"/>
                <w:lang w:val="bg-BG"/>
              </w:rPr>
              <w:t>Капацитет на бенефициентите на програмата и предвидените мерки за неговото укрепване</w:t>
            </w:r>
          </w:p>
        </w:tc>
      </w:tr>
    </w:tbl>
    <w:p w:rsidR="00ED77E9" w:rsidRPr="00FC2EA6" w:rsidRDefault="00ED77E9" w:rsidP="00ED77E9">
      <w:pPr>
        <w:pStyle w:val="BodyText"/>
        <w:widowControl w:val="0"/>
        <w:tabs>
          <w:tab w:val="left" w:pos="0"/>
          <w:tab w:val="right" w:pos="9214"/>
        </w:tabs>
        <w:spacing w:before="240" w:after="360" w:line="276" w:lineRule="auto"/>
        <w:jc w:val="both"/>
        <w:rPr>
          <w:rFonts w:ascii="Verdana" w:hAnsi="Verdana"/>
          <w:bCs/>
          <w:color w:val="000000"/>
          <w:sz w:val="20"/>
          <w:szCs w:val="20"/>
        </w:rPr>
      </w:pPr>
      <w:r w:rsidRPr="00FC2EA6">
        <w:rPr>
          <w:rFonts w:ascii="Verdana" w:hAnsi="Verdana"/>
          <w:bCs/>
          <w:color w:val="000000"/>
          <w:sz w:val="20"/>
          <w:szCs w:val="20"/>
        </w:rPr>
        <w:t>Голяма част от потенциалните бенефициенти по програмата вече имат изграден капацитет на базата на изпълнени проекти в настоящия програмен период. Въпреки това</w:t>
      </w:r>
      <w:r>
        <w:rPr>
          <w:rFonts w:ascii="Verdana" w:hAnsi="Verdana"/>
          <w:bCs/>
          <w:color w:val="000000"/>
          <w:sz w:val="20"/>
          <w:szCs w:val="20"/>
        </w:rPr>
        <w:t>,</w:t>
      </w:r>
      <w:r w:rsidRPr="00FC2EA6">
        <w:rPr>
          <w:rFonts w:ascii="Verdana" w:hAnsi="Verdana"/>
          <w:bCs/>
          <w:color w:val="000000"/>
          <w:sz w:val="20"/>
          <w:szCs w:val="20"/>
        </w:rPr>
        <w:t xml:space="preserve"> както управляващият орган</w:t>
      </w:r>
      <w:r>
        <w:rPr>
          <w:rFonts w:ascii="Verdana" w:hAnsi="Verdana"/>
          <w:bCs/>
          <w:color w:val="000000"/>
          <w:sz w:val="20"/>
          <w:szCs w:val="20"/>
        </w:rPr>
        <w:t>,</w:t>
      </w:r>
      <w:r w:rsidRPr="00FC2EA6">
        <w:rPr>
          <w:rFonts w:ascii="Verdana" w:hAnsi="Verdana"/>
          <w:bCs/>
          <w:color w:val="000000"/>
          <w:sz w:val="20"/>
          <w:szCs w:val="20"/>
        </w:rPr>
        <w:t xml:space="preserve"> така и бенефициентите считат, че е необходима подкрепа и през настоящия програмен период. Тази подкрепа ще се изразява в провеждане на обучения и разяснителни срещи, провеждане на информационни </w:t>
      </w:r>
      <w:r w:rsidRPr="00FC2EA6">
        <w:rPr>
          <w:rFonts w:ascii="Verdana" w:hAnsi="Verdana"/>
          <w:bCs/>
          <w:color w:val="000000"/>
          <w:sz w:val="20"/>
          <w:szCs w:val="20"/>
        </w:rPr>
        <w:lastRenderedPageBreak/>
        <w:t>кампании и предоставяне на достъпна, ясна и навременна информация.</w:t>
      </w:r>
      <w:r>
        <w:rPr>
          <w:rFonts w:ascii="Verdana" w:hAnsi="Verdana"/>
          <w:bCs/>
          <w:color w:val="000000"/>
          <w:sz w:val="20"/>
          <w:szCs w:val="20"/>
        </w:rPr>
        <w:t xml:space="preserve"> Н</w:t>
      </w:r>
      <w:r w:rsidRPr="00FC2EA6">
        <w:rPr>
          <w:rFonts w:ascii="Verdana" w:hAnsi="Verdana"/>
          <w:bCs/>
          <w:color w:val="000000"/>
          <w:sz w:val="20"/>
          <w:szCs w:val="20"/>
        </w:rPr>
        <w:t>амаляване на административната тежест за бенефициентите</w:t>
      </w:r>
      <w:r>
        <w:rPr>
          <w:rFonts w:ascii="Verdana" w:hAnsi="Verdana"/>
          <w:bCs/>
          <w:color w:val="000000"/>
          <w:sz w:val="20"/>
          <w:szCs w:val="20"/>
        </w:rPr>
        <w:t xml:space="preserve"> също се очаква да допринесе за ефективно изпълнение на програмата.</w:t>
      </w:r>
    </w:p>
    <w:tbl>
      <w:tblPr>
        <w:tblW w:w="9072" w:type="dxa"/>
        <w:tblInd w:w="108" w:type="dxa"/>
        <w:tblBorders>
          <w:top w:val="single" w:sz="4" w:space="0" w:color="auto"/>
          <w:bottom w:val="single" w:sz="4" w:space="0" w:color="auto"/>
        </w:tblBorders>
        <w:tblLook w:val="04A0" w:firstRow="1" w:lastRow="0" w:firstColumn="1" w:lastColumn="0" w:noHBand="0" w:noVBand="1"/>
      </w:tblPr>
      <w:tblGrid>
        <w:gridCol w:w="531"/>
        <w:gridCol w:w="8541"/>
      </w:tblGrid>
      <w:tr w:rsidR="00ED77E9" w:rsidRPr="00890D49" w:rsidTr="00ED77E9">
        <w:tc>
          <w:tcPr>
            <w:tcW w:w="531" w:type="dxa"/>
            <w:vAlign w:val="center"/>
          </w:tcPr>
          <w:p w:rsidR="00ED77E9" w:rsidRPr="005757F7" w:rsidRDefault="00ED77E9" w:rsidP="00ED77E9">
            <w:pPr>
              <w:pStyle w:val="BodyText"/>
              <w:keepNext/>
              <w:spacing w:before="120" w:line="276" w:lineRule="auto"/>
              <w:jc w:val="center"/>
              <w:rPr>
                <w:rFonts w:ascii="Verdana" w:hAnsi="Verdana"/>
                <w:color w:val="548DD4"/>
                <w:sz w:val="36"/>
                <w:szCs w:val="36"/>
              </w:rPr>
            </w:pPr>
            <w:r w:rsidRPr="005757F7">
              <w:rPr>
                <w:rFonts w:ascii="Verdana" w:hAnsi="Verdana"/>
                <w:color w:val="548DD4"/>
                <w:sz w:val="36"/>
                <w:szCs w:val="36"/>
              </w:rPr>
              <w:t>?</w:t>
            </w:r>
          </w:p>
        </w:tc>
        <w:tc>
          <w:tcPr>
            <w:tcW w:w="8541" w:type="dxa"/>
            <w:shd w:val="clear" w:color="auto" w:fill="B8CCE4"/>
          </w:tcPr>
          <w:p w:rsidR="00ED77E9" w:rsidRPr="005757F7" w:rsidRDefault="00ED77E9" w:rsidP="00ED77E9">
            <w:pPr>
              <w:keepNext/>
              <w:autoSpaceDE w:val="0"/>
              <w:autoSpaceDN w:val="0"/>
              <w:adjustRightInd w:val="0"/>
              <w:spacing w:before="120" w:after="120"/>
              <w:rPr>
                <w:rFonts w:ascii="Verdana" w:hAnsi="Verdana"/>
                <w:sz w:val="20"/>
                <w:szCs w:val="20"/>
                <w:lang w:val="bg-BG"/>
              </w:rPr>
            </w:pPr>
            <w:r w:rsidRPr="005757F7">
              <w:rPr>
                <w:rFonts w:ascii="Verdana" w:hAnsi="Verdana"/>
                <w:sz w:val="20"/>
                <w:szCs w:val="20"/>
                <w:lang w:val="bg-BG"/>
              </w:rPr>
              <w:t>Пригодност на етапните цели от гледна точка на адм. капацитет   (като се направи връзка с анализа на заложените етапни цели)</w:t>
            </w:r>
          </w:p>
        </w:tc>
      </w:tr>
    </w:tbl>
    <w:p w:rsidR="00ED77E9" w:rsidRPr="00E054C6" w:rsidRDefault="00ED77E9" w:rsidP="00ED77E9">
      <w:pPr>
        <w:spacing w:before="240" w:after="360"/>
        <w:jc w:val="both"/>
        <w:rPr>
          <w:rFonts w:ascii="Verdana" w:hAnsi="Verdana"/>
          <w:sz w:val="20"/>
          <w:szCs w:val="20"/>
          <w:lang w:val="bg-BG" w:eastAsia="cs-CZ"/>
        </w:rPr>
      </w:pPr>
      <w:r w:rsidRPr="00E054C6">
        <w:rPr>
          <w:rFonts w:ascii="Verdana" w:hAnsi="Verdana"/>
          <w:bCs/>
          <w:color w:val="000000"/>
          <w:sz w:val="20"/>
          <w:szCs w:val="20"/>
          <w:lang w:val="bg-BG"/>
        </w:rPr>
        <w:t>Към момента етапните цели на програмата са в процес на разработване. За целите на анализа са разгледани възможни рискове за успешно изпълнение на програмата, свързани с административния капацитет и на тази база са дефинирани възможни подходи за избягване на рисковете.</w:t>
      </w:r>
    </w:p>
    <w:tbl>
      <w:tblPr>
        <w:tblW w:w="9090" w:type="dxa"/>
        <w:tblInd w:w="108" w:type="dxa"/>
        <w:tblBorders>
          <w:top w:val="single" w:sz="4" w:space="0" w:color="auto"/>
          <w:bottom w:val="single" w:sz="4" w:space="0" w:color="auto"/>
        </w:tblBorders>
        <w:tblLook w:val="04A0" w:firstRow="1" w:lastRow="0" w:firstColumn="1" w:lastColumn="0" w:noHBand="0" w:noVBand="1"/>
      </w:tblPr>
      <w:tblGrid>
        <w:gridCol w:w="531"/>
        <w:gridCol w:w="8559"/>
      </w:tblGrid>
      <w:tr w:rsidR="00ED77E9" w:rsidRPr="00890D49" w:rsidTr="00ED77E9">
        <w:tc>
          <w:tcPr>
            <w:tcW w:w="531" w:type="dxa"/>
            <w:vAlign w:val="center"/>
          </w:tcPr>
          <w:p w:rsidR="00ED77E9" w:rsidRPr="005757F7" w:rsidRDefault="00ED77E9" w:rsidP="00ED77E9">
            <w:pPr>
              <w:pStyle w:val="BodyText"/>
              <w:spacing w:before="120" w:line="276" w:lineRule="auto"/>
              <w:jc w:val="center"/>
              <w:rPr>
                <w:rFonts w:ascii="Verdana" w:hAnsi="Verdana"/>
                <w:color w:val="548DD4"/>
                <w:sz w:val="36"/>
                <w:szCs w:val="36"/>
              </w:rPr>
            </w:pPr>
            <w:r w:rsidRPr="005757F7">
              <w:rPr>
                <w:rFonts w:ascii="Verdana" w:hAnsi="Verdana"/>
                <w:color w:val="548DD4"/>
                <w:sz w:val="36"/>
                <w:szCs w:val="36"/>
              </w:rPr>
              <w:t>?</w:t>
            </w:r>
          </w:p>
        </w:tc>
        <w:tc>
          <w:tcPr>
            <w:tcW w:w="8559" w:type="dxa"/>
            <w:shd w:val="clear" w:color="auto" w:fill="B8CCE4"/>
          </w:tcPr>
          <w:p w:rsidR="00ED77E9" w:rsidRPr="005757F7" w:rsidRDefault="00ED77E9" w:rsidP="00ED77E9">
            <w:pPr>
              <w:autoSpaceDE w:val="0"/>
              <w:autoSpaceDN w:val="0"/>
              <w:adjustRightInd w:val="0"/>
              <w:spacing w:before="120" w:after="120"/>
              <w:rPr>
                <w:rFonts w:ascii="Verdana" w:hAnsi="Verdana"/>
                <w:sz w:val="20"/>
                <w:szCs w:val="20"/>
                <w:lang w:val="bg-BG"/>
              </w:rPr>
            </w:pPr>
            <w:r w:rsidRPr="005757F7">
              <w:rPr>
                <w:rFonts w:ascii="Verdana" w:hAnsi="Verdana"/>
                <w:sz w:val="20"/>
                <w:szCs w:val="20"/>
                <w:lang w:val="bg-BG"/>
              </w:rPr>
              <w:t>Пригодност на процедурите за управление, мониторинг и оценка на програмата и за събирането на данни за изпълнение на програмата.</w:t>
            </w:r>
          </w:p>
        </w:tc>
      </w:tr>
    </w:tbl>
    <w:p w:rsidR="00ED77E9" w:rsidRDefault="00ED77E9" w:rsidP="00ED77E9">
      <w:pPr>
        <w:spacing w:before="240" w:after="120"/>
        <w:jc w:val="both"/>
        <w:rPr>
          <w:rFonts w:ascii="Verdana" w:eastAsia="Malgun Gothic" w:hAnsi="Verdana"/>
          <w:bCs/>
          <w:sz w:val="20"/>
          <w:szCs w:val="20"/>
          <w:lang w:val="bg-BG" w:eastAsia="ko-KR"/>
        </w:rPr>
      </w:pPr>
      <w:r>
        <w:rPr>
          <w:rFonts w:ascii="Verdana" w:hAnsi="Verdana"/>
          <w:sz w:val="20"/>
          <w:szCs w:val="20"/>
          <w:lang w:val="bg-BG" w:eastAsia="cs-CZ"/>
        </w:rPr>
        <w:t xml:space="preserve">На база на натрупания до момента опит като междинно звено по Оперативна програма „Развитие на човешките ресурси“, експертите от управляващия орган на новата Оперативна програма „Наука и образование за интелигентен растеж“ предвиждат, че основните проблеми по отношение на системата за мониторинг ще са свързани с </w:t>
      </w:r>
      <w:r w:rsidRPr="00F65079">
        <w:rPr>
          <w:rFonts w:ascii="Verdana" w:eastAsia="Malgun Gothic" w:hAnsi="Verdana"/>
          <w:bCs/>
          <w:sz w:val="20"/>
          <w:szCs w:val="20"/>
          <w:lang w:val="bg-BG" w:eastAsia="ko-KR"/>
        </w:rPr>
        <w:t>качество на подав</w:t>
      </w:r>
      <w:r>
        <w:rPr>
          <w:rFonts w:ascii="Verdana" w:eastAsia="Malgun Gothic" w:hAnsi="Verdana"/>
          <w:bCs/>
          <w:sz w:val="20"/>
          <w:szCs w:val="20"/>
          <w:lang w:val="bg-BG" w:eastAsia="ko-KR"/>
        </w:rPr>
        <w:t>аната информация на ниво проект</w:t>
      </w:r>
      <w:r w:rsidRPr="00F65079">
        <w:rPr>
          <w:rFonts w:ascii="Verdana" w:eastAsia="Malgun Gothic" w:hAnsi="Verdana"/>
          <w:bCs/>
          <w:sz w:val="20"/>
          <w:szCs w:val="20"/>
          <w:lang w:val="bg-BG" w:eastAsia="ko-KR"/>
        </w:rPr>
        <w:t>, качество на  обработваната информация на ниво схема/ приоритетна ос (възможност за агреги</w:t>
      </w:r>
      <w:r>
        <w:rPr>
          <w:rFonts w:ascii="Verdana" w:eastAsia="Malgun Gothic" w:hAnsi="Verdana"/>
          <w:bCs/>
          <w:sz w:val="20"/>
          <w:szCs w:val="20"/>
          <w:lang w:val="bg-BG" w:eastAsia="ko-KR"/>
        </w:rPr>
        <w:t>ране на данните и информацията)</w:t>
      </w:r>
      <w:r w:rsidRPr="00F65079">
        <w:rPr>
          <w:rFonts w:ascii="Verdana" w:eastAsia="Malgun Gothic" w:hAnsi="Verdana"/>
          <w:bCs/>
          <w:sz w:val="20"/>
          <w:szCs w:val="20"/>
          <w:lang w:val="bg-BG" w:eastAsia="ko-KR"/>
        </w:rPr>
        <w:t>, използване на набраните данни от система за монитори</w:t>
      </w:r>
      <w:r>
        <w:rPr>
          <w:rFonts w:ascii="Verdana" w:eastAsia="Malgun Gothic" w:hAnsi="Verdana"/>
          <w:bCs/>
          <w:sz w:val="20"/>
          <w:szCs w:val="20"/>
          <w:lang w:val="bg-BG" w:eastAsia="ko-KR"/>
        </w:rPr>
        <w:t>н</w:t>
      </w:r>
      <w:r w:rsidRPr="00F65079">
        <w:rPr>
          <w:rFonts w:ascii="Verdana" w:eastAsia="Malgun Gothic" w:hAnsi="Verdana"/>
          <w:bCs/>
          <w:sz w:val="20"/>
          <w:szCs w:val="20"/>
          <w:lang w:val="bg-BG" w:eastAsia="ko-KR"/>
        </w:rPr>
        <w:t>г за изготвяне на анализ</w:t>
      </w:r>
      <w:r>
        <w:rPr>
          <w:rFonts w:ascii="Verdana" w:eastAsia="Malgun Gothic" w:hAnsi="Verdana"/>
          <w:bCs/>
          <w:sz w:val="20"/>
          <w:szCs w:val="20"/>
          <w:lang w:val="bg-BG" w:eastAsia="ko-KR"/>
        </w:rPr>
        <w:t>и за изпълнението на програмата и ефективното използване на индикаторите за целите на наблюдение и оценка.</w:t>
      </w:r>
    </w:p>
    <w:p w:rsidR="00ED77E9" w:rsidRDefault="00ED77E9" w:rsidP="00ED77E9">
      <w:pPr>
        <w:spacing w:before="120" w:after="360"/>
        <w:jc w:val="both"/>
        <w:rPr>
          <w:rFonts w:ascii="Verdana" w:hAnsi="Verdana"/>
          <w:sz w:val="20"/>
          <w:szCs w:val="20"/>
          <w:lang w:val="bg-BG" w:eastAsia="cs-CZ"/>
        </w:rPr>
      </w:pPr>
      <w:r>
        <w:rPr>
          <w:rFonts w:ascii="Verdana" w:eastAsia="Malgun Gothic" w:hAnsi="Verdana"/>
          <w:bCs/>
          <w:sz w:val="20"/>
          <w:szCs w:val="20"/>
          <w:lang w:val="bg-BG" w:eastAsia="ko-KR"/>
        </w:rPr>
        <w:t xml:space="preserve">За преодоляване на горните проблеми се очаква </w:t>
      </w:r>
      <w:r w:rsidR="001B4183">
        <w:rPr>
          <w:rFonts w:ascii="Verdana" w:eastAsia="Malgun Gothic" w:hAnsi="Verdana"/>
          <w:bCs/>
          <w:sz w:val="20"/>
          <w:szCs w:val="20"/>
          <w:lang w:val="bg-BG" w:eastAsia="ko-KR"/>
        </w:rPr>
        <w:t>У</w:t>
      </w:r>
      <w:r>
        <w:rPr>
          <w:rFonts w:ascii="Verdana" w:eastAsia="Malgun Gothic" w:hAnsi="Verdana"/>
          <w:bCs/>
          <w:sz w:val="20"/>
          <w:szCs w:val="20"/>
          <w:lang w:val="bg-BG" w:eastAsia="ko-KR"/>
        </w:rPr>
        <w:t>правляващият орган да разпише в системите за управление и контрол стройна система за наблюдение. За улесняване на процесите на мониторинг в голяма степен се разчита и на подобренията, които ще бъдат направени в централизираната Информационна система за управление и наблюдение. В допълнение за осигуряване на всеобщо разбиране за значенията на индикаторите и начините за тяхното измерване както част от настоящата оценка е разработен формат на фишове на индикатори (Приложение 6).</w:t>
      </w:r>
    </w:p>
    <w:tbl>
      <w:tblPr>
        <w:tblW w:w="0" w:type="auto"/>
        <w:tblInd w:w="108" w:type="dxa"/>
        <w:tblBorders>
          <w:top w:val="single" w:sz="4" w:space="0" w:color="auto"/>
          <w:bottom w:val="single" w:sz="4" w:space="0" w:color="auto"/>
        </w:tblBorders>
        <w:tblLook w:val="04A0" w:firstRow="1" w:lastRow="0" w:firstColumn="1" w:lastColumn="0" w:noHBand="0" w:noVBand="1"/>
      </w:tblPr>
      <w:tblGrid>
        <w:gridCol w:w="524"/>
        <w:gridCol w:w="8395"/>
      </w:tblGrid>
      <w:tr w:rsidR="00ED77E9" w:rsidRPr="005757F7" w:rsidTr="00ED77E9">
        <w:tc>
          <w:tcPr>
            <w:tcW w:w="524" w:type="dxa"/>
            <w:vAlign w:val="center"/>
          </w:tcPr>
          <w:p w:rsidR="00ED77E9" w:rsidRPr="005757F7" w:rsidRDefault="00ED77E9" w:rsidP="00ED77E9">
            <w:pPr>
              <w:pStyle w:val="BodyText"/>
              <w:spacing w:before="120" w:line="276" w:lineRule="auto"/>
              <w:jc w:val="center"/>
              <w:rPr>
                <w:rFonts w:ascii="Verdana" w:hAnsi="Verdana"/>
                <w:color w:val="548DD4"/>
                <w:sz w:val="36"/>
                <w:szCs w:val="36"/>
              </w:rPr>
            </w:pPr>
            <w:r w:rsidRPr="005757F7">
              <w:rPr>
                <w:rFonts w:ascii="Verdana" w:hAnsi="Verdana"/>
                <w:color w:val="548DD4"/>
                <w:sz w:val="36"/>
                <w:szCs w:val="36"/>
              </w:rPr>
              <w:t>?</w:t>
            </w:r>
          </w:p>
        </w:tc>
        <w:tc>
          <w:tcPr>
            <w:tcW w:w="8395" w:type="dxa"/>
            <w:shd w:val="clear" w:color="auto" w:fill="B8CCE4"/>
          </w:tcPr>
          <w:p w:rsidR="00ED77E9" w:rsidRPr="005757F7" w:rsidRDefault="00ED77E9" w:rsidP="00ED77E9">
            <w:pPr>
              <w:autoSpaceDE w:val="0"/>
              <w:autoSpaceDN w:val="0"/>
              <w:adjustRightInd w:val="0"/>
              <w:spacing w:before="120" w:after="120"/>
              <w:rPr>
                <w:rFonts w:ascii="Verdana" w:hAnsi="Verdana"/>
                <w:sz w:val="20"/>
                <w:szCs w:val="20"/>
                <w:lang w:val="bg-BG"/>
              </w:rPr>
            </w:pPr>
            <w:r w:rsidRPr="005757F7">
              <w:rPr>
                <w:rFonts w:ascii="Verdana" w:hAnsi="Verdana"/>
                <w:sz w:val="20"/>
                <w:szCs w:val="20"/>
                <w:lang w:val="bg-BG"/>
              </w:rPr>
              <w:t>Адекватност на Плана за оц</w:t>
            </w:r>
            <w:r>
              <w:rPr>
                <w:rFonts w:ascii="Verdana" w:hAnsi="Verdana"/>
                <w:sz w:val="20"/>
                <w:szCs w:val="20"/>
                <w:lang w:val="bg-BG"/>
              </w:rPr>
              <w:t>енка и формулиране на препоръки</w:t>
            </w:r>
          </w:p>
        </w:tc>
      </w:tr>
    </w:tbl>
    <w:p w:rsidR="00ED77E9" w:rsidRDefault="00ED77E9" w:rsidP="00ED77E9">
      <w:pPr>
        <w:pStyle w:val="BodyText"/>
        <w:widowControl w:val="0"/>
        <w:tabs>
          <w:tab w:val="left" w:pos="0"/>
          <w:tab w:val="right" w:pos="9214"/>
        </w:tabs>
        <w:spacing w:before="240" w:after="0" w:line="276" w:lineRule="auto"/>
        <w:jc w:val="both"/>
        <w:rPr>
          <w:rFonts w:ascii="Verdana" w:hAnsi="Verdana" w:cs="TimesNewRomanPSMT"/>
          <w:sz w:val="20"/>
          <w:szCs w:val="20"/>
        </w:rPr>
      </w:pPr>
      <w:r w:rsidRPr="00173D95">
        <w:rPr>
          <w:rFonts w:ascii="Verdana" w:hAnsi="Verdana" w:cs="TimesNewRomanPSMT"/>
          <w:sz w:val="20"/>
          <w:szCs w:val="20"/>
        </w:rPr>
        <w:t xml:space="preserve">Планът за оценка на </w:t>
      </w:r>
      <w:r>
        <w:rPr>
          <w:rFonts w:ascii="Verdana" w:hAnsi="Verdana" w:cs="TimesNewRomanPSMT"/>
          <w:sz w:val="20"/>
          <w:szCs w:val="20"/>
        </w:rPr>
        <w:t>оперативната програма</w:t>
      </w:r>
      <w:r w:rsidRPr="00173D95">
        <w:rPr>
          <w:rFonts w:ascii="Verdana" w:hAnsi="Verdana" w:cs="TimesNewRomanPSMT"/>
          <w:sz w:val="20"/>
          <w:szCs w:val="20"/>
        </w:rPr>
        <w:t xml:space="preserve"> </w:t>
      </w:r>
      <w:r>
        <w:rPr>
          <w:rFonts w:ascii="Verdana" w:hAnsi="Verdana" w:cs="TimesNewRomanPSMT"/>
          <w:sz w:val="20"/>
          <w:szCs w:val="20"/>
        </w:rPr>
        <w:t>все още не е изготвен. Поради това в рамките на предварителната оценка не беше възможно да бъде прегледан.</w:t>
      </w:r>
    </w:p>
    <w:p w:rsidR="00ED77E9" w:rsidRDefault="00ED77E9" w:rsidP="00ED77E9">
      <w:pPr>
        <w:pStyle w:val="BodyText"/>
        <w:widowControl w:val="0"/>
        <w:tabs>
          <w:tab w:val="left" w:pos="0"/>
          <w:tab w:val="right" w:pos="9214"/>
        </w:tabs>
        <w:spacing w:before="120" w:after="0" w:line="276" w:lineRule="auto"/>
        <w:jc w:val="both"/>
        <w:rPr>
          <w:rFonts w:ascii="Verdana" w:hAnsi="Verdana" w:cs="TimesNewRomanPSMT"/>
          <w:sz w:val="20"/>
          <w:szCs w:val="20"/>
        </w:rPr>
      </w:pPr>
      <w:r>
        <w:rPr>
          <w:rFonts w:ascii="Verdana" w:hAnsi="Verdana" w:cs="TimesNewRomanPSMT"/>
          <w:sz w:val="20"/>
          <w:szCs w:val="20"/>
        </w:rPr>
        <w:t xml:space="preserve">С цел да се отговори на техническата спецификация на възложителя и с цел предварителната оценка да е полезна в процеса на подготовката на Плана за оценка на програмата, бяха предоставени насоки за подготовка на плана, които се базират на изискванията на регламентите за периода 2014-2020 г. и насоките на </w:t>
      </w:r>
      <w:r w:rsidR="00011E4D">
        <w:rPr>
          <w:rFonts w:ascii="Verdana" w:hAnsi="Verdana" w:cs="TimesNewRomanPSMT"/>
          <w:sz w:val="20"/>
          <w:szCs w:val="20"/>
        </w:rPr>
        <w:t>Европейската комисия</w:t>
      </w:r>
      <w:r>
        <w:rPr>
          <w:rFonts w:ascii="Verdana" w:hAnsi="Verdana" w:cs="TimesNewRomanPSMT"/>
          <w:sz w:val="20"/>
          <w:szCs w:val="20"/>
        </w:rPr>
        <w:t xml:space="preserve"> относно мониторинг и оценка и изработване на план за провеждане на оценките. </w:t>
      </w:r>
    </w:p>
    <w:p w:rsidR="00ED77E9" w:rsidRPr="00C37F4D" w:rsidRDefault="00ED77E9" w:rsidP="00ED77E9">
      <w:pPr>
        <w:spacing w:before="240" w:after="120"/>
        <w:jc w:val="both"/>
        <w:rPr>
          <w:rFonts w:ascii="Verdana" w:hAnsi="Verdana"/>
          <w:color w:val="548DD4" w:themeColor="text2" w:themeTint="99"/>
          <w:lang w:val="bg-BG"/>
        </w:rPr>
      </w:pPr>
      <w:r>
        <w:rPr>
          <w:rFonts w:ascii="Verdana" w:hAnsi="Verdana"/>
          <w:color w:val="548DD4" w:themeColor="text2" w:themeTint="99"/>
          <w:lang w:val="bg-BG"/>
        </w:rPr>
        <w:lastRenderedPageBreak/>
        <w:t>Изводи и препоръки</w:t>
      </w:r>
    </w:p>
    <w:p w:rsidR="00ED77E9" w:rsidRDefault="00011E4D" w:rsidP="00ED77E9">
      <w:pPr>
        <w:pStyle w:val="BodyText"/>
        <w:widowControl w:val="0"/>
        <w:spacing w:line="276" w:lineRule="auto"/>
        <w:jc w:val="both"/>
        <w:rPr>
          <w:rFonts w:ascii="Verdana" w:hAnsi="Verdana"/>
          <w:sz w:val="20"/>
          <w:szCs w:val="20"/>
          <w:lang w:eastAsia="en-US"/>
        </w:rPr>
      </w:pPr>
      <w:r>
        <w:rPr>
          <w:rFonts w:ascii="Verdana" w:hAnsi="Verdana"/>
          <w:sz w:val="20"/>
          <w:szCs w:val="20"/>
          <w:lang w:eastAsia="cs-CZ"/>
        </w:rPr>
        <w:t xml:space="preserve">Оперативна програма „Наука и образование за интелигентен растеж“ </w:t>
      </w:r>
      <w:r w:rsidR="00ED77E9" w:rsidRPr="00B45B4F">
        <w:rPr>
          <w:rFonts w:ascii="Verdana" w:hAnsi="Verdana"/>
          <w:sz w:val="20"/>
          <w:szCs w:val="20"/>
          <w:lang w:eastAsia="en-US"/>
        </w:rPr>
        <w:t xml:space="preserve">2014–2020 </w:t>
      </w:r>
      <w:r w:rsidR="00ED77E9">
        <w:rPr>
          <w:rFonts w:ascii="Verdana" w:hAnsi="Verdana"/>
          <w:sz w:val="20"/>
          <w:szCs w:val="20"/>
          <w:lang w:eastAsia="en-US"/>
        </w:rPr>
        <w:t>отразява в голяма степен целите и приоритетите на основните европейски и национални стратегически документи в областта на науката и образованието, включително основните цели на стратегията Европа 2020.</w:t>
      </w:r>
    </w:p>
    <w:p w:rsidR="00ED77E9" w:rsidRPr="001971E8" w:rsidRDefault="00ED77E9" w:rsidP="00ED77E9">
      <w:pPr>
        <w:pStyle w:val="BodyText"/>
        <w:widowControl w:val="0"/>
        <w:spacing w:line="276" w:lineRule="auto"/>
        <w:jc w:val="both"/>
        <w:rPr>
          <w:rFonts w:ascii="Verdana" w:hAnsi="Verdana"/>
          <w:sz w:val="20"/>
          <w:szCs w:val="20"/>
          <w:lang w:eastAsia="en-US"/>
        </w:rPr>
      </w:pPr>
      <w:r>
        <w:rPr>
          <w:rFonts w:ascii="Verdana" w:hAnsi="Verdana"/>
          <w:sz w:val="20"/>
          <w:szCs w:val="20"/>
          <w:lang w:eastAsia="en-US"/>
        </w:rPr>
        <w:t xml:space="preserve">Възможно е по-ясно отразяване в текста на програмата на разписаните цели в Споразумението за партньорство по отношение на </w:t>
      </w:r>
      <w:r w:rsidRPr="001971E8">
        <w:rPr>
          <w:rFonts w:ascii="Verdana" w:hAnsi="Verdana"/>
          <w:sz w:val="20"/>
          <w:szCs w:val="20"/>
          <w:lang w:eastAsia="en-US"/>
        </w:rPr>
        <w:t>партньорства между висшето образование, предприятията и научните изследвания и подобряване капацитета за управление на научните институти.</w:t>
      </w:r>
    </w:p>
    <w:p w:rsidR="00ED77E9" w:rsidRDefault="00ED77E9" w:rsidP="00ED77E9">
      <w:pPr>
        <w:pStyle w:val="BodyText"/>
        <w:widowControl w:val="0"/>
        <w:spacing w:line="276" w:lineRule="auto"/>
        <w:jc w:val="both"/>
        <w:rPr>
          <w:rFonts w:ascii="Verdana" w:hAnsi="Verdana"/>
          <w:sz w:val="20"/>
          <w:szCs w:val="20"/>
          <w:lang w:eastAsia="en-US"/>
        </w:rPr>
      </w:pPr>
      <w:r>
        <w:rPr>
          <w:rFonts w:ascii="Verdana" w:hAnsi="Verdana"/>
          <w:sz w:val="20"/>
          <w:szCs w:val="20"/>
          <w:lang w:eastAsia="en-US"/>
        </w:rPr>
        <w:t>Разграничаването и допълването с някои от останалите оперативни програми и по-специално с Оперативна програма „Иновации и конкурентоспособност“, предстои да бъде уточнено.</w:t>
      </w:r>
    </w:p>
    <w:p w:rsidR="00ED77E9" w:rsidRDefault="00ED77E9" w:rsidP="00ED77E9">
      <w:pPr>
        <w:pStyle w:val="BodyText"/>
        <w:widowControl w:val="0"/>
        <w:spacing w:line="276" w:lineRule="auto"/>
        <w:jc w:val="both"/>
        <w:rPr>
          <w:rFonts w:ascii="Verdana" w:hAnsi="Verdana"/>
          <w:sz w:val="20"/>
          <w:szCs w:val="20"/>
          <w:lang w:eastAsia="en-US"/>
        </w:rPr>
      </w:pPr>
      <w:r w:rsidRPr="00B45B4F">
        <w:rPr>
          <w:rFonts w:ascii="Verdana" w:hAnsi="Verdana"/>
          <w:sz w:val="20"/>
          <w:szCs w:val="20"/>
          <w:lang w:eastAsia="en-US"/>
        </w:rPr>
        <w:t xml:space="preserve">Програмата </w:t>
      </w:r>
      <w:r>
        <w:rPr>
          <w:rFonts w:ascii="Verdana" w:hAnsi="Verdana"/>
          <w:sz w:val="20"/>
          <w:szCs w:val="20"/>
          <w:lang w:eastAsia="en-US"/>
        </w:rPr>
        <w:t xml:space="preserve">все още в </w:t>
      </w:r>
      <w:r w:rsidRPr="00B45B4F">
        <w:rPr>
          <w:rFonts w:ascii="Verdana" w:hAnsi="Verdana"/>
          <w:sz w:val="20"/>
          <w:szCs w:val="20"/>
          <w:lang w:eastAsia="en-US"/>
        </w:rPr>
        <w:t>недостатъчна степен адресира териториалните аспекти</w:t>
      </w:r>
      <w:r>
        <w:rPr>
          <w:rFonts w:ascii="Verdana" w:hAnsi="Verdana"/>
          <w:sz w:val="20"/>
          <w:szCs w:val="20"/>
          <w:lang w:eastAsia="en-US"/>
        </w:rPr>
        <w:t xml:space="preserve"> по отношение на</w:t>
      </w:r>
      <w:r w:rsidRPr="00B45B4F">
        <w:rPr>
          <w:rFonts w:ascii="Verdana" w:hAnsi="Verdana"/>
          <w:sz w:val="20"/>
          <w:szCs w:val="20"/>
          <w:lang w:eastAsia="en-US"/>
        </w:rPr>
        <w:t xml:space="preserve"> качеството на образованието в малките и големите населени места.</w:t>
      </w:r>
    </w:p>
    <w:p w:rsidR="00ED77E9" w:rsidRDefault="00ED77E9" w:rsidP="00ED77E9">
      <w:pPr>
        <w:pStyle w:val="BodyText"/>
        <w:widowControl w:val="0"/>
        <w:spacing w:line="276" w:lineRule="auto"/>
        <w:jc w:val="both"/>
        <w:rPr>
          <w:rFonts w:ascii="Verdana" w:hAnsi="Verdana"/>
          <w:sz w:val="20"/>
          <w:szCs w:val="20"/>
          <w:lang w:eastAsia="en-US"/>
        </w:rPr>
      </w:pPr>
      <w:r>
        <w:rPr>
          <w:rFonts w:ascii="Verdana" w:hAnsi="Verdana"/>
          <w:sz w:val="20"/>
          <w:szCs w:val="20"/>
          <w:lang w:eastAsia="en-US"/>
        </w:rPr>
        <w:t>Някои основни национални стратегически и нормативни документи са в процес на подготовка или в процес на актуализация, което в известна степен затруднява фокусирането на предвижданата подкрепа по оперативната програма.</w:t>
      </w:r>
    </w:p>
    <w:p w:rsidR="00ED77E9" w:rsidRDefault="00ED77E9" w:rsidP="00ED77E9">
      <w:pPr>
        <w:autoSpaceDE w:val="0"/>
        <w:autoSpaceDN w:val="0"/>
        <w:adjustRightInd w:val="0"/>
        <w:spacing w:after="120"/>
        <w:jc w:val="both"/>
        <w:rPr>
          <w:rFonts w:ascii="Verdana" w:hAnsi="Verdana"/>
          <w:sz w:val="20"/>
          <w:szCs w:val="20"/>
          <w:lang w:val="bg-BG"/>
        </w:rPr>
      </w:pPr>
      <w:r>
        <w:rPr>
          <w:rFonts w:ascii="Verdana" w:hAnsi="Verdana"/>
          <w:sz w:val="20"/>
          <w:szCs w:val="20"/>
          <w:lang w:val="bg-BG"/>
        </w:rPr>
        <w:t>Анализите в стратегията на програмата посочват основните проблеми в три основни области – наука, висше и училищно образование. Включването на допълваща информация би подобрило пълнотата на анализите ще способства формулиране на по-целенасочени мерки. Не всички идентифицирани проблеми са адресирани с конкретни подходи за тяхното решаване.</w:t>
      </w:r>
    </w:p>
    <w:p w:rsidR="00ED77E9" w:rsidRDefault="00ED77E9" w:rsidP="00ED77E9">
      <w:pPr>
        <w:autoSpaceDE w:val="0"/>
        <w:autoSpaceDN w:val="0"/>
        <w:adjustRightInd w:val="0"/>
        <w:spacing w:after="120"/>
        <w:jc w:val="both"/>
        <w:rPr>
          <w:rFonts w:ascii="Verdana" w:hAnsi="Verdana"/>
          <w:sz w:val="20"/>
          <w:szCs w:val="20"/>
          <w:lang w:val="bg-BG"/>
        </w:rPr>
      </w:pPr>
      <w:r w:rsidRPr="009E018E">
        <w:rPr>
          <w:rFonts w:ascii="Verdana" w:hAnsi="Verdana"/>
          <w:sz w:val="20"/>
          <w:szCs w:val="20"/>
          <w:lang w:val="bg-BG"/>
        </w:rPr>
        <w:t xml:space="preserve">Логиката на интервенция на програмата е изградена </w:t>
      </w:r>
      <w:r>
        <w:rPr>
          <w:rFonts w:ascii="Verdana" w:hAnsi="Verdana"/>
          <w:sz w:val="20"/>
          <w:szCs w:val="20"/>
          <w:lang w:val="bg-BG"/>
        </w:rPr>
        <w:t>в 3 основни приоритетни оси - науката и технологичното развитие, училищното и висше образование и социалното приобщаване в образованието на уязвими групи.</w:t>
      </w:r>
    </w:p>
    <w:p w:rsidR="00ED77E9" w:rsidRDefault="00ED77E9" w:rsidP="00ED77E9">
      <w:pPr>
        <w:autoSpaceDE w:val="0"/>
        <w:autoSpaceDN w:val="0"/>
        <w:adjustRightInd w:val="0"/>
        <w:spacing w:after="120"/>
        <w:jc w:val="both"/>
        <w:rPr>
          <w:rFonts w:ascii="Verdana" w:hAnsi="Verdana"/>
          <w:sz w:val="20"/>
          <w:szCs w:val="20"/>
          <w:lang w:val="bg-BG"/>
        </w:rPr>
      </w:pPr>
      <w:r>
        <w:rPr>
          <w:rFonts w:ascii="Verdana" w:hAnsi="Verdana"/>
          <w:sz w:val="20"/>
          <w:szCs w:val="20"/>
          <w:lang w:val="bg-BG"/>
        </w:rPr>
        <w:t xml:space="preserve">Определените инвестиционни приоритети са адекватно подбрани и като цяло добре фокусирани чрез разписаните специфични цели. Анализите и представянето на нуждите особено по отношение на специфичните цели, касаещи връзката между </w:t>
      </w:r>
      <w:r w:rsidRPr="00E35B19">
        <w:rPr>
          <w:rFonts w:ascii="Arial" w:hAnsi="Arial" w:cs="Arial"/>
          <w:color w:val="333333"/>
          <w:sz w:val="17"/>
          <w:szCs w:val="17"/>
        </w:rPr>
        <w:t xml:space="preserve"> </w:t>
      </w:r>
      <w:r>
        <w:rPr>
          <w:rFonts w:ascii="Verdana" w:hAnsi="Verdana"/>
          <w:sz w:val="20"/>
          <w:szCs w:val="20"/>
          <w:lang w:val="bg-BG"/>
        </w:rPr>
        <w:t>наука, образование и бизнес (</w:t>
      </w:r>
      <w:r w:rsidR="00011E4D">
        <w:rPr>
          <w:rFonts w:ascii="Verdana" w:hAnsi="Verdana"/>
          <w:sz w:val="20"/>
          <w:szCs w:val="20"/>
          <w:lang w:val="bg-BG"/>
        </w:rPr>
        <w:t xml:space="preserve">Инвестиционен приоритет </w:t>
      </w:r>
      <w:r>
        <w:rPr>
          <w:rFonts w:ascii="Verdana" w:hAnsi="Verdana"/>
          <w:sz w:val="20"/>
          <w:szCs w:val="20"/>
          <w:lang w:val="bg-BG"/>
        </w:rPr>
        <w:t xml:space="preserve">2 на </w:t>
      </w:r>
      <w:r w:rsidR="00011E4D">
        <w:rPr>
          <w:rFonts w:ascii="Verdana" w:hAnsi="Verdana"/>
          <w:sz w:val="20"/>
          <w:szCs w:val="20"/>
          <w:lang w:val="bg-BG"/>
        </w:rPr>
        <w:t>Приоритетна ос 1</w:t>
      </w:r>
      <w:r>
        <w:rPr>
          <w:rFonts w:ascii="Verdana" w:hAnsi="Verdana"/>
          <w:sz w:val="20"/>
          <w:szCs w:val="20"/>
          <w:lang w:val="bg-BG"/>
        </w:rPr>
        <w:t xml:space="preserve">, </w:t>
      </w:r>
      <w:r w:rsidR="00011E4D">
        <w:rPr>
          <w:rFonts w:ascii="Verdana" w:hAnsi="Verdana"/>
          <w:sz w:val="20"/>
          <w:szCs w:val="20"/>
          <w:lang w:val="bg-BG"/>
        </w:rPr>
        <w:t xml:space="preserve">Инвестиционен приоритет </w:t>
      </w:r>
      <w:r>
        <w:rPr>
          <w:rFonts w:ascii="Verdana" w:hAnsi="Verdana"/>
          <w:sz w:val="20"/>
          <w:szCs w:val="20"/>
          <w:lang w:val="bg-BG"/>
        </w:rPr>
        <w:t xml:space="preserve">4 на </w:t>
      </w:r>
      <w:r w:rsidR="00011E4D">
        <w:rPr>
          <w:rFonts w:ascii="Verdana" w:hAnsi="Verdana"/>
          <w:sz w:val="20"/>
          <w:szCs w:val="20"/>
          <w:lang w:val="bg-BG"/>
        </w:rPr>
        <w:t xml:space="preserve">Приоритетна ос </w:t>
      </w:r>
      <w:r>
        <w:rPr>
          <w:rFonts w:ascii="Verdana" w:hAnsi="Verdana"/>
          <w:sz w:val="20"/>
          <w:szCs w:val="20"/>
          <w:lang w:val="bg-BG"/>
        </w:rPr>
        <w:t>2) могат да бъдат подобрени.</w:t>
      </w:r>
    </w:p>
    <w:p w:rsidR="00ED77E9" w:rsidRDefault="00ED77E9" w:rsidP="00ED77E9">
      <w:pPr>
        <w:spacing w:before="120" w:after="120"/>
        <w:jc w:val="both"/>
        <w:rPr>
          <w:rFonts w:ascii="Verdana" w:eastAsia="Times New Roman" w:hAnsi="Verdana"/>
          <w:color w:val="000000"/>
          <w:sz w:val="20"/>
          <w:szCs w:val="20"/>
          <w:lang w:val="bg-BG" w:eastAsia="bg-BG"/>
        </w:rPr>
      </w:pPr>
      <w:r>
        <w:rPr>
          <w:rFonts w:ascii="Verdana" w:hAnsi="Verdana"/>
          <w:sz w:val="20"/>
          <w:szCs w:val="20"/>
          <w:lang w:val="bg-BG"/>
        </w:rPr>
        <w:t xml:space="preserve">Дейностите по повечето от приоритетите са уместни. Не са разписани достатъчно адекватни дейности, които да адресират нуждите от по-добро сътрудничество между науката и бизнеса и подобряване на </w:t>
      </w:r>
      <w:proofErr w:type="spellStart"/>
      <w:r w:rsidRPr="00B45B4F">
        <w:rPr>
          <w:rFonts w:ascii="Verdana" w:hAnsi="Verdana"/>
          <w:sz w:val="20"/>
          <w:szCs w:val="20"/>
        </w:rPr>
        <w:t>възможностите</w:t>
      </w:r>
      <w:proofErr w:type="spellEnd"/>
      <w:r w:rsidRPr="00B45B4F">
        <w:rPr>
          <w:rFonts w:ascii="Verdana" w:hAnsi="Verdana"/>
          <w:sz w:val="20"/>
          <w:szCs w:val="20"/>
        </w:rPr>
        <w:t xml:space="preserve"> </w:t>
      </w:r>
      <w:proofErr w:type="spellStart"/>
      <w:r w:rsidRPr="00B45B4F">
        <w:rPr>
          <w:rFonts w:ascii="Verdana" w:hAnsi="Verdana"/>
          <w:sz w:val="20"/>
          <w:szCs w:val="20"/>
        </w:rPr>
        <w:t>за</w:t>
      </w:r>
      <w:proofErr w:type="spellEnd"/>
      <w:r w:rsidRPr="00B45B4F">
        <w:rPr>
          <w:rFonts w:ascii="Verdana" w:hAnsi="Verdana"/>
          <w:sz w:val="20"/>
          <w:szCs w:val="20"/>
        </w:rPr>
        <w:t xml:space="preserve"> </w:t>
      </w:r>
      <w:proofErr w:type="spellStart"/>
      <w:r w:rsidRPr="00B45B4F">
        <w:rPr>
          <w:rFonts w:ascii="Verdana" w:hAnsi="Verdana"/>
          <w:sz w:val="20"/>
          <w:szCs w:val="20"/>
        </w:rPr>
        <w:t>реализация</w:t>
      </w:r>
      <w:proofErr w:type="spellEnd"/>
      <w:r w:rsidRPr="00B45B4F">
        <w:rPr>
          <w:rFonts w:ascii="Verdana" w:hAnsi="Verdana"/>
          <w:sz w:val="20"/>
          <w:szCs w:val="20"/>
        </w:rPr>
        <w:t xml:space="preserve"> </w:t>
      </w:r>
      <w:proofErr w:type="spellStart"/>
      <w:r w:rsidRPr="00B45B4F">
        <w:rPr>
          <w:rFonts w:ascii="Verdana" w:hAnsi="Verdana"/>
          <w:sz w:val="20"/>
          <w:szCs w:val="20"/>
        </w:rPr>
        <w:t>на</w:t>
      </w:r>
      <w:proofErr w:type="spellEnd"/>
      <w:r w:rsidRPr="00B45B4F">
        <w:rPr>
          <w:rFonts w:ascii="Verdana" w:hAnsi="Verdana"/>
          <w:sz w:val="20"/>
          <w:szCs w:val="20"/>
        </w:rPr>
        <w:t xml:space="preserve"> </w:t>
      </w:r>
      <w:proofErr w:type="spellStart"/>
      <w:r w:rsidRPr="00B45B4F">
        <w:rPr>
          <w:rFonts w:ascii="Verdana" w:hAnsi="Verdana"/>
          <w:sz w:val="20"/>
          <w:szCs w:val="20"/>
        </w:rPr>
        <w:t>завършилите</w:t>
      </w:r>
      <w:proofErr w:type="spellEnd"/>
      <w:r w:rsidRPr="00B45B4F">
        <w:rPr>
          <w:rFonts w:ascii="Verdana" w:hAnsi="Verdana"/>
          <w:sz w:val="20"/>
          <w:szCs w:val="20"/>
        </w:rPr>
        <w:t xml:space="preserve"> </w:t>
      </w:r>
      <w:proofErr w:type="spellStart"/>
      <w:r w:rsidRPr="00B45B4F">
        <w:rPr>
          <w:rFonts w:ascii="Verdana" w:hAnsi="Verdana"/>
          <w:sz w:val="20"/>
          <w:szCs w:val="20"/>
        </w:rPr>
        <w:t>висше</w:t>
      </w:r>
      <w:proofErr w:type="spellEnd"/>
      <w:r w:rsidRPr="00B45B4F">
        <w:rPr>
          <w:rFonts w:ascii="Verdana" w:hAnsi="Verdana"/>
          <w:sz w:val="20"/>
          <w:szCs w:val="20"/>
        </w:rPr>
        <w:t xml:space="preserve"> </w:t>
      </w:r>
      <w:proofErr w:type="spellStart"/>
      <w:r w:rsidRPr="00B45B4F">
        <w:rPr>
          <w:rFonts w:ascii="Verdana" w:hAnsi="Verdana"/>
          <w:sz w:val="20"/>
          <w:szCs w:val="20"/>
        </w:rPr>
        <w:t>образование</w:t>
      </w:r>
      <w:proofErr w:type="spellEnd"/>
      <w:r>
        <w:rPr>
          <w:rFonts w:ascii="Verdana" w:hAnsi="Verdana"/>
          <w:sz w:val="20"/>
          <w:szCs w:val="20"/>
          <w:lang w:val="bg-BG"/>
        </w:rPr>
        <w:t xml:space="preserve">. Дейностите по </w:t>
      </w:r>
      <w:r w:rsidR="00011E4D">
        <w:rPr>
          <w:rFonts w:ascii="Verdana" w:hAnsi="Verdana"/>
          <w:sz w:val="20"/>
          <w:szCs w:val="20"/>
          <w:lang w:val="bg-BG"/>
        </w:rPr>
        <w:t xml:space="preserve">Приоритетна ос </w:t>
      </w:r>
      <w:r>
        <w:rPr>
          <w:rFonts w:ascii="Verdana" w:hAnsi="Verdana"/>
          <w:sz w:val="20"/>
          <w:szCs w:val="20"/>
          <w:lang w:val="bg-BG"/>
        </w:rPr>
        <w:t>2 са твърде многобройни и могат да се обобщят.</w:t>
      </w:r>
    </w:p>
    <w:p w:rsidR="00ED77E9" w:rsidRDefault="00ED77E9" w:rsidP="00ED77E9">
      <w:pPr>
        <w:autoSpaceDE w:val="0"/>
        <w:autoSpaceDN w:val="0"/>
        <w:adjustRightInd w:val="0"/>
        <w:spacing w:after="120"/>
        <w:jc w:val="both"/>
        <w:rPr>
          <w:rFonts w:ascii="Verdana" w:hAnsi="Verdana"/>
          <w:sz w:val="20"/>
          <w:szCs w:val="20"/>
          <w:lang w:val="bg-BG"/>
        </w:rPr>
      </w:pPr>
      <w:r>
        <w:rPr>
          <w:rFonts w:ascii="Verdana" w:hAnsi="Verdana"/>
          <w:sz w:val="20"/>
          <w:szCs w:val="20"/>
          <w:lang w:val="bg-BG"/>
        </w:rPr>
        <w:t>Бенефициентите и целевите групи като цяло са уместни и отговарят на заложените цели и дейности.</w:t>
      </w:r>
    </w:p>
    <w:p w:rsidR="00ED77E9" w:rsidRPr="00E054C6" w:rsidRDefault="00ED77E9" w:rsidP="00ED77E9">
      <w:pPr>
        <w:autoSpaceDE w:val="0"/>
        <w:autoSpaceDN w:val="0"/>
        <w:adjustRightInd w:val="0"/>
        <w:spacing w:after="120"/>
        <w:jc w:val="both"/>
        <w:rPr>
          <w:rFonts w:ascii="Verdana" w:hAnsi="Verdana"/>
          <w:sz w:val="20"/>
          <w:szCs w:val="20"/>
          <w:lang w:val="bg-BG"/>
        </w:rPr>
      </w:pPr>
      <w:r>
        <w:rPr>
          <w:rFonts w:ascii="Verdana" w:hAnsi="Verdana"/>
          <w:sz w:val="20"/>
          <w:szCs w:val="20"/>
          <w:lang w:val="bg-BG"/>
        </w:rPr>
        <w:t xml:space="preserve">Основните хоризонтални принципи са отразени в програмата. Необходимо е добавяне на информация по отношение на наблюдението на прилагането на принципите за „устойчиво развитие“ и „равенство между половете“. Наблюдението на прилагането на принципа за „равни възможности и превенция на </w:t>
      </w:r>
      <w:r>
        <w:rPr>
          <w:rFonts w:ascii="Verdana" w:hAnsi="Verdana"/>
          <w:sz w:val="20"/>
          <w:szCs w:val="20"/>
          <w:lang w:val="bg-BG"/>
        </w:rPr>
        <w:lastRenderedPageBreak/>
        <w:t>дискриминацията“ чрез допълнителни проверки би довело до увеличаване на административната тежест.</w:t>
      </w:r>
    </w:p>
    <w:p w:rsidR="00ED77E9" w:rsidRPr="00462336" w:rsidRDefault="00ED77E9" w:rsidP="00ED77E9">
      <w:pPr>
        <w:autoSpaceDE w:val="0"/>
        <w:autoSpaceDN w:val="0"/>
        <w:adjustRightInd w:val="0"/>
        <w:spacing w:after="120"/>
        <w:jc w:val="both"/>
        <w:rPr>
          <w:rFonts w:ascii="Verdana" w:hAnsi="Verdana"/>
          <w:sz w:val="20"/>
          <w:szCs w:val="20"/>
          <w:lang w:val="bg-BG"/>
        </w:rPr>
      </w:pPr>
      <w:r w:rsidRPr="00E054C6">
        <w:rPr>
          <w:rFonts w:ascii="Verdana" w:hAnsi="Verdana"/>
          <w:sz w:val="20"/>
          <w:szCs w:val="20"/>
          <w:lang w:val="bg-BG"/>
        </w:rPr>
        <w:t>Размерът на заделените средства като цяло е недостатъчен. Заделените средства за образование, приобщаване към образование и учене през целия живот в реално</w:t>
      </w:r>
      <w:r>
        <w:rPr>
          <w:rFonts w:ascii="Verdana" w:eastAsia="Times New Roman" w:hAnsi="Verdana"/>
          <w:bCs/>
          <w:color w:val="000000"/>
          <w:sz w:val="20"/>
          <w:szCs w:val="20"/>
          <w:lang w:val="bg-BG" w:eastAsia="bg-BG"/>
        </w:rPr>
        <w:t xml:space="preserve"> изражение са по-малки в сравнение с предходния програмен период. Заделените средства за техническа помощ е вероятно да се окажат недостатъчни да </w:t>
      </w:r>
      <w:r>
        <w:rPr>
          <w:rFonts w:ascii="Verdana" w:eastAsia="Calibri" w:hAnsi="Verdana"/>
          <w:sz w:val="20"/>
          <w:szCs w:val="20"/>
          <w:lang w:val="bg-BG"/>
        </w:rPr>
        <w:t xml:space="preserve">се осигури успешното управление и изпълнение на програмата. </w:t>
      </w:r>
      <w:r>
        <w:rPr>
          <w:rFonts w:ascii="Verdana" w:eastAsia="Times New Roman" w:hAnsi="Verdana"/>
          <w:bCs/>
          <w:color w:val="000000"/>
          <w:sz w:val="20"/>
          <w:szCs w:val="20"/>
          <w:lang w:val="bg-BG" w:eastAsia="bg-BG"/>
        </w:rPr>
        <w:t>Р</w:t>
      </w:r>
      <w:r w:rsidRPr="00246246">
        <w:rPr>
          <w:rFonts w:ascii="Verdana" w:eastAsia="Times New Roman" w:hAnsi="Verdana"/>
          <w:bCs/>
          <w:color w:val="000000"/>
          <w:sz w:val="20"/>
          <w:szCs w:val="20"/>
          <w:lang w:val="bg-BG" w:eastAsia="bg-BG"/>
        </w:rPr>
        <w:t xml:space="preserve">азпределението на бюджетните ангажименти по години </w:t>
      </w:r>
      <w:r>
        <w:rPr>
          <w:rFonts w:ascii="Verdana" w:eastAsia="Times New Roman" w:hAnsi="Verdana"/>
          <w:bCs/>
          <w:color w:val="000000"/>
          <w:sz w:val="20"/>
          <w:szCs w:val="20"/>
          <w:lang w:val="bg-BG" w:eastAsia="bg-BG"/>
        </w:rPr>
        <w:t xml:space="preserve">крие риск от автоматична загуба на средства и е необходимо да бъде преразгледано. </w:t>
      </w:r>
      <w:r w:rsidRPr="00462336">
        <w:rPr>
          <w:rFonts w:ascii="Verdana" w:hAnsi="Verdana"/>
          <w:sz w:val="20"/>
          <w:szCs w:val="20"/>
          <w:lang w:val="bg-BG"/>
        </w:rPr>
        <w:t xml:space="preserve">Във варианта на програмата от май 2014 г. няма изложена финансова обосновка, което не позволява да се оцени изпълнението на изискването относно тематичната концентрация. </w:t>
      </w:r>
    </w:p>
    <w:p w:rsidR="00ED77E9" w:rsidRDefault="00ED77E9" w:rsidP="00ED77E9">
      <w:pPr>
        <w:widowControl w:val="0"/>
        <w:tabs>
          <w:tab w:val="left" w:pos="0"/>
          <w:tab w:val="right" w:pos="9214"/>
        </w:tabs>
        <w:spacing w:after="120"/>
        <w:jc w:val="both"/>
        <w:rPr>
          <w:rFonts w:ascii="Verdana" w:eastAsia="Times New Roman" w:hAnsi="Verdana"/>
          <w:bCs/>
          <w:noProof/>
          <w:color w:val="000000"/>
          <w:sz w:val="20"/>
          <w:szCs w:val="20"/>
          <w:lang w:val="bg-BG" w:eastAsia="bg-BG"/>
        </w:rPr>
      </w:pPr>
      <w:r>
        <w:rPr>
          <w:rFonts w:ascii="Verdana" w:eastAsia="Times New Roman" w:hAnsi="Verdana"/>
          <w:bCs/>
          <w:noProof/>
          <w:color w:val="000000"/>
          <w:sz w:val="20"/>
          <w:szCs w:val="20"/>
          <w:lang w:val="bg-BG" w:eastAsia="bg-BG"/>
        </w:rPr>
        <w:t>Системата от индикатори беше прецизирана и значително подобрена спрямо първоначалния си вариант. Въпреки това се очакват редакции в някои от индикаторите</w:t>
      </w:r>
      <w:r w:rsidR="00565858">
        <w:rPr>
          <w:rFonts w:ascii="Verdana" w:eastAsia="Times New Roman" w:hAnsi="Verdana"/>
          <w:bCs/>
          <w:noProof/>
          <w:color w:val="000000"/>
          <w:sz w:val="20"/>
          <w:szCs w:val="20"/>
          <w:lang w:val="bg-BG" w:eastAsia="bg-BG"/>
        </w:rPr>
        <w:t>.</w:t>
      </w:r>
      <w:r w:rsidR="00565858" w:rsidRPr="00565858">
        <w:rPr>
          <w:rFonts w:ascii="Verdana" w:hAnsi="Verdana"/>
          <w:sz w:val="20"/>
          <w:szCs w:val="20"/>
          <w:lang w:val="bg-BG"/>
        </w:rPr>
        <w:t xml:space="preserve"> </w:t>
      </w:r>
      <w:r w:rsidR="00565858">
        <w:rPr>
          <w:rFonts w:ascii="Verdana" w:hAnsi="Verdana"/>
          <w:sz w:val="20"/>
          <w:szCs w:val="20"/>
          <w:lang w:val="bg-BG"/>
        </w:rPr>
        <w:t>Не по всички индикатори за резултат са заложени базови стойности. Повечето от заложените стойности изглеждат реалистични, предвид на изходната информация, с която се разполага.</w:t>
      </w:r>
      <w:r w:rsidR="00565858">
        <w:rPr>
          <w:rFonts w:ascii="Verdana" w:eastAsia="Times New Roman" w:hAnsi="Verdana"/>
          <w:bCs/>
          <w:noProof/>
          <w:color w:val="000000"/>
          <w:sz w:val="20"/>
          <w:szCs w:val="20"/>
          <w:lang w:val="bg-BG" w:eastAsia="bg-BG"/>
        </w:rPr>
        <w:t xml:space="preserve"> Все още не е разработена рамката за изпълнение и поради това не е осъществена оценка на етапните цели.</w:t>
      </w:r>
      <w:r>
        <w:rPr>
          <w:rFonts w:ascii="Verdana" w:eastAsia="Times New Roman" w:hAnsi="Verdana"/>
          <w:bCs/>
          <w:noProof/>
          <w:color w:val="000000"/>
          <w:sz w:val="20"/>
          <w:szCs w:val="20"/>
          <w:lang w:val="bg-BG" w:eastAsia="bg-BG"/>
        </w:rPr>
        <w:t xml:space="preserve"> Отправени са специфични препоръки по отношение на индикаторите за всяка от приоритетните оси.</w:t>
      </w:r>
    </w:p>
    <w:p w:rsidR="00ED77E9" w:rsidRDefault="00ED77E9" w:rsidP="00ED77E9">
      <w:pPr>
        <w:spacing w:after="120"/>
        <w:jc w:val="both"/>
        <w:rPr>
          <w:rFonts w:ascii="Verdana" w:hAnsi="Verdana"/>
          <w:sz w:val="20"/>
          <w:szCs w:val="20"/>
          <w:lang w:val="bg-BG"/>
        </w:rPr>
      </w:pPr>
      <w:r>
        <w:rPr>
          <w:rFonts w:ascii="Verdana" w:hAnsi="Verdana"/>
          <w:sz w:val="20"/>
          <w:szCs w:val="20"/>
          <w:lang w:val="bg-BG" w:eastAsia="cs-CZ"/>
        </w:rPr>
        <w:t xml:space="preserve">Като цяло наличните човешки ресурси и структура на Управляващия орган са адекватни на отговорностите по управление на програмата. </w:t>
      </w:r>
      <w:r>
        <w:rPr>
          <w:rFonts w:ascii="Verdana" w:hAnsi="Verdana"/>
          <w:sz w:val="20"/>
          <w:szCs w:val="20"/>
          <w:lang w:val="bg-BG"/>
        </w:rPr>
        <w:t>За три от отделите е вероятно да възникнат затруднения поради недостиг на експерти. Преодоляването им ще изисква осигуряване на допълнителен ресурс или намаляване на натоварването.</w:t>
      </w:r>
    </w:p>
    <w:p w:rsidR="00ED77E9" w:rsidRDefault="00ED77E9" w:rsidP="00ED77E9">
      <w:pPr>
        <w:autoSpaceDE w:val="0"/>
        <w:autoSpaceDN w:val="0"/>
        <w:adjustRightInd w:val="0"/>
        <w:spacing w:before="120" w:after="120"/>
        <w:jc w:val="both"/>
        <w:rPr>
          <w:rFonts w:ascii="Verdana" w:hAnsi="Verdana"/>
          <w:sz w:val="20"/>
          <w:szCs w:val="20"/>
          <w:lang w:val="bg-BG"/>
        </w:rPr>
      </w:pPr>
      <w:r>
        <w:rPr>
          <w:rFonts w:ascii="Verdana" w:hAnsi="Verdana"/>
          <w:sz w:val="20"/>
          <w:szCs w:val="20"/>
          <w:lang w:val="bg-BG"/>
        </w:rPr>
        <w:t>Служителите притежават опит в управление на фондове на ЕС и имат възможност да получават обучение. Съществува опит в разработване на процедури и наръчници. Основни затруднения към момента се изпитват поради недостиг на технически средства. Но този проблем се очаква да бъде решен с доставка на оборудване, която вече е стартирала.</w:t>
      </w:r>
    </w:p>
    <w:p w:rsidR="00ED77E9" w:rsidRDefault="00ED77E9" w:rsidP="00ED77E9">
      <w:pPr>
        <w:autoSpaceDE w:val="0"/>
        <w:autoSpaceDN w:val="0"/>
        <w:adjustRightInd w:val="0"/>
        <w:spacing w:before="120" w:after="120"/>
        <w:jc w:val="both"/>
        <w:rPr>
          <w:rFonts w:ascii="Verdana" w:hAnsi="Verdana"/>
          <w:sz w:val="20"/>
          <w:szCs w:val="20"/>
          <w:lang w:val="bg-BG"/>
        </w:rPr>
      </w:pPr>
      <w:r w:rsidRPr="006E5733">
        <w:rPr>
          <w:rFonts w:ascii="Verdana" w:hAnsi="Verdana"/>
          <w:sz w:val="20"/>
          <w:szCs w:val="20"/>
          <w:lang w:val="bg-BG"/>
        </w:rPr>
        <w:t xml:space="preserve">Голяма част от потенциалните бенефициенти по програмата вече имат изграден капацитет на базата на изпълнени проекти в настоящия програмен период. Въпреки това е необходима подкрепа и през </w:t>
      </w:r>
      <w:r w:rsidR="006E66FD">
        <w:rPr>
          <w:rFonts w:ascii="Verdana" w:hAnsi="Verdana"/>
          <w:sz w:val="20"/>
          <w:szCs w:val="20"/>
          <w:lang w:val="bg-BG"/>
        </w:rPr>
        <w:t xml:space="preserve">програмния </w:t>
      </w:r>
      <w:r w:rsidRPr="006E5733">
        <w:rPr>
          <w:rFonts w:ascii="Verdana" w:hAnsi="Verdana"/>
          <w:sz w:val="20"/>
          <w:szCs w:val="20"/>
          <w:lang w:val="bg-BG"/>
        </w:rPr>
        <w:t>период</w:t>
      </w:r>
      <w:r w:rsidR="006E66FD">
        <w:rPr>
          <w:rFonts w:ascii="Verdana" w:hAnsi="Verdana"/>
          <w:sz w:val="20"/>
          <w:szCs w:val="20"/>
          <w:lang w:val="bg-BG"/>
        </w:rPr>
        <w:t xml:space="preserve"> 2014-2020</w:t>
      </w:r>
      <w:r w:rsidRPr="006E5733">
        <w:rPr>
          <w:rFonts w:ascii="Verdana" w:hAnsi="Verdana"/>
          <w:sz w:val="20"/>
          <w:szCs w:val="20"/>
          <w:lang w:val="bg-BG"/>
        </w:rPr>
        <w:t>.</w:t>
      </w:r>
    </w:p>
    <w:p w:rsidR="00ED77E9" w:rsidRPr="000E7FCE" w:rsidRDefault="00ED77E9" w:rsidP="00ED77E9">
      <w:pPr>
        <w:autoSpaceDE w:val="0"/>
        <w:autoSpaceDN w:val="0"/>
        <w:adjustRightInd w:val="0"/>
        <w:spacing w:before="120" w:after="120"/>
        <w:jc w:val="both"/>
        <w:rPr>
          <w:rFonts w:ascii="Verdana" w:hAnsi="Verdana"/>
          <w:sz w:val="20"/>
          <w:szCs w:val="20"/>
          <w:lang w:val="bg-BG"/>
        </w:rPr>
      </w:pPr>
      <w:r>
        <w:rPr>
          <w:rFonts w:ascii="Verdana" w:hAnsi="Verdana"/>
          <w:sz w:val="20"/>
          <w:szCs w:val="20"/>
          <w:lang w:val="bg-BG"/>
        </w:rPr>
        <w:t xml:space="preserve">Основните проблеми по отношение на системата за мониторинг се очаква да са свързани с </w:t>
      </w:r>
      <w:r w:rsidRPr="000E7FCE">
        <w:rPr>
          <w:rFonts w:ascii="Verdana" w:hAnsi="Verdana"/>
          <w:sz w:val="20"/>
          <w:szCs w:val="20"/>
          <w:lang w:val="bg-BG"/>
        </w:rPr>
        <w:t>качество на подаваната информация на ниво проект, качество на  обработваната информация на ниво схема/ приоритетна ос (възможност за агрегиране на данните и информацията), използване на набраните данни от система за монитори</w:t>
      </w:r>
      <w:r>
        <w:rPr>
          <w:rFonts w:ascii="Verdana" w:hAnsi="Verdana"/>
          <w:sz w:val="20"/>
          <w:szCs w:val="20"/>
          <w:lang w:val="bg-BG"/>
        </w:rPr>
        <w:t>н</w:t>
      </w:r>
      <w:r w:rsidRPr="000E7FCE">
        <w:rPr>
          <w:rFonts w:ascii="Verdana" w:hAnsi="Verdana"/>
          <w:sz w:val="20"/>
          <w:szCs w:val="20"/>
          <w:lang w:val="bg-BG"/>
        </w:rPr>
        <w:t>г за изготвяне на анализи за изпълнението на програмата и ефективното използване на индикаторите за целите на наблюдение и оценка.</w:t>
      </w:r>
      <w:r>
        <w:rPr>
          <w:rFonts w:ascii="Verdana" w:hAnsi="Verdana"/>
          <w:sz w:val="20"/>
          <w:szCs w:val="20"/>
          <w:lang w:val="bg-BG"/>
        </w:rPr>
        <w:t xml:space="preserve"> Тези проблеми се очаква да бъдат взети предвид при разписването на системата за мониторинг и разработването на плана за оценки.</w:t>
      </w:r>
    </w:p>
    <w:p w:rsidR="00ED77E9" w:rsidRPr="00847059" w:rsidRDefault="00ED77E9" w:rsidP="00ED77E9">
      <w:pPr>
        <w:rPr>
          <w:rFonts w:ascii="Verdana" w:hAnsi="Verdana"/>
          <w:sz w:val="20"/>
          <w:szCs w:val="20"/>
          <w:lang w:val="bg-BG"/>
        </w:rPr>
      </w:pPr>
      <w:r w:rsidRPr="00847059">
        <w:rPr>
          <w:rFonts w:ascii="Verdana" w:hAnsi="Verdana"/>
          <w:sz w:val="20"/>
          <w:szCs w:val="20"/>
          <w:lang w:val="bg-BG"/>
        </w:rPr>
        <w:t xml:space="preserve">Основните </w:t>
      </w:r>
      <w:r w:rsidRPr="00FE5FDD">
        <w:rPr>
          <w:rFonts w:ascii="Verdana" w:hAnsi="Verdana"/>
          <w:color w:val="548DD4" w:themeColor="text2" w:themeTint="99"/>
          <w:sz w:val="20"/>
          <w:szCs w:val="20"/>
          <w:lang w:val="bg-BG"/>
        </w:rPr>
        <w:t>препоръки</w:t>
      </w:r>
      <w:r w:rsidRPr="00847059">
        <w:rPr>
          <w:rFonts w:ascii="Verdana" w:hAnsi="Verdana"/>
          <w:sz w:val="20"/>
          <w:szCs w:val="20"/>
          <w:lang w:val="bg-BG"/>
        </w:rPr>
        <w:t xml:space="preserve">, които са отправени са следните: </w:t>
      </w:r>
    </w:p>
    <w:p w:rsidR="00ED77E9" w:rsidRPr="00DF6B43" w:rsidRDefault="00ED77E9" w:rsidP="00ED77E9">
      <w:pPr>
        <w:pStyle w:val="ListParagraph"/>
        <w:numPr>
          <w:ilvl w:val="0"/>
          <w:numId w:val="68"/>
        </w:numPr>
        <w:jc w:val="both"/>
        <w:rPr>
          <w:rFonts w:ascii="Verdana" w:eastAsiaTheme="minorHAnsi" w:hAnsi="Verdana"/>
          <w:sz w:val="20"/>
          <w:szCs w:val="20"/>
          <w:lang w:val="bg-BG"/>
        </w:rPr>
      </w:pPr>
      <w:r w:rsidRPr="00DF6B43">
        <w:rPr>
          <w:rFonts w:ascii="Verdana" w:eastAsiaTheme="minorHAnsi" w:hAnsi="Verdana"/>
          <w:sz w:val="20"/>
          <w:szCs w:val="20"/>
          <w:lang w:val="bg-BG"/>
        </w:rPr>
        <w:t>Да се потърси по-голям принос на програмата по отношение на териториалното сближаване</w:t>
      </w:r>
      <w:r>
        <w:rPr>
          <w:rFonts w:ascii="Verdana" w:eastAsiaTheme="minorHAnsi" w:hAnsi="Verdana"/>
          <w:sz w:val="20"/>
          <w:szCs w:val="20"/>
          <w:lang w:val="bg-BG"/>
        </w:rPr>
        <w:t>;</w:t>
      </w:r>
    </w:p>
    <w:p w:rsidR="00ED77E9" w:rsidRPr="00DF6B43" w:rsidRDefault="00ED77E9" w:rsidP="00ED77E9">
      <w:pPr>
        <w:pStyle w:val="ListParagraph"/>
        <w:numPr>
          <w:ilvl w:val="0"/>
          <w:numId w:val="68"/>
        </w:numPr>
        <w:jc w:val="both"/>
        <w:rPr>
          <w:lang w:val="bg-BG"/>
        </w:rPr>
      </w:pPr>
      <w:r w:rsidRPr="00DF6B43">
        <w:rPr>
          <w:rFonts w:ascii="Verdana" w:eastAsiaTheme="minorHAnsi" w:hAnsi="Verdana"/>
          <w:sz w:val="20"/>
          <w:szCs w:val="20"/>
          <w:lang w:val="bg-BG"/>
        </w:rPr>
        <w:lastRenderedPageBreak/>
        <w:t>Да се потърси възможност за по-пълно отразяване на някои от мерките на Споразумението за партньорство, свързани с подобряване на връзката наука-бизнес и подобряване управлението на научните институти</w:t>
      </w:r>
      <w:r>
        <w:rPr>
          <w:rFonts w:ascii="Verdana" w:eastAsiaTheme="minorHAnsi" w:hAnsi="Verdana"/>
          <w:sz w:val="20"/>
          <w:szCs w:val="20"/>
          <w:lang w:val="bg-BG"/>
        </w:rPr>
        <w:t>;</w:t>
      </w:r>
    </w:p>
    <w:p w:rsidR="00ED77E9" w:rsidRPr="00DF6B43" w:rsidRDefault="00ED77E9" w:rsidP="00ED77E9">
      <w:pPr>
        <w:pStyle w:val="ListParagraph"/>
        <w:numPr>
          <w:ilvl w:val="0"/>
          <w:numId w:val="68"/>
        </w:numPr>
        <w:jc w:val="both"/>
        <w:rPr>
          <w:lang w:val="bg-BG"/>
        </w:rPr>
      </w:pPr>
      <w:r>
        <w:rPr>
          <w:rFonts w:ascii="Verdana" w:eastAsiaTheme="minorHAnsi" w:hAnsi="Verdana"/>
          <w:sz w:val="20"/>
          <w:szCs w:val="20"/>
          <w:lang w:val="bg-BG"/>
        </w:rPr>
        <w:t>Да се изчистят спорните моменти по отношение на разграничаването и допълването с някои от останалите оперативни програми и по-специално с Оперативна програма „Иновации и конкурентоспособност”;</w:t>
      </w:r>
    </w:p>
    <w:p w:rsidR="00ED77E9" w:rsidRPr="00847059" w:rsidRDefault="00ED77E9" w:rsidP="00ED77E9">
      <w:pPr>
        <w:pStyle w:val="ListParagraph"/>
        <w:numPr>
          <w:ilvl w:val="0"/>
          <w:numId w:val="68"/>
        </w:numPr>
        <w:jc w:val="both"/>
        <w:rPr>
          <w:rFonts w:ascii="Verdana" w:eastAsiaTheme="minorHAnsi" w:hAnsi="Verdana"/>
          <w:sz w:val="20"/>
          <w:szCs w:val="20"/>
          <w:lang w:val="bg-BG"/>
        </w:rPr>
      </w:pPr>
      <w:r w:rsidRPr="00847059">
        <w:rPr>
          <w:rFonts w:ascii="Verdana" w:eastAsiaTheme="minorHAnsi" w:hAnsi="Verdana"/>
          <w:sz w:val="20"/>
          <w:szCs w:val="20"/>
          <w:lang w:val="bg-BG"/>
        </w:rPr>
        <w:t>Да се разширят анализите в някои аспекти на стратегическата част и по отношение на някои от обосновките на специфичните цели;</w:t>
      </w:r>
    </w:p>
    <w:p w:rsidR="00ED77E9" w:rsidRPr="00847059" w:rsidRDefault="00ED77E9" w:rsidP="00ED77E9">
      <w:pPr>
        <w:pStyle w:val="ListParagraph"/>
        <w:numPr>
          <w:ilvl w:val="0"/>
          <w:numId w:val="68"/>
        </w:numPr>
        <w:jc w:val="both"/>
        <w:rPr>
          <w:rFonts w:ascii="Verdana" w:eastAsiaTheme="minorHAnsi" w:hAnsi="Verdana"/>
          <w:sz w:val="20"/>
          <w:szCs w:val="20"/>
          <w:lang w:val="bg-BG"/>
        </w:rPr>
      </w:pPr>
      <w:r w:rsidRPr="00847059">
        <w:rPr>
          <w:rFonts w:ascii="Verdana" w:eastAsiaTheme="minorHAnsi" w:hAnsi="Verdana"/>
          <w:sz w:val="20"/>
          <w:szCs w:val="20"/>
          <w:lang w:val="bg-BG"/>
        </w:rPr>
        <w:t>Да се окрупнят някои дейности и да се прецизира формулировката на други;</w:t>
      </w:r>
    </w:p>
    <w:p w:rsidR="00ED77E9" w:rsidRPr="00DF6B43" w:rsidRDefault="00ED77E9" w:rsidP="00ED77E9">
      <w:pPr>
        <w:pStyle w:val="ListParagraph"/>
        <w:numPr>
          <w:ilvl w:val="0"/>
          <w:numId w:val="68"/>
        </w:numPr>
        <w:jc w:val="both"/>
        <w:rPr>
          <w:lang w:val="bg-BG"/>
        </w:rPr>
      </w:pPr>
      <w:r w:rsidRPr="00B45B4F">
        <w:rPr>
          <w:rFonts w:ascii="Verdana" w:hAnsi="Verdana"/>
          <w:sz w:val="20"/>
          <w:szCs w:val="20"/>
          <w:lang w:val="bg-BG"/>
        </w:rPr>
        <w:t>Предвид на заложените дейности за кредитиране на висшето образование, както и възможностите за съвместни инициативи бизнес–наука и бизнес–висше образование е препоръчително да се анализират възможностите и предимствата от използването на финансови инструменти</w:t>
      </w:r>
      <w:r>
        <w:rPr>
          <w:rFonts w:ascii="Verdana" w:hAnsi="Verdana"/>
          <w:sz w:val="20"/>
          <w:szCs w:val="20"/>
          <w:lang w:val="bg-BG"/>
        </w:rPr>
        <w:t>;</w:t>
      </w:r>
    </w:p>
    <w:p w:rsidR="00ED77E9" w:rsidRPr="004020E1" w:rsidRDefault="00ED77E9" w:rsidP="00ED77E9">
      <w:pPr>
        <w:pStyle w:val="ListParagraph"/>
        <w:numPr>
          <w:ilvl w:val="0"/>
          <w:numId w:val="68"/>
        </w:numPr>
        <w:jc w:val="both"/>
        <w:rPr>
          <w:lang w:val="bg-BG"/>
        </w:rPr>
      </w:pPr>
      <w:r>
        <w:rPr>
          <w:rFonts w:ascii="Verdana" w:hAnsi="Verdana"/>
          <w:sz w:val="20"/>
          <w:szCs w:val="20"/>
          <w:lang w:val="bg-BG"/>
        </w:rPr>
        <w:t xml:space="preserve">Да се добави информация, как ще се наблюдава прилагането на принципите за „устойчиво развитие“ и „равенство между половете“ и да се прецени отново </w:t>
      </w:r>
      <w:proofErr w:type="spellStart"/>
      <w:r>
        <w:rPr>
          <w:rFonts w:ascii="Verdana" w:hAnsi="Verdana"/>
          <w:sz w:val="20"/>
          <w:szCs w:val="20"/>
          <w:lang w:val="bg-BG"/>
        </w:rPr>
        <w:t>удачността</w:t>
      </w:r>
      <w:proofErr w:type="spellEnd"/>
      <w:r>
        <w:rPr>
          <w:rFonts w:ascii="Verdana" w:hAnsi="Verdana"/>
          <w:sz w:val="20"/>
          <w:szCs w:val="20"/>
          <w:lang w:val="bg-BG"/>
        </w:rPr>
        <w:t xml:space="preserve"> на подхода за наблюдение на принципа за „равенство и </w:t>
      </w:r>
      <w:proofErr w:type="spellStart"/>
      <w:r>
        <w:rPr>
          <w:rFonts w:ascii="Verdana" w:hAnsi="Verdana"/>
          <w:sz w:val="20"/>
          <w:szCs w:val="20"/>
          <w:lang w:val="bg-BG"/>
        </w:rPr>
        <w:t>недискриминация</w:t>
      </w:r>
      <w:proofErr w:type="spellEnd"/>
      <w:r>
        <w:rPr>
          <w:rFonts w:ascii="Verdana" w:hAnsi="Verdana"/>
          <w:sz w:val="20"/>
          <w:szCs w:val="20"/>
          <w:lang w:val="bg-BG"/>
        </w:rPr>
        <w:t>”;</w:t>
      </w:r>
    </w:p>
    <w:p w:rsidR="004020E1" w:rsidRPr="004020E1" w:rsidRDefault="004020E1" w:rsidP="004020E1">
      <w:pPr>
        <w:pStyle w:val="ListParagraph"/>
        <w:numPr>
          <w:ilvl w:val="0"/>
          <w:numId w:val="68"/>
        </w:numPr>
        <w:jc w:val="both"/>
        <w:rPr>
          <w:rFonts w:ascii="Verdana" w:hAnsi="Verdana"/>
          <w:sz w:val="20"/>
          <w:szCs w:val="20"/>
          <w:lang w:val="bg-BG"/>
        </w:rPr>
      </w:pPr>
      <w:r>
        <w:rPr>
          <w:rFonts w:ascii="Verdana" w:hAnsi="Verdana"/>
          <w:sz w:val="20"/>
          <w:szCs w:val="20"/>
          <w:lang w:val="bg-BG"/>
        </w:rPr>
        <w:t>Да се уеднаквят сумите в ОПНОИР и Споразумението за партньорство;</w:t>
      </w:r>
    </w:p>
    <w:p w:rsidR="004020E1" w:rsidRPr="004020E1" w:rsidRDefault="004020E1" w:rsidP="004020E1">
      <w:pPr>
        <w:pStyle w:val="ListParagraph"/>
        <w:numPr>
          <w:ilvl w:val="0"/>
          <w:numId w:val="68"/>
        </w:numPr>
        <w:jc w:val="both"/>
        <w:rPr>
          <w:rFonts w:ascii="Verdana" w:hAnsi="Verdana"/>
          <w:sz w:val="20"/>
          <w:szCs w:val="20"/>
          <w:lang w:val="bg-BG"/>
        </w:rPr>
      </w:pPr>
      <w:r>
        <w:rPr>
          <w:rFonts w:ascii="Verdana" w:hAnsi="Verdana"/>
          <w:sz w:val="20"/>
          <w:szCs w:val="20"/>
          <w:lang w:val="bg-BG"/>
        </w:rPr>
        <w:t>Да се допълни информация относно изпълнението на изискването за концентрация на поне 60% от бюджета на програмата в най-много 5 инвестиционни приоритета;</w:t>
      </w:r>
    </w:p>
    <w:p w:rsidR="004020E1" w:rsidRPr="004020E1" w:rsidRDefault="004020E1" w:rsidP="004020E1">
      <w:pPr>
        <w:pStyle w:val="ListParagraph"/>
        <w:numPr>
          <w:ilvl w:val="0"/>
          <w:numId w:val="68"/>
        </w:numPr>
        <w:jc w:val="both"/>
        <w:rPr>
          <w:rFonts w:ascii="Verdana" w:hAnsi="Verdana"/>
          <w:sz w:val="20"/>
          <w:szCs w:val="20"/>
          <w:lang w:val="bg-BG"/>
        </w:rPr>
      </w:pPr>
      <w:r>
        <w:rPr>
          <w:rFonts w:ascii="Verdana" w:hAnsi="Verdana"/>
          <w:sz w:val="20"/>
          <w:szCs w:val="20"/>
          <w:lang w:val="bg-BG"/>
        </w:rPr>
        <w:t>Да се премахне заделения за техническа помощ резерв за изпълнение, като той се разпредели по останалите приоритетни оси на програмата, за да не се допуска противоречие с чл. 22 (1) от Общия регламент за ЕСИФ.</w:t>
      </w:r>
    </w:p>
    <w:p w:rsidR="004020E1" w:rsidRPr="004020E1" w:rsidRDefault="004020E1" w:rsidP="004020E1">
      <w:pPr>
        <w:pStyle w:val="ListParagraph"/>
        <w:numPr>
          <w:ilvl w:val="0"/>
          <w:numId w:val="68"/>
        </w:numPr>
        <w:jc w:val="both"/>
        <w:rPr>
          <w:rFonts w:ascii="Verdana" w:hAnsi="Verdana"/>
          <w:sz w:val="20"/>
          <w:szCs w:val="20"/>
          <w:lang w:val="bg-BG"/>
        </w:rPr>
      </w:pPr>
      <w:r w:rsidRPr="001B40F2">
        <w:rPr>
          <w:rFonts w:ascii="Verdana" w:hAnsi="Verdana"/>
          <w:sz w:val="20"/>
          <w:szCs w:val="20"/>
          <w:lang w:val="bg-BG"/>
        </w:rPr>
        <w:t>УО да обмисли възможността, при наличие на интерес и достатъчен обем на заделените за тях средства, дейностите по ЕСФ, свързани с транснационално сътрудничество, да бъдат обособени в отделна приоритетна ос.</w:t>
      </w:r>
    </w:p>
    <w:p w:rsidR="00ED77E9" w:rsidRDefault="00ED77E9" w:rsidP="00ED77E9">
      <w:pPr>
        <w:pStyle w:val="ListParagraph"/>
        <w:numPr>
          <w:ilvl w:val="0"/>
          <w:numId w:val="68"/>
        </w:numPr>
        <w:jc w:val="both"/>
        <w:rPr>
          <w:rFonts w:ascii="Verdana" w:hAnsi="Verdana"/>
          <w:sz w:val="20"/>
          <w:szCs w:val="20"/>
          <w:lang w:val="bg-BG"/>
        </w:rPr>
      </w:pPr>
      <w:r>
        <w:rPr>
          <w:rFonts w:ascii="Verdana" w:hAnsi="Verdana"/>
          <w:sz w:val="20"/>
          <w:szCs w:val="20"/>
          <w:lang w:val="bg-BG"/>
        </w:rPr>
        <w:t>Да се преработят/отпаднат някои от индикаторите и във фишовете на индикаторите да се направят необходимите уточнения относно тяхното значение и начина на измерване;</w:t>
      </w:r>
    </w:p>
    <w:p w:rsidR="008C2723" w:rsidRDefault="008C2723" w:rsidP="00ED77E9">
      <w:pPr>
        <w:pStyle w:val="ListParagraph"/>
        <w:numPr>
          <w:ilvl w:val="0"/>
          <w:numId w:val="68"/>
        </w:numPr>
        <w:jc w:val="both"/>
        <w:rPr>
          <w:rFonts w:ascii="Verdana" w:hAnsi="Verdana"/>
          <w:sz w:val="20"/>
          <w:szCs w:val="20"/>
          <w:lang w:val="bg-BG"/>
        </w:rPr>
      </w:pPr>
      <w:r>
        <w:rPr>
          <w:rFonts w:ascii="Verdana" w:hAnsi="Verdana"/>
          <w:sz w:val="20"/>
          <w:szCs w:val="20"/>
          <w:lang w:val="bg-BG"/>
        </w:rPr>
        <w:t>Да се заложат базови стойности по всички индикатори за резултат. Да се преразгледат някои от заложените целеви стойности.</w:t>
      </w:r>
    </w:p>
    <w:p w:rsidR="00ED77E9" w:rsidRDefault="00ED77E9" w:rsidP="00ED77E9">
      <w:pPr>
        <w:jc w:val="both"/>
        <w:rPr>
          <w:rFonts w:ascii="Verdana" w:hAnsi="Verdana"/>
          <w:sz w:val="20"/>
          <w:szCs w:val="20"/>
          <w:lang w:val="bg-BG"/>
        </w:rPr>
      </w:pPr>
      <w:r>
        <w:rPr>
          <w:rFonts w:ascii="Verdana" w:hAnsi="Verdana"/>
          <w:sz w:val="20"/>
          <w:szCs w:val="20"/>
          <w:lang w:val="bg-BG"/>
        </w:rPr>
        <w:t>Препоръките по отношение на административния капацитет не касаят текстове на програмата, а изпълнението и управлението й. Основните от тях включват:</w:t>
      </w:r>
    </w:p>
    <w:p w:rsidR="00ED77E9" w:rsidRDefault="00ED77E9" w:rsidP="00ED77E9">
      <w:pPr>
        <w:pStyle w:val="ListParagraph"/>
        <w:numPr>
          <w:ilvl w:val="0"/>
          <w:numId w:val="68"/>
        </w:numPr>
        <w:jc w:val="both"/>
        <w:rPr>
          <w:rFonts w:ascii="Verdana" w:hAnsi="Verdana"/>
          <w:sz w:val="20"/>
          <w:szCs w:val="20"/>
          <w:lang w:val="bg-BG"/>
        </w:rPr>
      </w:pPr>
      <w:r w:rsidRPr="00355798">
        <w:rPr>
          <w:rFonts w:ascii="Verdana" w:hAnsi="Verdana"/>
          <w:sz w:val="20"/>
          <w:szCs w:val="20"/>
          <w:lang w:val="bg-BG"/>
        </w:rPr>
        <w:t>Отделът по управление на риска и контрол, който включва и служителя по нередности</w:t>
      </w:r>
      <w:r>
        <w:rPr>
          <w:rFonts w:ascii="Verdana" w:hAnsi="Verdana"/>
          <w:sz w:val="20"/>
          <w:szCs w:val="20"/>
          <w:lang w:val="bg-BG"/>
        </w:rPr>
        <w:t>,</w:t>
      </w:r>
      <w:r w:rsidRPr="00355798">
        <w:rPr>
          <w:rFonts w:ascii="Verdana" w:hAnsi="Verdana"/>
          <w:sz w:val="20"/>
          <w:szCs w:val="20"/>
          <w:lang w:val="bg-BG"/>
        </w:rPr>
        <w:t xml:space="preserve"> да бъд</w:t>
      </w:r>
      <w:r>
        <w:rPr>
          <w:rFonts w:ascii="Verdana" w:hAnsi="Verdana"/>
          <w:sz w:val="20"/>
          <w:szCs w:val="20"/>
          <w:lang w:val="bg-BG"/>
        </w:rPr>
        <w:t>е</w:t>
      </w:r>
      <w:r w:rsidRPr="00355798">
        <w:rPr>
          <w:rFonts w:ascii="Verdana" w:hAnsi="Verdana"/>
          <w:sz w:val="20"/>
          <w:szCs w:val="20"/>
          <w:lang w:val="bg-BG"/>
        </w:rPr>
        <w:t xml:space="preserve"> </w:t>
      </w:r>
      <w:r>
        <w:rPr>
          <w:rFonts w:ascii="Verdana" w:hAnsi="Verdana"/>
          <w:sz w:val="20"/>
          <w:szCs w:val="20"/>
          <w:lang w:val="bg-BG"/>
        </w:rPr>
        <w:t xml:space="preserve">на </w:t>
      </w:r>
      <w:r w:rsidRPr="00355798">
        <w:rPr>
          <w:rFonts w:ascii="Verdana" w:hAnsi="Verdana"/>
          <w:sz w:val="20"/>
          <w:szCs w:val="20"/>
          <w:lang w:val="bg-BG"/>
        </w:rPr>
        <w:t>директно подчинение на главния директор на ГДСФМОП, а не на заместник-директор.</w:t>
      </w:r>
    </w:p>
    <w:p w:rsidR="00ED77E9" w:rsidRPr="00355798" w:rsidRDefault="00ED77E9" w:rsidP="00ED77E9">
      <w:pPr>
        <w:pStyle w:val="ListParagraph"/>
        <w:numPr>
          <w:ilvl w:val="0"/>
          <w:numId w:val="68"/>
        </w:numPr>
        <w:jc w:val="both"/>
        <w:rPr>
          <w:rFonts w:ascii="Verdana" w:hAnsi="Verdana"/>
          <w:sz w:val="20"/>
          <w:szCs w:val="20"/>
          <w:lang w:val="bg-BG"/>
        </w:rPr>
      </w:pPr>
      <w:r w:rsidRPr="00261140">
        <w:rPr>
          <w:rFonts w:ascii="Verdana" w:hAnsi="Verdana"/>
          <w:sz w:val="20"/>
          <w:szCs w:val="20"/>
          <w:lang w:val="bg-BG"/>
        </w:rPr>
        <w:lastRenderedPageBreak/>
        <w:t xml:space="preserve">Осигуряване на адекватни ресурси спрямо отговорностите на отдели „Програмиране и договаряне“, „Финансово планиране, счетоводна отчетност и плащания“ и „Управление на риска и контрол“. </w:t>
      </w:r>
    </w:p>
    <w:p w:rsidR="00ED77E9" w:rsidRPr="00355798" w:rsidRDefault="00ED77E9" w:rsidP="00ED77E9">
      <w:pPr>
        <w:pStyle w:val="ListParagraph"/>
        <w:numPr>
          <w:ilvl w:val="0"/>
          <w:numId w:val="68"/>
        </w:numPr>
        <w:jc w:val="both"/>
        <w:rPr>
          <w:rFonts w:ascii="Verdana" w:hAnsi="Verdana"/>
          <w:sz w:val="20"/>
          <w:szCs w:val="20"/>
          <w:lang w:val="bg-BG"/>
        </w:rPr>
      </w:pPr>
      <w:r w:rsidRPr="00355798">
        <w:rPr>
          <w:rFonts w:ascii="Verdana" w:hAnsi="Verdana"/>
          <w:sz w:val="20"/>
          <w:szCs w:val="20"/>
          <w:lang w:val="bg-BG"/>
        </w:rPr>
        <w:t xml:space="preserve">Осигуряване на необходимите технически средства за управление и изпълнение на програмата. </w:t>
      </w:r>
    </w:p>
    <w:p w:rsidR="00ED77E9" w:rsidRPr="00355798" w:rsidRDefault="00ED77E9" w:rsidP="00ED77E9">
      <w:pPr>
        <w:pStyle w:val="ListParagraph"/>
        <w:numPr>
          <w:ilvl w:val="0"/>
          <w:numId w:val="68"/>
        </w:numPr>
        <w:jc w:val="both"/>
        <w:rPr>
          <w:rFonts w:ascii="Verdana" w:hAnsi="Verdana"/>
          <w:sz w:val="20"/>
          <w:szCs w:val="20"/>
          <w:lang w:val="bg-BG"/>
        </w:rPr>
      </w:pPr>
      <w:r w:rsidRPr="00355798">
        <w:rPr>
          <w:rFonts w:ascii="Verdana" w:hAnsi="Verdana"/>
          <w:sz w:val="20"/>
          <w:szCs w:val="20"/>
          <w:lang w:val="bg-BG"/>
        </w:rPr>
        <w:t>Възможно най-бързо стартиране на обучения</w:t>
      </w:r>
      <w:r>
        <w:rPr>
          <w:rFonts w:ascii="Verdana" w:hAnsi="Verdana"/>
          <w:sz w:val="20"/>
          <w:szCs w:val="20"/>
          <w:lang w:val="bg-BG"/>
        </w:rPr>
        <w:t>,</w:t>
      </w:r>
      <w:r w:rsidRPr="00355798">
        <w:rPr>
          <w:rFonts w:ascii="Verdana" w:hAnsi="Verdana"/>
          <w:sz w:val="20"/>
          <w:szCs w:val="20"/>
          <w:lang w:val="bg-BG"/>
        </w:rPr>
        <w:t xml:space="preserve"> свързани с новите отговорности като УО.</w:t>
      </w:r>
    </w:p>
    <w:p w:rsidR="00ED77E9" w:rsidRPr="00355798" w:rsidRDefault="00ED77E9" w:rsidP="00ED77E9">
      <w:pPr>
        <w:pStyle w:val="ListParagraph"/>
        <w:numPr>
          <w:ilvl w:val="0"/>
          <w:numId w:val="68"/>
        </w:numPr>
        <w:jc w:val="both"/>
        <w:rPr>
          <w:rFonts w:ascii="Verdana" w:hAnsi="Verdana"/>
          <w:sz w:val="20"/>
          <w:szCs w:val="20"/>
          <w:lang w:val="bg-BG"/>
        </w:rPr>
      </w:pPr>
      <w:r w:rsidRPr="00355798">
        <w:rPr>
          <w:rFonts w:ascii="Verdana" w:hAnsi="Verdana"/>
          <w:sz w:val="20"/>
          <w:szCs w:val="20"/>
          <w:lang w:val="bg-BG"/>
        </w:rPr>
        <w:t xml:space="preserve">Разработване на  </w:t>
      </w:r>
      <w:r w:rsidRPr="00261140">
        <w:rPr>
          <w:rFonts w:ascii="Verdana" w:hAnsi="Verdana"/>
          <w:sz w:val="20"/>
          <w:szCs w:val="20"/>
          <w:lang w:val="bg-BG"/>
        </w:rPr>
        <w:t>атрактивен пакет за стимулиране и възнаграждение на експертите</w:t>
      </w:r>
      <w:r w:rsidRPr="00355798">
        <w:rPr>
          <w:rFonts w:ascii="Verdana" w:hAnsi="Verdana"/>
          <w:sz w:val="20"/>
          <w:szCs w:val="20"/>
          <w:lang w:val="bg-BG"/>
        </w:rPr>
        <w:t xml:space="preserve"> с цел повишаване тяхната мотивация.</w:t>
      </w:r>
    </w:p>
    <w:p w:rsidR="00ED77E9" w:rsidRPr="00261140" w:rsidRDefault="00ED77E9" w:rsidP="00ED77E9">
      <w:pPr>
        <w:pStyle w:val="ListParagraph"/>
        <w:numPr>
          <w:ilvl w:val="0"/>
          <w:numId w:val="68"/>
        </w:numPr>
        <w:jc w:val="both"/>
        <w:rPr>
          <w:rFonts w:ascii="Verdana" w:hAnsi="Verdana"/>
          <w:sz w:val="20"/>
          <w:szCs w:val="20"/>
          <w:lang w:val="bg-BG"/>
        </w:rPr>
      </w:pPr>
      <w:r w:rsidRPr="00261140">
        <w:rPr>
          <w:rFonts w:ascii="Verdana" w:hAnsi="Verdana"/>
          <w:sz w:val="20"/>
          <w:szCs w:val="20"/>
          <w:lang w:val="bg-BG"/>
        </w:rPr>
        <w:t>Въвеждане на „контактна точка“ за бенефициенти в Наръчника за изпълнение на проекта, с ясно определени лица, отговорности  и срокове  за отговор на въпроси</w:t>
      </w:r>
      <w:r>
        <w:rPr>
          <w:rFonts w:ascii="Verdana" w:hAnsi="Verdana"/>
          <w:sz w:val="20"/>
          <w:szCs w:val="20"/>
          <w:lang w:val="bg-BG"/>
        </w:rPr>
        <w:t>.</w:t>
      </w:r>
    </w:p>
    <w:p w:rsidR="00ED77E9" w:rsidRPr="00261140" w:rsidRDefault="00ED77E9" w:rsidP="00ED77E9">
      <w:pPr>
        <w:pStyle w:val="ListParagraph"/>
        <w:numPr>
          <w:ilvl w:val="0"/>
          <w:numId w:val="68"/>
        </w:numPr>
        <w:jc w:val="both"/>
        <w:rPr>
          <w:rFonts w:ascii="Verdana" w:hAnsi="Verdana"/>
          <w:sz w:val="20"/>
          <w:szCs w:val="20"/>
          <w:lang w:val="bg-BG"/>
        </w:rPr>
      </w:pPr>
      <w:r w:rsidRPr="00355798">
        <w:rPr>
          <w:rFonts w:ascii="Verdana" w:hAnsi="Verdana"/>
          <w:sz w:val="20"/>
          <w:szCs w:val="20"/>
          <w:lang w:val="bg-BG"/>
        </w:rPr>
        <w:t>Изграждане на с</w:t>
      </w:r>
      <w:r w:rsidR="00011E4D">
        <w:rPr>
          <w:rFonts w:ascii="Verdana" w:hAnsi="Verdana"/>
          <w:sz w:val="20"/>
          <w:szCs w:val="20"/>
          <w:lang w:val="bg-BG"/>
        </w:rPr>
        <w:t>ис</w:t>
      </w:r>
      <w:r w:rsidRPr="00355798">
        <w:rPr>
          <w:rFonts w:ascii="Verdana" w:hAnsi="Verdana"/>
          <w:sz w:val="20"/>
          <w:szCs w:val="20"/>
          <w:lang w:val="bg-BG"/>
        </w:rPr>
        <w:t xml:space="preserve">тема за събиране и агрегиране на </w:t>
      </w:r>
      <w:r w:rsidR="00D279AE">
        <w:rPr>
          <w:rFonts w:ascii="Verdana" w:hAnsi="Verdana"/>
          <w:sz w:val="20"/>
          <w:szCs w:val="20"/>
          <w:lang w:val="bg-BG"/>
        </w:rPr>
        <w:t xml:space="preserve">данни за </w:t>
      </w:r>
      <w:r w:rsidRPr="00355798">
        <w:rPr>
          <w:rFonts w:ascii="Verdana" w:hAnsi="Verdana"/>
          <w:sz w:val="20"/>
          <w:szCs w:val="20"/>
          <w:lang w:val="bg-BG"/>
        </w:rPr>
        <w:t>индикатори, в която са определени задачите и сроковете на всички нива на мониторинг (бенефициент, конкретен бенефициент, отдели в УО)</w:t>
      </w:r>
    </w:p>
    <w:p w:rsidR="00ED77E9" w:rsidRPr="004E1162" w:rsidRDefault="00ED77E9" w:rsidP="00ED77E9">
      <w:pPr>
        <w:rPr>
          <w:lang w:val="bg-BG"/>
        </w:rPr>
      </w:pPr>
    </w:p>
    <w:p w:rsidR="00ED77E9" w:rsidRPr="00B45B4F" w:rsidRDefault="00ED77E9" w:rsidP="00ED77E9">
      <w:pPr>
        <w:spacing w:after="0" w:line="240" w:lineRule="auto"/>
        <w:ind w:left="1170" w:hanging="1170"/>
        <w:jc w:val="both"/>
        <w:rPr>
          <w:rFonts w:ascii="Verdana" w:hAnsi="Verdana"/>
          <w:sz w:val="20"/>
          <w:szCs w:val="20"/>
          <w:lang w:val="bg-BG"/>
        </w:rPr>
        <w:sectPr w:rsidR="00ED77E9" w:rsidRPr="00B45B4F" w:rsidSect="00C826F7">
          <w:pgSz w:w="11907" w:h="16839" w:code="9"/>
          <w:pgMar w:top="2077" w:right="1440" w:bottom="1440" w:left="1440" w:header="720" w:footer="244" w:gutter="0"/>
          <w:cols w:space="720"/>
          <w:docGrid w:linePitch="360"/>
        </w:sectPr>
      </w:pPr>
    </w:p>
    <w:p w:rsidR="00185CBE" w:rsidRPr="00B45B4F" w:rsidRDefault="00185CBE" w:rsidP="00A52885">
      <w:pPr>
        <w:pStyle w:val="Heading1"/>
        <w:shd w:val="clear" w:color="auto" w:fill="0063B8"/>
        <w:tabs>
          <w:tab w:val="num" w:pos="720"/>
        </w:tabs>
        <w:spacing w:before="120" w:after="120" w:line="276" w:lineRule="auto"/>
        <w:ind w:left="720" w:hanging="720"/>
        <w:rPr>
          <w:rFonts w:ascii="Verdana" w:hAnsi="Verdana"/>
          <w:b w:val="0"/>
          <w:caps/>
          <w:color w:val="FFFFFF"/>
          <w:lang w:val="bg-BG"/>
        </w:rPr>
      </w:pPr>
      <w:bookmarkStart w:id="28" w:name="_Toc395612507"/>
      <w:r w:rsidRPr="00B45B4F">
        <w:rPr>
          <w:rFonts w:ascii="Verdana" w:hAnsi="Verdana"/>
          <w:b w:val="0"/>
          <w:caps/>
          <w:color w:val="FFFFFF"/>
          <w:lang w:val="bg-BG"/>
        </w:rPr>
        <w:lastRenderedPageBreak/>
        <w:t>I.</w:t>
      </w:r>
      <w:r w:rsidRPr="00B45B4F">
        <w:rPr>
          <w:rFonts w:ascii="Verdana" w:hAnsi="Verdana"/>
          <w:b w:val="0"/>
          <w:caps/>
          <w:color w:val="FFFFFF"/>
          <w:lang w:val="bg-BG"/>
        </w:rPr>
        <w:tab/>
      </w:r>
      <w:r w:rsidR="00B5225C" w:rsidRPr="00B45B4F">
        <w:rPr>
          <w:rFonts w:ascii="Verdana" w:hAnsi="Verdana"/>
          <w:b w:val="0"/>
          <w:caps/>
          <w:color w:val="FFFFFF"/>
          <w:lang w:val="bg-BG"/>
        </w:rPr>
        <w:t>Въведение</w:t>
      </w:r>
      <w:bookmarkEnd w:id="28"/>
    </w:p>
    <w:p w:rsidR="00185CBE" w:rsidRDefault="00185CBE" w:rsidP="007337F6">
      <w:pPr>
        <w:spacing w:after="0"/>
        <w:rPr>
          <w:rFonts w:ascii="Verdana" w:hAnsi="Verdana"/>
          <w:lang w:val="bg-BG"/>
        </w:rPr>
      </w:pPr>
    </w:p>
    <w:p w:rsidR="004E1162" w:rsidRPr="001E2087" w:rsidRDefault="004E1162" w:rsidP="004E1162">
      <w:pPr>
        <w:jc w:val="both"/>
        <w:rPr>
          <w:rFonts w:ascii="Verdana" w:hAnsi="Verdana"/>
          <w:sz w:val="20"/>
          <w:szCs w:val="20"/>
          <w:lang w:val="bg-BG"/>
        </w:rPr>
      </w:pPr>
      <w:r w:rsidRPr="001E2087">
        <w:rPr>
          <w:rFonts w:ascii="Verdana" w:hAnsi="Verdana"/>
          <w:sz w:val="20"/>
          <w:szCs w:val="20"/>
          <w:lang w:val="bg-BG"/>
        </w:rPr>
        <w:t xml:space="preserve">Предварителната оценка </w:t>
      </w:r>
      <w:r>
        <w:rPr>
          <w:rFonts w:ascii="Verdana" w:hAnsi="Verdana"/>
          <w:sz w:val="20"/>
          <w:szCs w:val="20"/>
          <w:lang w:val="bg-BG"/>
        </w:rPr>
        <w:t xml:space="preserve">на Оперативна програма „Наука и образование за интелигентен растеж“ 2014-2020 г. (ОПНОИР) </w:t>
      </w:r>
      <w:r w:rsidRPr="001E2087">
        <w:rPr>
          <w:rFonts w:ascii="Verdana" w:hAnsi="Verdana"/>
          <w:sz w:val="20"/>
          <w:szCs w:val="20"/>
          <w:lang w:val="bg-BG"/>
        </w:rPr>
        <w:t xml:space="preserve">е осъществена в периода </w:t>
      </w:r>
      <w:r>
        <w:rPr>
          <w:rFonts w:ascii="Verdana" w:hAnsi="Verdana"/>
          <w:sz w:val="20"/>
          <w:szCs w:val="20"/>
          <w:lang w:val="bg-BG"/>
        </w:rPr>
        <w:t xml:space="preserve">февруари-август </w:t>
      </w:r>
      <w:r w:rsidRPr="001E2087">
        <w:rPr>
          <w:rFonts w:ascii="Verdana" w:hAnsi="Verdana"/>
          <w:sz w:val="20"/>
          <w:szCs w:val="20"/>
          <w:lang w:val="bg-BG"/>
        </w:rPr>
        <w:t xml:space="preserve">2014 г. от екип от експерти на партньор </w:t>
      </w:r>
      <w:proofErr w:type="spellStart"/>
      <w:r w:rsidRPr="001E2087">
        <w:rPr>
          <w:rFonts w:ascii="Verdana" w:hAnsi="Verdana"/>
          <w:sz w:val="20"/>
          <w:szCs w:val="20"/>
          <w:lang w:val="bg-BG"/>
        </w:rPr>
        <w:t>Екорис</w:t>
      </w:r>
      <w:proofErr w:type="spellEnd"/>
      <w:r w:rsidRPr="001E2087">
        <w:rPr>
          <w:rFonts w:ascii="Verdana" w:hAnsi="Verdana"/>
          <w:sz w:val="20"/>
          <w:szCs w:val="20"/>
          <w:lang w:val="bg-BG"/>
        </w:rPr>
        <w:t xml:space="preserve"> </w:t>
      </w:r>
      <w:proofErr w:type="spellStart"/>
      <w:r w:rsidRPr="001E2087">
        <w:rPr>
          <w:rFonts w:ascii="Verdana" w:hAnsi="Verdana"/>
          <w:sz w:val="20"/>
          <w:szCs w:val="20"/>
          <w:lang w:val="bg-BG"/>
        </w:rPr>
        <w:t>С</w:t>
      </w:r>
      <w:r>
        <w:rPr>
          <w:rFonts w:ascii="Verdana" w:hAnsi="Verdana"/>
          <w:sz w:val="20"/>
          <w:szCs w:val="20"/>
          <w:lang w:val="bg-BG"/>
        </w:rPr>
        <w:t>аут</w:t>
      </w:r>
      <w:proofErr w:type="spellEnd"/>
      <w:r>
        <w:rPr>
          <w:rFonts w:ascii="Verdana" w:hAnsi="Verdana"/>
          <w:sz w:val="20"/>
          <w:szCs w:val="20"/>
          <w:lang w:val="bg-BG"/>
        </w:rPr>
        <w:t xml:space="preserve"> </w:t>
      </w:r>
      <w:proofErr w:type="spellStart"/>
      <w:r>
        <w:rPr>
          <w:rFonts w:ascii="Verdana" w:hAnsi="Verdana"/>
          <w:sz w:val="20"/>
          <w:szCs w:val="20"/>
          <w:lang w:val="bg-BG"/>
        </w:rPr>
        <w:t>Ийст</w:t>
      </w:r>
      <w:proofErr w:type="spellEnd"/>
      <w:r>
        <w:rPr>
          <w:rFonts w:ascii="Verdana" w:hAnsi="Verdana"/>
          <w:sz w:val="20"/>
          <w:szCs w:val="20"/>
          <w:lang w:val="bg-BG"/>
        </w:rPr>
        <w:t xml:space="preserve"> </w:t>
      </w:r>
      <w:proofErr w:type="spellStart"/>
      <w:r>
        <w:rPr>
          <w:rFonts w:ascii="Verdana" w:hAnsi="Verdana"/>
          <w:sz w:val="20"/>
          <w:szCs w:val="20"/>
          <w:lang w:val="bg-BG"/>
        </w:rPr>
        <w:t>Юроп</w:t>
      </w:r>
      <w:proofErr w:type="spellEnd"/>
      <w:r>
        <w:rPr>
          <w:rFonts w:ascii="Verdana" w:hAnsi="Verdana"/>
          <w:sz w:val="20"/>
          <w:szCs w:val="20"/>
          <w:lang w:val="bg-BG"/>
        </w:rPr>
        <w:t xml:space="preserve"> ЕООД</w:t>
      </w:r>
      <w:r w:rsidRPr="001E2087">
        <w:rPr>
          <w:rFonts w:ascii="Verdana" w:hAnsi="Verdana"/>
          <w:sz w:val="20"/>
          <w:szCs w:val="20"/>
          <w:lang w:val="bg-BG"/>
        </w:rPr>
        <w:t xml:space="preserve">, съгласно договор с </w:t>
      </w:r>
      <w:r>
        <w:rPr>
          <w:rFonts w:ascii="Verdana" w:hAnsi="Verdana"/>
          <w:sz w:val="20"/>
          <w:szCs w:val="20"/>
          <w:lang w:val="bg-BG"/>
        </w:rPr>
        <w:t>Министерство на науката и образованието (МОН)</w:t>
      </w:r>
      <w:r w:rsidRPr="001E2087">
        <w:rPr>
          <w:rFonts w:ascii="Verdana" w:hAnsi="Verdana"/>
          <w:sz w:val="20"/>
          <w:szCs w:val="20"/>
          <w:lang w:val="bg-BG"/>
        </w:rPr>
        <w:t>.</w:t>
      </w:r>
    </w:p>
    <w:p w:rsidR="004E1162" w:rsidRPr="002638C5" w:rsidRDefault="004E1162" w:rsidP="004E1162">
      <w:pPr>
        <w:jc w:val="both"/>
        <w:rPr>
          <w:rFonts w:ascii="Verdana" w:hAnsi="Verdana"/>
          <w:sz w:val="20"/>
          <w:szCs w:val="20"/>
          <w:lang w:val="bg-BG"/>
        </w:rPr>
      </w:pPr>
      <w:r w:rsidRPr="002638C5">
        <w:rPr>
          <w:rFonts w:ascii="Verdana" w:hAnsi="Verdana"/>
          <w:sz w:val="20"/>
          <w:szCs w:val="20"/>
          <w:lang w:val="bg-BG"/>
        </w:rPr>
        <w:t xml:space="preserve">Настоящият доклад представлява заключителен доклад от оценката и отразява мнението и препоръките на </w:t>
      </w:r>
      <w:r>
        <w:rPr>
          <w:rFonts w:ascii="Verdana" w:hAnsi="Verdana"/>
          <w:sz w:val="20"/>
          <w:szCs w:val="20"/>
          <w:lang w:val="bg-BG"/>
        </w:rPr>
        <w:t>к</w:t>
      </w:r>
      <w:r w:rsidRPr="002638C5">
        <w:rPr>
          <w:rFonts w:ascii="Verdana" w:hAnsi="Verdana"/>
          <w:sz w:val="20"/>
          <w:szCs w:val="20"/>
          <w:lang w:val="bg-BG"/>
        </w:rPr>
        <w:t xml:space="preserve">онсултанта по последната предоставена версия на текста на </w:t>
      </w:r>
      <w:r>
        <w:rPr>
          <w:rFonts w:ascii="Verdana" w:hAnsi="Verdana"/>
          <w:sz w:val="20"/>
          <w:szCs w:val="20"/>
          <w:lang w:val="bg-BG"/>
        </w:rPr>
        <w:t>ОПНОИР</w:t>
      </w:r>
      <w:r w:rsidRPr="002638C5">
        <w:rPr>
          <w:rFonts w:ascii="Verdana" w:hAnsi="Verdana"/>
          <w:sz w:val="20"/>
          <w:szCs w:val="20"/>
          <w:lang w:val="bg-BG"/>
        </w:rPr>
        <w:t xml:space="preserve"> 2014-2020 г. </w:t>
      </w:r>
      <w:r w:rsidRPr="007C4372">
        <w:rPr>
          <w:rFonts w:ascii="Verdana" w:hAnsi="Verdana"/>
          <w:sz w:val="20"/>
          <w:szCs w:val="20"/>
          <w:lang w:val="bg-BG"/>
        </w:rPr>
        <w:t xml:space="preserve">от </w:t>
      </w:r>
      <w:r w:rsidRPr="007C4372">
        <w:rPr>
          <w:rFonts w:ascii="Verdana" w:hAnsi="Verdana"/>
          <w:sz w:val="20"/>
          <w:lang w:val="bg-BG"/>
        </w:rPr>
        <w:t>май 2014 г.</w:t>
      </w:r>
    </w:p>
    <w:p w:rsidR="004E1162" w:rsidRDefault="004E1162" w:rsidP="004E1162">
      <w:pPr>
        <w:jc w:val="both"/>
        <w:rPr>
          <w:rFonts w:ascii="Verdana" w:hAnsi="Verdana"/>
          <w:sz w:val="20"/>
          <w:szCs w:val="20"/>
          <w:lang w:val="bg-BG"/>
        </w:rPr>
      </w:pPr>
      <w:r>
        <w:rPr>
          <w:rFonts w:ascii="Verdana" w:hAnsi="Verdana"/>
          <w:sz w:val="20"/>
          <w:szCs w:val="20"/>
          <w:lang w:val="bg-BG"/>
        </w:rPr>
        <w:t>Анализите са структурирани съгласно заданието на възложителя и въпросите за оценка в следните глави/оценки:</w:t>
      </w:r>
    </w:p>
    <w:p w:rsidR="004E1162" w:rsidRPr="00DA71DD" w:rsidRDefault="004E1162" w:rsidP="006861B0">
      <w:pPr>
        <w:pStyle w:val="ListParagraph"/>
        <w:numPr>
          <w:ilvl w:val="0"/>
          <w:numId w:val="66"/>
        </w:numPr>
        <w:jc w:val="both"/>
        <w:rPr>
          <w:rFonts w:ascii="Verdana" w:hAnsi="Verdana"/>
          <w:sz w:val="20"/>
          <w:szCs w:val="20"/>
          <w:lang w:val="bg-BG"/>
        </w:rPr>
      </w:pPr>
      <w:r w:rsidRPr="00DA71DD">
        <w:rPr>
          <w:rFonts w:ascii="Verdana" w:hAnsi="Verdana"/>
          <w:sz w:val="20"/>
          <w:szCs w:val="20"/>
          <w:lang w:val="bg-BG"/>
        </w:rPr>
        <w:t>Оценка на външната съгласуваност</w:t>
      </w:r>
      <w:r>
        <w:rPr>
          <w:rFonts w:ascii="Verdana" w:hAnsi="Verdana"/>
          <w:sz w:val="20"/>
          <w:szCs w:val="20"/>
          <w:lang w:val="bg-BG"/>
        </w:rPr>
        <w:t>;</w:t>
      </w:r>
    </w:p>
    <w:p w:rsidR="004E1162" w:rsidRPr="00DA71DD" w:rsidRDefault="004E1162" w:rsidP="006861B0">
      <w:pPr>
        <w:pStyle w:val="ListParagraph"/>
        <w:numPr>
          <w:ilvl w:val="0"/>
          <w:numId w:val="66"/>
        </w:numPr>
        <w:jc w:val="both"/>
        <w:rPr>
          <w:rFonts w:ascii="Verdana" w:hAnsi="Verdana"/>
          <w:sz w:val="20"/>
          <w:szCs w:val="20"/>
          <w:lang w:val="bg-BG"/>
        </w:rPr>
      </w:pPr>
      <w:r w:rsidRPr="00DA71DD">
        <w:rPr>
          <w:rFonts w:ascii="Verdana" w:hAnsi="Verdana"/>
          <w:sz w:val="20"/>
          <w:szCs w:val="20"/>
          <w:lang w:val="bg-BG"/>
        </w:rPr>
        <w:t>Оценка на вътрешната съгласуваност</w:t>
      </w:r>
      <w:r>
        <w:rPr>
          <w:rFonts w:ascii="Verdana" w:hAnsi="Verdana"/>
          <w:sz w:val="20"/>
          <w:szCs w:val="20"/>
          <w:lang w:val="bg-BG"/>
        </w:rPr>
        <w:t>;</w:t>
      </w:r>
    </w:p>
    <w:p w:rsidR="00A62214" w:rsidRDefault="004E1162" w:rsidP="006861B0">
      <w:pPr>
        <w:pStyle w:val="ListParagraph"/>
        <w:numPr>
          <w:ilvl w:val="0"/>
          <w:numId w:val="66"/>
        </w:numPr>
        <w:jc w:val="both"/>
        <w:rPr>
          <w:rFonts w:ascii="Verdana" w:hAnsi="Verdana"/>
          <w:sz w:val="20"/>
          <w:szCs w:val="20"/>
          <w:lang w:val="bg-BG"/>
        </w:rPr>
      </w:pPr>
      <w:r w:rsidRPr="00DA71DD">
        <w:rPr>
          <w:rFonts w:ascii="Verdana" w:hAnsi="Verdana"/>
          <w:sz w:val="20"/>
          <w:szCs w:val="20"/>
          <w:lang w:val="bg-BG"/>
        </w:rPr>
        <w:t xml:space="preserve">Оценка на </w:t>
      </w:r>
      <w:r>
        <w:rPr>
          <w:rFonts w:ascii="Verdana" w:hAnsi="Verdana"/>
          <w:sz w:val="20"/>
          <w:szCs w:val="20"/>
          <w:lang w:val="bg-BG"/>
        </w:rPr>
        <w:t>системата от</w:t>
      </w:r>
      <w:r w:rsidRPr="00DA71DD">
        <w:rPr>
          <w:rFonts w:ascii="Verdana" w:hAnsi="Verdana"/>
          <w:sz w:val="20"/>
          <w:szCs w:val="20"/>
          <w:lang w:val="bg-BG"/>
        </w:rPr>
        <w:t xml:space="preserve"> индикатори</w:t>
      </w:r>
    </w:p>
    <w:p w:rsidR="004E1162" w:rsidRPr="00DA71DD" w:rsidRDefault="00A62214" w:rsidP="006861B0">
      <w:pPr>
        <w:pStyle w:val="ListParagraph"/>
        <w:numPr>
          <w:ilvl w:val="0"/>
          <w:numId w:val="66"/>
        </w:numPr>
        <w:jc w:val="both"/>
        <w:rPr>
          <w:rFonts w:ascii="Verdana" w:hAnsi="Verdana"/>
          <w:sz w:val="20"/>
          <w:szCs w:val="20"/>
          <w:lang w:val="bg-BG"/>
        </w:rPr>
      </w:pPr>
      <w:r>
        <w:rPr>
          <w:rFonts w:ascii="Verdana" w:hAnsi="Verdana"/>
          <w:sz w:val="20"/>
          <w:szCs w:val="20"/>
          <w:lang w:val="bg-BG"/>
        </w:rPr>
        <w:t>Оценка на</w:t>
      </w:r>
      <w:r w:rsidR="00032004">
        <w:rPr>
          <w:rFonts w:ascii="Verdana" w:hAnsi="Verdana"/>
          <w:sz w:val="20"/>
          <w:szCs w:val="20"/>
          <w:lang w:val="bg-BG"/>
        </w:rPr>
        <w:t xml:space="preserve"> бюджета на програмата</w:t>
      </w:r>
      <w:r w:rsidR="004E1162">
        <w:rPr>
          <w:rFonts w:ascii="Verdana" w:hAnsi="Verdana"/>
          <w:sz w:val="20"/>
          <w:szCs w:val="20"/>
          <w:lang w:val="bg-BG"/>
        </w:rPr>
        <w:t>;</w:t>
      </w:r>
    </w:p>
    <w:p w:rsidR="004E1162" w:rsidRPr="00DA71DD" w:rsidRDefault="004E1162" w:rsidP="006861B0">
      <w:pPr>
        <w:pStyle w:val="ListParagraph"/>
        <w:numPr>
          <w:ilvl w:val="0"/>
          <w:numId w:val="66"/>
        </w:numPr>
        <w:jc w:val="both"/>
        <w:rPr>
          <w:rFonts w:ascii="Verdana" w:hAnsi="Verdana"/>
          <w:sz w:val="20"/>
          <w:szCs w:val="20"/>
          <w:lang w:val="bg-BG"/>
        </w:rPr>
      </w:pPr>
      <w:r w:rsidRPr="00DA71DD">
        <w:rPr>
          <w:rFonts w:ascii="Verdana" w:hAnsi="Verdana"/>
          <w:sz w:val="20"/>
          <w:szCs w:val="20"/>
          <w:lang w:val="bg-BG"/>
        </w:rPr>
        <w:t>Оценка на административния капацитет</w:t>
      </w:r>
      <w:r w:rsidR="00032004">
        <w:rPr>
          <w:rFonts w:ascii="Verdana" w:hAnsi="Verdana"/>
          <w:sz w:val="20"/>
          <w:szCs w:val="20"/>
          <w:lang w:val="bg-BG"/>
        </w:rPr>
        <w:t>, управлението на програмата, наблюдението и оценката</w:t>
      </w:r>
      <w:r>
        <w:rPr>
          <w:rFonts w:ascii="Verdana" w:hAnsi="Verdana"/>
          <w:sz w:val="20"/>
          <w:szCs w:val="20"/>
          <w:lang w:val="bg-BG"/>
        </w:rPr>
        <w:t>.</w:t>
      </w:r>
    </w:p>
    <w:p w:rsidR="004E1162" w:rsidRDefault="004E1162" w:rsidP="004E1162">
      <w:pPr>
        <w:jc w:val="both"/>
        <w:rPr>
          <w:rFonts w:ascii="Verdana" w:hAnsi="Verdana"/>
          <w:sz w:val="20"/>
          <w:szCs w:val="20"/>
          <w:lang w:val="bg-BG"/>
        </w:rPr>
      </w:pPr>
      <w:r>
        <w:rPr>
          <w:rFonts w:ascii="Verdana" w:hAnsi="Verdana"/>
          <w:sz w:val="20"/>
          <w:szCs w:val="20"/>
          <w:lang w:val="bg-BG"/>
        </w:rPr>
        <w:t>Приложенията съдържат допълнителна информация относно използвани източници на информация (Приложение 1), проведени срещи и фокус групи (Приложение 2), проведени онлайн проучвания (Приложения 3 и 4),  логика на интервенция на програмата (Приложение 5) и фишове на индикаторите (Приложение 6).</w:t>
      </w:r>
    </w:p>
    <w:p w:rsidR="004E1162" w:rsidRDefault="004E1162" w:rsidP="004E1162">
      <w:pPr>
        <w:jc w:val="both"/>
        <w:rPr>
          <w:rFonts w:ascii="Verdana" w:hAnsi="Verdana"/>
          <w:sz w:val="20"/>
          <w:szCs w:val="20"/>
          <w:lang w:val="bg-BG"/>
        </w:rPr>
        <w:sectPr w:rsidR="004E1162" w:rsidSect="00C826F7">
          <w:pgSz w:w="11907" w:h="16839" w:code="9"/>
          <w:pgMar w:top="2128" w:right="1377" w:bottom="1440" w:left="1440" w:header="720" w:footer="252" w:gutter="0"/>
          <w:cols w:space="720"/>
          <w:docGrid w:linePitch="360"/>
        </w:sectPr>
      </w:pPr>
    </w:p>
    <w:p w:rsidR="004E1162" w:rsidRPr="00B45B4F" w:rsidRDefault="004E1162" w:rsidP="004E1162">
      <w:pPr>
        <w:pStyle w:val="Heading1"/>
        <w:shd w:val="clear" w:color="auto" w:fill="0063B8"/>
        <w:tabs>
          <w:tab w:val="num" w:pos="720"/>
        </w:tabs>
        <w:spacing w:before="120" w:after="120" w:line="276" w:lineRule="auto"/>
        <w:ind w:left="720" w:hanging="720"/>
        <w:rPr>
          <w:rFonts w:ascii="Verdana" w:hAnsi="Verdana"/>
          <w:b w:val="0"/>
          <w:caps/>
          <w:color w:val="FFFFFF"/>
          <w:lang w:val="bg-BG"/>
        </w:rPr>
      </w:pPr>
      <w:bookmarkStart w:id="29" w:name="_Toc395612508"/>
      <w:r w:rsidRPr="00B45B4F">
        <w:rPr>
          <w:rFonts w:ascii="Verdana" w:hAnsi="Verdana"/>
          <w:b w:val="0"/>
          <w:caps/>
          <w:color w:val="FFFFFF"/>
          <w:lang w:val="bg-BG"/>
        </w:rPr>
        <w:lastRenderedPageBreak/>
        <w:t>I</w:t>
      </w:r>
      <w:r>
        <w:rPr>
          <w:rFonts w:ascii="Verdana" w:hAnsi="Verdana"/>
          <w:b w:val="0"/>
          <w:caps/>
          <w:color w:val="FFFFFF"/>
          <w:lang w:val="en-US"/>
        </w:rPr>
        <w:t>I</w:t>
      </w:r>
      <w:r w:rsidRPr="00B45B4F">
        <w:rPr>
          <w:rFonts w:ascii="Verdana" w:hAnsi="Verdana"/>
          <w:b w:val="0"/>
          <w:caps/>
          <w:color w:val="FFFFFF"/>
          <w:lang w:val="bg-BG"/>
        </w:rPr>
        <w:t>.</w:t>
      </w:r>
      <w:r w:rsidRPr="00B45B4F">
        <w:rPr>
          <w:rFonts w:ascii="Verdana" w:hAnsi="Verdana"/>
          <w:b w:val="0"/>
          <w:caps/>
          <w:color w:val="FFFFFF"/>
          <w:lang w:val="bg-BG"/>
        </w:rPr>
        <w:tab/>
      </w:r>
      <w:r>
        <w:rPr>
          <w:rFonts w:ascii="Verdana" w:hAnsi="Verdana"/>
          <w:b w:val="0"/>
          <w:caps/>
          <w:color w:val="FFFFFF"/>
          <w:lang w:val="bg-BG"/>
        </w:rPr>
        <w:t>Цели и обхват на оценката</w:t>
      </w:r>
      <w:bookmarkEnd w:id="29"/>
    </w:p>
    <w:p w:rsidR="004E1162" w:rsidRDefault="004E1162" w:rsidP="007337F6">
      <w:pPr>
        <w:spacing w:after="0"/>
        <w:rPr>
          <w:rFonts w:ascii="Verdana" w:hAnsi="Verdana"/>
          <w:lang w:val="bg-BG"/>
        </w:rPr>
      </w:pPr>
    </w:p>
    <w:p w:rsidR="004E1162" w:rsidRPr="003820A6" w:rsidRDefault="004E1162" w:rsidP="006861B0">
      <w:pPr>
        <w:pStyle w:val="Heading2"/>
        <w:numPr>
          <w:ilvl w:val="0"/>
          <w:numId w:val="67"/>
        </w:numPr>
        <w:shd w:val="clear" w:color="auto" w:fill="FFCC99"/>
        <w:spacing w:line="276" w:lineRule="auto"/>
        <w:ind w:hanging="720"/>
        <w:rPr>
          <w:rFonts w:ascii="Verdana" w:hAnsi="Verdana"/>
          <w:i w:val="0"/>
          <w:iCs/>
          <w:color w:val="0063B8"/>
          <w:sz w:val="26"/>
          <w:szCs w:val="26"/>
          <w:lang w:val="bg-BG"/>
        </w:rPr>
      </w:pPr>
      <w:bookmarkStart w:id="30" w:name="_Toc395612509"/>
      <w:r>
        <w:rPr>
          <w:rFonts w:ascii="Verdana" w:hAnsi="Verdana"/>
          <w:i w:val="0"/>
          <w:iCs/>
          <w:color w:val="0063B8"/>
          <w:sz w:val="26"/>
          <w:szCs w:val="26"/>
          <w:lang w:val="bg-BG"/>
        </w:rPr>
        <w:t>Цели на оценката</w:t>
      </w:r>
      <w:bookmarkEnd w:id="30"/>
    </w:p>
    <w:p w:rsidR="004E1162" w:rsidRPr="00B45B4F" w:rsidRDefault="004E1162" w:rsidP="007337F6">
      <w:pPr>
        <w:spacing w:after="0"/>
        <w:rPr>
          <w:rFonts w:ascii="Verdana" w:hAnsi="Verdana"/>
          <w:lang w:val="bg-BG"/>
        </w:rPr>
      </w:pPr>
    </w:p>
    <w:p w:rsidR="00661189" w:rsidRPr="00B45B4F" w:rsidRDefault="00661189" w:rsidP="00661189">
      <w:pPr>
        <w:pStyle w:val="BodyText"/>
        <w:widowControl w:val="0"/>
        <w:tabs>
          <w:tab w:val="left" w:pos="0"/>
          <w:tab w:val="left" w:pos="1418"/>
          <w:tab w:val="right" w:pos="9214"/>
        </w:tabs>
        <w:spacing w:line="276" w:lineRule="auto"/>
        <w:jc w:val="both"/>
        <w:rPr>
          <w:rFonts w:ascii="Verdana" w:hAnsi="Verdana"/>
          <w:sz w:val="20"/>
          <w:szCs w:val="20"/>
        </w:rPr>
      </w:pPr>
      <w:r w:rsidRPr="00B45B4F">
        <w:rPr>
          <w:rFonts w:ascii="Verdana" w:hAnsi="Verdana"/>
          <w:sz w:val="20"/>
          <w:szCs w:val="20"/>
        </w:rPr>
        <w:t>Посочените в техническата спецификация на Възложителя цели на поръчката са следните:</w:t>
      </w:r>
    </w:p>
    <w:tbl>
      <w:tblPr>
        <w:tblW w:w="9090" w:type="dxa"/>
        <w:tblInd w:w="68" w:type="dxa"/>
        <w:tblBorders>
          <w:top w:val="single" w:sz="8" w:space="0" w:color="17365D"/>
          <w:left w:val="single" w:sz="8" w:space="0" w:color="17365D"/>
          <w:bottom w:val="single" w:sz="8" w:space="0" w:color="17365D"/>
          <w:right w:val="single" w:sz="8" w:space="0" w:color="17365D"/>
          <w:insideH w:val="single" w:sz="8" w:space="0" w:color="17365D"/>
          <w:insideV w:val="single" w:sz="8" w:space="0" w:color="17365D"/>
        </w:tblBorders>
        <w:tblCellMar>
          <w:left w:w="68" w:type="dxa"/>
          <w:right w:w="68" w:type="dxa"/>
        </w:tblCellMar>
        <w:tblLook w:val="01E0" w:firstRow="1" w:lastRow="1" w:firstColumn="1" w:lastColumn="1" w:noHBand="0" w:noVBand="0"/>
      </w:tblPr>
      <w:tblGrid>
        <w:gridCol w:w="1800"/>
        <w:gridCol w:w="7290"/>
      </w:tblGrid>
      <w:tr w:rsidR="00661189" w:rsidRPr="00B45B4F" w:rsidTr="004819AF">
        <w:tc>
          <w:tcPr>
            <w:tcW w:w="1800" w:type="dxa"/>
            <w:shd w:val="clear" w:color="auto" w:fill="548DD4" w:themeFill="text2" w:themeFillTint="99"/>
          </w:tcPr>
          <w:p w:rsidR="00661189" w:rsidRPr="00B45B4F" w:rsidRDefault="00661189" w:rsidP="00757B38">
            <w:pPr>
              <w:pStyle w:val="BodyText"/>
              <w:keepLines/>
              <w:tabs>
                <w:tab w:val="left" w:pos="553"/>
                <w:tab w:val="left" w:pos="1418"/>
                <w:tab w:val="left" w:pos="2093"/>
              </w:tabs>
              <w:spacing w:before="120" w:line="276" w:lineRule="auto"/>
              <w:rPr>
                <w:rFonts w:ascii="Verdana" w:hAnsi="Verdana"/>
                <w:b/>
                <w:color w:val="FFFFFF" w:themeColor="background1"/>
                <w:sz w:val="20"/>
                <w:szCs w:val="20"/>
                <w:lang w:eastAsia="en-US"/>
              </w:rPr>
            </w:pPr>
            <w:r w:rsidRPr="00B45B4F">
              <w:rPr>
                <w:rFonts w:ascii="Verdana" w:hAnsi="Verdana"/>
                <w:b/>
                <w:color w:val="FFFFFF" w:themeColor="background1"/>
                <w:sz w:val="20"/>
                <w:szCs w:val="20"/>
                <w:lang w:eastAsia="en-US"/>
              </w:rPr>
              <w:t xml:space="preserve">Основна цел </w:t>
            </w:r>
          </w:p>
        </w:tc>
        <w:tc>
          <w:tcPr>
            <w:tcW w:w="7290" w:type="dxa"/>
          </w:tcPr>
          <w:p w:rsidR="00661189" w:rsidRPr="00B45B4F" w:rsidRDefault="00661189" w:rsidP="007005A8">
            <w:pPr>
              <w:suppressAutoHyphens/>
              <w:spacing w:before="60" w:after="60"/>
              <w:jc w:val="both"/>
              <w:rPr>
                <w:rFonts w:ascii="Verdana" w:hAnsi="Verdana"/>
                <w:sz w:val="20"/>
                <w:szCs w:val="20"/>
                <w:lang w:val="bg-BG"/>
              </w:rPr>
            </w:pPr>
            <w:r w:rsidRPr="00B45B4F">
              <w:rPr>
                <w:rFonts w:ascii="Verdana" w:hAnsi="Verdana"/>
                <w:sz w:val="20"/>
                <w:szCs w:val="20"/>
                <w:lang w:val="bg-BG"/>
              </w:rPr>
              <w:t xml:space="preserve">Подкрепа и подобряване на качеството на процеса на програмиране на Оперативна програма „Наука и образование за интелигентен растеж“ (ОПНОИР) за периода 2014 – 2020, съгласно изискванията на предложението за Регламента за </w:t>
            </w:r>
            <w:proofErr w:type="spellStart"/>
            <w:r w:rsidRPr="00B45B4F">
              <w:rPr>
                <w:rFonts w:ascii="Verdana" w:hAnsi="Verdana"/>
                <w:sz w:val="20"/>
                <w:szCs w:val="20"/>
                <w:lang w:val="bg-BG"/>
              </w:rPr>
              <w:t>общоприложимите</w:t>
            </w:r>
            <w:proofErr w:type="spellEnd"/>
            <w:r w:rsidRPr="00B45B4F">
              <w:rPr>
                <w:rFonts w:ascii="Verdana" w:hAnsi="Verdana"/>
                <w:sz w:val="20"/>
                <w:szCs w:val="20"/>
                <w:lang w:val="bg-BG"/>
              </w:rPr>
              <w:t xml:space="preserve"> разпоредби за фондовете от общата стратегическа рамка</w:t>
            </w:r>
            <w:r w:rsidR="007005A8" w:rsidRPr="00B45B4F">
              <w:rPr>
                <w:rFonts w:ascii="Verdana" w:hAnsi="Verdana"/>
                <w:sz w:val="20"/>
                <w:szCs w:val="20"/>
                <w:lang w:val="bg-BG"/>
              </w:rPr>
              <w:t xml:space="preserve"> (Регламент (ЕС) № 1303/2013).</w:t>
            </w:r>
          </w:p>
        </w:tc>
      </w:tr>
      <w:tr w:rsidR="00661189" w:rsidRPr="00B45B4F" w:rsidTr="004819AF">
        <w:tc>
          <w:tcPr>
            <w:tcW w:w="1800" w:type="dxa"/>
            <w:shd w:val="clear" w:color="auto" w:fill="548DD4" w:themeFill="text2" w:themeFillTint="99"/>
          </w:tcPr>
          <w:p w:rsidR="00661189" w:rsidRPr="00B45B4F" w:rsidRDefault="00661189" w:rsidP="00757B38">
            <w:pPr>
              <w:pStyle w:val="BodyText"/>
              <w:keepLines/>
              <w:tabs>
                <w:tab w:val="left" w:pos="553"/>
                <w:tab w:val="left" w:pos="1418"/>
                <w:tab w:val="left" w:pos="2093"/>
              </w:tabs>
              <w:spacing w:before="120" w:line="276" w:lineRule="auto"/>
              <w:rPr>
                <w:rFonts w:ascii="Verdana" w:hAnsi="Verdana"/>
                <w:b/>
                <w:color w:val="FFFFFF" w:themeColor="background1"/>
                <w:sz w:val="20"/>
                <w:szCs w:val="20"/>
                <w:lang w:eastAsia="en-US"/>
              </w:rPr>
            </w:pPr>
            <w:r w:rsidRPr="00B45B4F">
              <w:rPr>
                <w:rFonts w:ascii="Verdana" w:hAnsi="Verdana"/>
                <w:b/>
                <w:color w:val="FFFFFF" w:themeColor="background1"/>
                <w:sz w:val="20"/>
                <w:szCs w:val="20"/>
                <w:lang w:eastAsia="en-US"/>
              </w:rPr>
              <w:t>Специфични цели</w:t>
            </w:r>
          </w:p>
        </w:tc>
        <w:tc>
          <w:tcPr>
            <w:tcW w:w="7290" w:type="dxa"/>
          </w:tcPr>
          <w:p w:rsidR="00661189" w:rsidRPr="00B45B4F" w:rsidRDefault="00661189" w:rsidP="00715510">
            <w:pPr>
              <w:pStyle w:val="BodyText"/>
              <w:keepLines/>
              <w:numPr>
                <w:ilvl w:val="0"/>
                <w:numId w:val="5"/>
              </w:numPr>
              <w:spacing w:line="276" w:lineRule="auto"/>
              <w:jc w:val="both"/>
              <w:rPr>
                <w:rFonts w:ascii="Verdana" w:hAnsi="Verdana"/>
                <w:sz w:val="20"/>
                <w:szCs w:val="20"/>
              </w:rPr>
            </w:pPr>
            <w:r w:rsidRPr="00B45B4F">
              <w:rPr>
                <w:rFonts w:ascii="Verdana" w:hAnsi="Verdana"/>
                <w:sz w:val="20"/>
                <w:szCs w:val="20"/>
              </w:rPr>
              <w:t>Осигуряване на ориентиран към резултатите, добре структуриран програмен документ</w:t>
            </w:r>
          </w:p>
          <w:p w:rsidR="00661189" w:rsidRPr="00B45B4F" w:rsidRDefault="00661189" w:rsidP="00715510">
            <w:pPr>
              <w:pStyle w:val="BodyText"/>
              <w:keepLines/>
              <w:numPr>
                <w:ilvl w:val="0"/>
                <w:numId w:val="5"/>
              </w:numPr>
              <w:spacing w:line="276" w:lineRule="auto"/>
              <w:jc w:val="both"/>
              <w:rPr>
                <w:rFonts w:ascii="Verdana" w:hAnsi="Verdana"/>
                <w:sz w:val="20"/>
                <w:szCs w:val="20"/>
              </w:rPr>
            </w:pPr>
            <w:r w:rsidRPr="00B45B4F">
              <w:rPr>
                <w:rFonts w:ascii="Verdana" w:hAnsi="Verdana"/>
                <w:sz w:val="20"/>
                <w:szCs w:val="20"/>
              </w:rPr>
              <w:t>Осигуряване на съответствието на стратегията и целите на ОПНОИР спрямо идентифицираните национални потребности</w:t>
            </w:r>
          </w:p>
          <w:p w:rsidR="00661189" w:rsidRPr="00B45B4F" w:rsidRDefault="00661189" w:rsidP="00715510">
            <w:pPr>
              <w:pStyle w:val="BodyText"/>
              <w:keepLines/>
              <w:numPr>
                <w:ilvl w:val="0"/>
                <w:numId w:val="5"/>
              </w:numPr>
              <w:spacing w:line="276" w:lineRule="auto"/>
              <w:jc w:val="both"/>
              <w:rPr>
                <w:rFonts w:ascii="Verdana" w:hAnsi="Verdana"/>
                <w:sz w:val="20"/>
                <w:szCs w:val="20"/>
              </w:rPr>
            </w:pPr>
            <w:r w:rsidRPr="00B45B4F">
              <w:rPr>
                <w:rFonts w:ascii="Verdana" w:hAnsi="Verdana"/>
                <w:sz w:val="20"/>
                <w:szCs w:val="20"/>
              </w:rPr>
              <w:t>Оценка на съгласуваността на ОПНОИР с другите национални и Европейски политики и инструменти</w:t>
            </w:r>
          </w:p>
          <w:p w:rsidR="00661189" w:rsidRPr="00B45B4F" w:rsidRDefault="00661189" w:rsidP="00715510">
            <w:pPr>
              <w:pStyle w:val="BodyText"/>
              <w:keepLines/>
              <w:numPr>
                <w:ilvl w:val="0"/>
                <w:numId w:val="5"/>
              </w:numPr>
              <w:spacing w:line="276" w:lineRule="auto"/>
              <w:jc w:val="both"/>
              <w:rPr>
                <w:rFonts w:ascii="Verdana" w:hAnsi="Verdana"/>
                <w:sz w:val="20"/>
                <w:szCs w:val="20"/>
              </w:rPr>
            </w:pPr>
            <w:r w:rsidRPr="00B45B4F">
              <w:rPr>
                <w:rFonts w:ascii="Verdana" w:hAnsi="Verdana"/>
                <w:sz w:val="20"/>
                <w:szCs w:val="20"/>
              </w:rPr>
              <w:t>Изследване на съотношението между очаквани резултати и наличния ресурс</w:t>
            </w:r>
          </w:p>
          <w:p w:rsidR="00661189" w:rsidRPr="00B45B4F" w:rsidRDefault="00661189" w:rsidP="00715510">
            <w:pPr>
              <w:pStyle w:val="BodyText"/>
              <w:keepLines/>
              <w:numPr>
                <w:ilvl w:val="0"/>
                <w:numId w:val="5"/>
              </w:numPr>
              <w:spacing w:line="276" w:lineRule="auto"/>
              <w:jc w:val="both"/>
              <w:rPr>
                <w:rFonts w:ascii="Verdana" w:hAnsi="Verdana"/>
                <w:sz w:val="20"/>
                <w:szCs w:val="20"/>
              </w:rPr>
            </w:pPr>
            <w:r w:rsidRPr="00B45B4F">
              <w:rPr>
                <w:rFonts w:ascii="Verdana" w:hAnsi="Verdana"/>
                <w:sz w:val="20"/>
                <w:szCs w:val="20"/>
              </w:rPr>
              <w:t>Формулиране на препоръки за подобряване качеството и дизайна на ОПНОИР</w:t>
            </w:r>
          </w:p>
          <w:p w:rsidR="00661189" w:rsidRPr="00B45B4F" w:rsidRDefault="00661189" w:rsidP="00715510">
            <w:pPr>
              <w:pStyle w:val="BodyText"/>
              <w:keepLines/>
              <w:numPr>
                <w:ilvl w:val="0"/>
                <w:numId w:val="5"/>
              </w:numPr>
              <w:spacing w:line="276" w:lineRule="auto"/>
              <w:jc w:val="both"/>
              <w:rPr>
                <w:rFonts w:ascii="Verdana" w:hAnsi="Verdana"/>
                <w:sz w:val="20"/>
                <w:szCs w:val="20"/>
              </w:rPr>
            </w:pPr>
            <w:r w:rsidRPr="00B45B4F">
              <w:rPr>
                <w:rFonts w:ascii="Verdana" w:hAnsi="Verdana"/>
                <w:sz w:val="20"/>
                <w:szCs w:val="20"/>
              </w:rPr>
              <w:t xml:space="preserve">Гарантиране на правилното прилагане на хоризонталните принципи на ЕС в областта на равните възможности, равен достъп, </w:t>
            </w:r>
            <w:proofErr w:type="spellStart"/>
            <w:r w:rsidRPr="00B45B4F">
              <w:rPr>
                <w:rFonts w:ascii="Verdana" w:hAnsi="Verdana"/>
                <w:sz w:val="20"/>
                <w:szCs w:val="20"/>
              </w:rPr>
              <w:t>недискриминация</w:t>
            </w:r>
            <w:proofErr w:type="spellEnd"/>
            <w:r w:rsidRPr="00B45B4F">
              <w:rPr>
                <w:rFonts w:ascii="Verdana" w:hAnsi="Verdana"/>
                <w:sz w:val="20"/>
                <w:szCs w:val="20"/>
              </w:rPr>
              <w:t>, устойчиво развитие в т.ч. изискванията, свързани с екологичната оценка на планове и програми.</w:t>
            </w:r>
          </w:p>
        </w:tc>
      </w:tr>
    </w:tbl>
    <w:p w:rsidR="00661189" w:rsidRPr="00B45B4F" w:rsidRDefault="00661189" w:rsidP="00661189">
      <w:pPr>
        <w:pStyle w:val="BodyText"/>
        <w:widowControl w:val="0"/>
        <w:tabs>
          <w:tab w:val="left" w:pos="0"/>
          <w:tab w:val="left" w:pos="1418"/>
          <w:tab w:val="right" w:pos="9214"/>
        </w:tabs>
        <w:spacing w:line="276" w:lineRule="auto"/>
        <w:jc w:val="both"/>
        <w:rPr>
          <w:rFonts w:ascii="Verdana" w:hAnsi="Verdana"/>
          <w:sz w:val="20"/>
          <w:szCs w:val="20"/>
        </w:rPr>
      </w:pPr>
    </w:p>
    <w:p w:rsidR="004E1162" w:rsidRDefault="004E1162" w:rsidP="004E1162">
      <w:pPr>
        <w:spacing w:before="120" w:after="120"/>
        <w:jc w:val="both"/>
        <w:rPr>
          <w:rFonts w:ascii="Verdana" w:hAnsi="Verdana"/>
          <w:sz w:val="20"/>
          <w:szCs w:val="20"/>
          <w:lang w:val="bg-BG"/>
        </w:rPr>
      </w:pPr>
      <w:r w:rsidRPr="00673EC1">
        <w:rPr>
          <w:rFonts w:ascii="Verdana" w:hAnsi="Verdana"/>
          <w:sz w:val="20"/>
          <w:szCs w:val="20"/>
          <w:lang w:val="bg-BG"/>
        </w:rPr>
        <w:t xml:space="preserve">Оценката </w:t>
      </w:r>
      <w:r>
        <w:rPr>
          <w:rFonts w:ascii="Verdana" w:hAnsi="Verdana"/>
          <w:sz w:val="20"/>
          <w:szCs w:val="20"/>
          <w:lang w:val="bg-BG"/>
        </w:rPr>
        <w:t xml:space="preserve">е проведена като </w:t>
      </w:r>
      <w:r w:rsidRPr="00673EC1">
        <w:rPr>
          <w:rFonts w:ascii="Verdana" w:hAnsi="Verdana"/>
          <w:sz w:val="20"/>
          <w:szCs w:val="20"/>
          <w:lang w:val="bg-BG"/>
        </w:rPr>
        <w:t xml:space="preserve">част от задължителните дейности по програмирането на </w:t>
      </w:r>
      <w:r>
        <w:rPr>
          <w:rFonts w:ascii="Verdana" w:hAnsi="Verdana"/>
          <w:sz w:val="20"/>
          <w:szCs w:val="20"/>
          <w:lang w:val="bg-BG"/>
        </w:rPr>
        <w:t>ОПНОИР 2014-2020 г. и представлява неразделен</w:t>
      </w:r>
      <w:r w:rsidRPr="00673EC1">
        <w:rPr>
          <w:rFonts w:ascii="Verdana" w:hAnsi="Verdana"/>
          <w:sz w:val="20"/>
          <w:szCs w:val="20"/>
          <w:lang w:val="bg-BG"/>
        </w:rPr>
        <w:t xml:space="preserve"> елемент от проекта </w:t>
      </w:r>
      <w:r>
        <w:rPr>
          <w:rFonts w:ascii="Verdana" w:hAnsi="Verdana"/>
          <w:sz w:val="20"/>
          <w:szCs w:val="20"/>
          <w:lang w:val="bg-BG"/>
        </w:rPr>
        <w:t>на</w:t>
      </w:r>
      <w:r w:rsidRPr="00673EC1">
        <w:rPr>
          <w:rFonts w:ascii="Verdana" w:hAnsi="Verdana"/>
          <w:sz w:val="20"/>
          <w:szCs w:val="20"/>
          <w:lang w:val="bg-BG"/>
        </w:rPr>
        <w:t xml:space="preserve"> оперативна</w:t>
      </w:r>
      <w:r>
        <w:rPr>
          <w:rFonts w:ascii="Verdana" w:hAnsi="Verdana"/>
          <w:sz w:val="20"/>
          <w:szCs w:val="20"/>
          <w:lang w:val="bg-BG"/>
        </w:rPr>
        <w:t>та</w:t>
      </w:r>
      <w:r w:rsidRPr="00673EC1">
        <w:rPr>
          <w:rFonts w:ascii="Verdana" w:hAnsi="Verdana"/>
          <w:sz w:val="20"/>
          <w:szCs w:val="20"/>
          <w:lang w:val="bg-BG"/>
        </w:rPr>
        <w:t xml:space="preserve"> програма</w:t>
      </w:r>
      <w:r>
        <w:rPr>
          <w:rFonts w:ascii="Verdana" w:hAnsi="Verdana"/>
          <w:sz w:val="20"/>
          <w:szCs w:val="20"/>
          <w:lang w:val="bg-BG"/>
        </w:rPr>
        <w:t>.</w:t>
      </w:r>
    </w:p>
    <w:p w:rsidR="004E1162" w:rsidRPr="003820A6" w:rsidRDefault="004E1162" w:rsidP="006861B0">
      <w:pPr>
        <w:pStyle w:val="Heading2"/>
        <w:numPr>
          <w:ilvl w:val="0"/>
          <w:numId w:val="67"/>
        </w:numPr>
        <w:shd w:val="clear" w:color="auto" w:fill="FFCC99"/>
        <w:spacing w:line="276" w:lineRule="auto"/>
        <w:ind w:hanging="720"/>
        <w:rPr>
          <w:rFonts w:ascii="Verdana" w:hAnsi="Verdana"/>
          <w:i w:val="0"/>
          <w:iCs/>
          <w:color w:val="0063B8"/>
          <w:sz w:val="26"/>
          <w:szCs w:val="26"/>
          <w:lang w:val="bg-BG"/>
        </w:rPr>
      </w:pPr>
      <w:bookmarkStart w:id="31" w:name="_Toc319072909"/>
      <w:bookmarkStart w:id="32" w:name="_Toc362617884"/>
      <w:bookmarkStart w:id="33" w:name="_Toc379372145"/>
      <w:bookmarkStart w:id="34" w:name="_Toc395612510"/>
      <w:r w:rsidRPr="003820A6">
        <w:rPr>
          <w:rFonts w:ascii="Verdana" w:hAnsi="Verdana"/>
          <w:i w:val="0"/>
          <w:iCs/>
          <w:color w:val="0063B8"/>
          <w:sz w:val="26"/>
          <w:szCs w:val="26"/>
          <w:lang w:val="bg-BG"/>
        </w:rPr>
        <w:t>Обхват на оценката</w:t>
      </w:r>
      <w:bookmarkEnd w:id="31"/>
      <w:r>
        <w:rPr>
          <w:rFonts w:ascii="Verdana" w:hAnsi="Verdana"/>
          <w:i w:val="0"/>
          <w:iCs/>
          <w:color w:val="0063B8"/>
          <w:sz w:val="26"/>
          <w:szCs w:val="26"/>
          <w:lang w:val="bg-BG"/>
        </w:rPr>
        <w:t xml:space="preserve"> и ключови въпроси</w:t>
      </w:r>
      <w:bookmarkEnd w:id="32"/>
      <w:bookmarkEnd w:id="33"/>
      <w:bookmarkEnd w:id="34"/>
    </w:p>
    <w:p w:rsidR="004E1162" w:rsidRDefault="004E1162" w:rsidP="004E1162">
      <w:pPr>
        <w:spacing w:before="120" w:after="120"/>
        <w:jc w:val="both"/>
        <w:rPr>
          <w:rFonts w:ascii="Verdana" w:hAnsi="Verdana"/>
          <w:sz w:val="20"/>
          <w:szCs w:val="20"/>
          <w:lang w:val="bg-BG"/>
        </w:rPr>
      </w:pPr>
    </w:p>
    <w:p w:rsidR="004E1162" w:rsidRPr="003820A6" w:rsidRDefault="004E1162" w:rsidP="004E1162">
      <w:pPr>
        <w:pStyle w:val="BodyText"/>
        <w:widowControl w:val="0"/>
        <w:tabs>
          <w:tab w:val="left" w:pos="0"/>
          <w:tab w:val="left" w:pos="1418"/>
          <w:tab w:val="right" w:pos="9214"/>
        </w:tabs>
        <w:spacing w:line="276" w:lineRule="auto"/>
        <w:jc w:val="both"/>
        <w:rPr>
          <w:rFonts w:ascii="Verdana" w:hAnsi="Verdana"/>
          <w:sz w:val="20"/>
          <w:szCs w:val="20"/>
        </w:rPr>
      </w:pPr>
      <w:r w:rsidRPr="003820A6">
        <w:rPr>
          <w:rFonts w:ascii="Verdana" w:hAnsi="Verdana"/>
          <w:sz w:val="20"/>
          <w:szCs w:val="20"/>
        </w:rPr>
        <w:t>За постигане на целите на поръ</w:t>
      </w:r>
      <w:r>
        <w:rPr>
          <w:rFonts w:ascii="Verdana" w:hAnsi="Verdana"/>
          <w:sz w:val="20"/>
          <w:szCs w:val="20"/>
        </w:rPr>
        <w:t>чката са изпъл</w:t>
      </w:r>
      <w:r w:rsidRPr="003820A6">
        <w:rPr>
          <w:rFonts w:ascii="Verdana" w:hAnsi="Verdana"/>
          <w:sz w:val="20"/>
          <w:szCs w:val="20"/>
        </w:rPr>
        <w:t>н</w:t>
      </w:r>
      <w:r>
        <w:rPr>
          <w:rFonts w:ascii="Verdana" w:hAnsi="Verdana"/>
          <w:sz w:val="20"/>
          <w:szCs w:val="20"/>
        </w:rPr>
        <w:t>е</w:t>
      </w:r>
      <w:r w:rsidRPr="003820A6">
        <w:rPr>
          <w:rFonts w:ascii="Verdana" w:hAnsi="Verdana"/>
          <w:sz w:val="20"/>
          <w:szCs w:val="20"/>
        </w:rPr>
        <w:t xml:space="preserve">ни специфични </w:t>
      </w:r>
      <w:r>
        <w:rPr>
          <w:rFonts w:ascii="Verdana" w:hAnsi="Verdana"/>
          <w:sz w:val="20"/>
          <w:szCs w:val="20"/>
        </w:rPr>
        <w:t>дейности</w:t>
      </w:r>
      <w:r w:rsidRPr="003820A6">
        <w:rPr>
          <w:rFonts w:ascii="Verdana" w:hAnsi="Verdana"/>
          <w:sz w:val="20"/>
          <w:szCs w:val="20"/>
        </w:rPr>
        <w:t xml:space="preserve">, които </w:t>
      </w:r>
      <w:r>
        <w:rPr>
          <w:rFonts w:ascii="Verdana" w:hAnsi="Verdana"/>
          <w:sz w:val="20"/>
          <w:szCs w:val="20"/>
        </w:rPr>
        <w:t>обхващат посочените на</w:t>
      </w:r>
      <w:r w:rsidRPr="003820A6">
        <w:rPr>
          <w:rFonts w:ascii="Verdana" w:hAnsi="Verdana"/>
          <w:sz w:val="20"/>
          <w:szCs w:val="20"/>
        </w:rPr>
        <w:t xml:space="preserve"> Фигура 1</w:t>
      </w:r>
      <w:r>
        <w:rPr>
          <w:rFonts w:ascii="Verdana" w:hAnsi="Verdana"/>
          <w:sz w:val="20"/>
          <w:szCs w:val="20"/>
        </w:rPr>
        <w:t xml:space="preserve"> групи от теми</w:t>
      </w:r>
      <w:r w:rsidRPr="003820A6">
        <w:rPr>
          <w:rFonts w:ascii="Verdana" w:hAnsi="Verdana"/>
          <w:sz w:val="20"/>
          <w:szCs w:val="20"/>
        </w:rPr>
        <w:t xml:space="preserve">. </w:t>
      </w:r>
    </w:p>
    <w:p w:rsidR="004E1162" w:rsidRDefault="004E1162" w:rsidP="004E1162">
      <w:pPr>
        <w:spacing w:before="120" w:after="120"/>
        <w:jc w:val="both"/>
        <w:rPr>
          <w:rFonts w:ascii="Verdana" w:hAnsi="Verdana"/>
          <w:sz w:val="20"/>
          <w:szCs w:val="20"/>
          <w:lang w:val="bg-BG"/>
        </w:rPr>
      </w:pPr>
    </w:p>
    <w:p w:rsidR="00D0039E" w:rsidRPr="00B45B4F" w:rsidRDefault="00303429" w:rsidP="000103C8">
      <w:pPr>
        <w:pStyle w:val="BodyText"/>
        <w:widowControl w:val="0"/>
        <w:tabs>
          <w:tab w:val="left" w:pos="0"/>
          <w:tab w:val="left" w:pos="1418"/>
          <w:tab w:val="right" w:pos="9214"/>
        </w:tabs>
        <w:spacing w:after="0"/>
        <w:rPr>
          <w:sz w:val="16"/>
          <w:szCs w:val="16"/>
        </w:rPr>
      </w:pPr>
      <w:r w:rsidRPr="00B45B4F">
        <w:object w:dxaOrig="15296" w:dyaOrig="115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75pt;height:352.5pt" o:ole="">
            <v:imagedata r:id="rId16" o:title=""/>
          </v:shape>
          <o:OLEObject Type="Embed" ProgID="Visio.Drawing.11" ShapeID="_x0000_i1025" DrawAspect="Content" ObjectID="_1469357520" r:id="rId17"/>
        </w:object>
      </w:r>
    </w:p>
    <w:p w:rsidR="00D0039E" w:rsidRPr="00B45B4F" w:rsidRDefault="00D0039E" w:rsidP="000103C8">
      <w:pPr>
        <w:pStyle w:val="Caption"/>
        <w:jc w:val="center"/>
        <w:rPr>
          <w:rFonts w:ascii="Verdana" w:hAnsi="Verdana"/>
          <w:color w:val="006CB6"/>
        </w:rPr>
      </w:pPr>
      <w:bookmarkStart w:id="35" w:name="_Toc352237163"/>
      <w:bookmarkStart w:id="36" w:name="_Toc395609455"/>
      <w:r w:rsidRPr="00B45B4F">
        <w:rPr>
          <w:rFonts w:ascii="Verdana" w:hAnsi="Verdana"/>
          <w:color w:val="006CB6"/>
        </w:rPr>
        <w:t xml:space="preserve">Фигура </w:t>
      </w:r>
      <w:r w:rsidR="00BF1936" w:rsidRPr="00B45B4F">
        <w:rPr>
          <w:rFonts w:ascii="Verdana" w:hAnsi="Verdana"/>
          <w:color w:val="006CB6"/>
        </w:rPr>
        <w:fldChar w:fldCharType="begin"/>
      </w:r>
      <w:r w:rsidRPr="00B45B4F">
        <w:rPr>
          <w:rFonts w:ascii="Verdana" w:hAnsi="Verdana"/>
          <w:color w:val="006CB6"/>
        </w:rPr>
        <w:instrText xml:space="preserve"> SEQ Фигура \* ARABIC </w:instrText>
      </w:r>
      <w:r w:rsidR="00BF1936" w:rsidRPr="00B45B4F">
        <w:rPr>
          <w:rFonts w:ascii="Verdana" w:hAnsi="Verdana"/>
          <w:color w:val="006CB6"/>
        </w:rPr>
        <w:fldChar w:fldCharType="separate"/>
      </w:r>
      <w:r w:rsidR="001361E0">
        <w:rPr>
          <w:rFonts w:ascii="Verdana" w:hAnsi="Verdana"/>
          <w:noProof/>
          <w:color w:val="006CB6"/>
        </w:rPr>
        <w:t>1</w:t>
      </w:r>
      <w:r w:rsidR="00BF1936" w:rsidRPr="00B45B4F">
        <w:rPr>
          <w:rFonts w:ascii="Verdana" w:hAnsi="Verdana"/>
          <w:color w:val="006CB6"/>
        </w:rPr>
        <w:fldChar w:fldCharType="end"/>
      </w:r>
      <w:r w:rsidRPr="00B45B4F">
        <w:rPr>
          <w:rFonts w:ascii="Verdana" w:hAnsi="Verdana"/>
          <w:color w:val="006CB6"/>
        </w:rPr>
        <w:t>: Дефиниране обхвата на оценката</w:t>
      </w:r>
      <w:bookmarkEnd w:id="35"/>
      <w:bookmarkEnd w:id="36"/>
    </w:p>
    <w:p w:rsidR="00AD18B1" w:rsidRPr="00B45B4F" w:rsidRDefault="00AD18B1" w:rsidP="00AD18B1">
      <w:pPr>
        <w:pStyle w:val="BodyText"/>
        <w:widowControl w:val="0"/>
        <w:tabs>
          <w:tab w:val="left" w:pos="0"/>
          <w:tab w:val="left" w:pos="1418"/>
          <w:tab w:val="right" w:pos="9214"/>
        </w:tabs>
        <w:spacing w:line="276" w:lineRule="auto"/>
        <w:jc w:val="both"/>
        <w:rPr>
          <w:rFonts w:ascii="Verdana" w:hAnsi="Verdana"/>
          <w:sz w:val="20"/>
          <w:szCs w:val="20"/>
        </w:rPr>
      </w:pPr>
    </w:p>
    <w:p w:rsidR="00757B38" w:rsidRPr="00B45B4F" w:rsidRDefault="00AD18B1" w:rsidP="00AD18B1">
      <w:pPr>
        <w:pStyle w:val="BodyText"/>
        <w:widowControl w:val="0"/>
        <w:tabs>
          <w:tab w:val="left" w:pos="0"/>
          <w:tab w:val="left" w:pos="1418"/>
          <w:tab w:val="right" w:pos="9214"/>
        </w:tabs>
        <w:spacing w:line="276" w:lineRule="auto"/>
        <w:jc w:val="both"/>
        <w:rPr>
          <w:rFonts w:ascii="Verdana" w:hAnsi="Verdana"/>
          <w:sz w:val="20"/>
          <w:szCs w:val="20"/>
        </w:rPr>
      </w:pPr>
      <w:r w:rsidRPr="00B45B4F">
        <w:rPr>
          <w:rFonts w:ascii="Verdana" w:hAnsi="Verdana"/>
          <w:sz w:val="20"/>
          <w:szCs w:val="20"/>
        </w:rPr>
        <w:t xml:space="preserve">Съответните групи от теми </w:t>
      </w:r>
      <w:r w:rsidR="00032004">
        <w:rPr>
          <w:rFonts w:ascii="Verdana" w:hAnsi="Verdana"/>
          <w:sz w:val="20"/>
          <w:szCs w:val="20"/>
        </w:rPr>
        <w:t xml:space="preserve">са </w:t>
      </w:r>
      <w:r w:rsidRPr="00B45B4F">
        <w:rPr>
          <w:rFonts w:ascii="Verdana" w:hAnsi="Verdana"/>
          <w:sz w:val="20"/>
          <w:szCs w:val="20"/>
        </w:rPr>
        <w:t xml:space="preserve">оценени посредством въпроси за оценка, дефинирани за всяка група. </w:t>
      </w:r>
      <w:r w:rsidR="00A807A4" w:rsidRPr="00B45B4F">
        <w:rPr>
          <w:rFonts w:ascii="Verdana" w:hAnsi="Verdana"/>
          <w:sz w:val="20"/>
          <w:szCs w:val="20"/>
        </w:rPr>
        <w:t xml:space="preserve">Таблицата по-долу </w:t>
      </w:r>
      <w:r w:rsidR="00757B38" w:rsidRPr="00B45B4F">
        <w:rPr>
          <w:rFonts w:ascii="Verdana" w:hAnsi="Verdana"/>
          <w:sz w:val="20"/>
          <w:szCs w:val="20"/>
        </w:rPr>
        <w:t>представя въпросите на оценката</w:t>
      </w:r>
      <w:r w:rsidR="00A807A4" w:rsidRPr="00B45B4F">
        <w:rPr>
          <w:rFonts w:ascii="Verdana" w:hAnsi="Verdana"/>
          <w:sz w:val="20"/>
          <w:szCs w:val="20"/>
        </w:rPr>
        <w:t>.</w:t>
      </w:r>
    </w:p>
    <w:tbl>
      <w:tblPr>
        <w:tblW w:w="9090" w:type="dxa"/>
        <w:tblInd w:w="108" w:type="dxa"/>
        <w:tblBorders>
          <w:top w:val="single" w:sz="8" w:space="0" w:color="17365D"/>
          <w:left w:val="single" w:sz="8" w:space="0" w:color="17365D"/>
          <w:bottom w:val="single" w:sz="8" w:space="0" w:color="17365D"/>
          <w:right w:val="single" w:sz="8" w:space="0" w:color="17365D"/>
          <w:insideH w:val="single" w:sz="8" w:space="0" w:color="17365D"/>
          <w:insideV w:val="single" w:sz="8" w:space="0" w:color="17365D"/>
        </w:tblBorders>
        <w:tblLook w:val="04A0" w:firstRow="1" w:lastRow="0" w:firstColumn="1" w:lastColumn="0" w:noHBand="0" w:noVBand="1"/>
      </w:tblPr>
      <w:tblGrid>
        <w:gridCol w:w="2430"/>
        <w:gridCol w:w="6660"/>
      </w:tblGrid>
      <w:tr w:rsidR="00757B38" w:rsidRPr="00B45B4F" w:rsidTr="004819AF">
        <w:tc>
          <w:tcPr>
            <w:tcW w:w="2430" w:type="dxa"/>
            <w:shd w:val="clear" w:color="auto" w:fill="548DD4" w:themeFill="text2" w:themeFillTint="99"/>
            <w:vAlign w:val="center"/>
          </w:tcPr>
          <w:p w:rsidR="00757B38" w:rsidRPr="00B45B4F" w:rsidRDefault="00757B38" w:rsidP="00C554D2">
            <w:pPr>
              <w:pStyle w:val="BodyText"/>
              <w:widowControl w:val="0"/>
              <w:tabs>
                <w:tab w:val="left" w:pos="1276"/>
                <w:tab w:val="left" w:pos="9356"/>
              </w:tabs>
              <w:spacing w:before="120" w:line="276" w:lineRule="auto"/>
              <w:jc w:val="center"/>
              <w:rPr>
                <w:rFonts w:ascii="Verdana" w:hAnsi="Verdana"/>
                <w:b/>
                <w:color w:val="FFFFFF"/>
                <w:sz w:val="20"/>
                <w:szCs w:val="20"/>
              </w:rPr>
            </w:pPr>
            <w:r w:rsidRPr="00B45B4F">
              <w:rPr>
                <w:rFonts w:ascii="Verdana" w:hAnsi="Verdana"/>
                <w:b/>
                <w:color w:val="FFFFFF"/>
                <w:sz w:val="20"/>
                <w:szCs w:val="20"/>
              </w:rPr>
              <w:t>Тематична област</w:t>
            </w:r>
          </w:p>
        </w:tc>
        <w:tc>
          <w:tcPr>
            <w:tcW w:w="6660" w:type="dxa"/>
            <w:shd w:val="clear" w:color="auto" w:fill="548DD4" w:themeFill="text2" w:themeFillTint="99"/>
            <w:vAlign w:val="center"/>
          </w:tcPr>
          <w:p w:rsidR="00757B38" w:rsidRPr="00B45B4F" w:rsidRDefault="00757B38" w:rsidP="00C554D2">
            <w:pPr>
              <w:pStyle w:val="BodyText"/>
              <w:widowControl w:val="0"/>
              <w:tabs>
                <w:tab w:val="left" w:pos="1276"/>
                <w:tab w:val="left" w:pos="9356"/>
              </w:tabs>
              <w:spacing w:before="120" w:line="276" w:lineRule="auto"/>
              <w:jc w:val="center"/>
              <w:rPr>
                <w:rFonts w:ascii="Verdana" w:hAnsi="Verdana"/>
                <w:b/>
                <w:color w:val="FFFFFF"/>
                <w:sz w:val="20"/>
                <w:szCs w:val="20"/>
              </w:rPr>
            </w:pPr>
            <w:r w:rsidRPr="00B45B4F">
              <w:rPr>
                <w:rFonts w:ascii="Verdana" w:hAnsi="Verdana"/>
                <w:b/>
                <w:color w:val="FFFFFF"/>
                <w:sz w:val="20"/>
                <w:szCs w:val="20"/>
              </w:rPr>
              <w:t>Ключови въпроси</w:t>
            </w:r>
          </w:p>
        </w:tc>
      </w:tr>
      <w:tr w:rsidR="00757B38" w:rsidRPr="00B45B4F" w:rsidTr="004819AF">
        <w:tc>
          <w:tcPr>
            <w:tcW w:w="2430" w:type="dxa"/>
            <w:shd w:val="clear" w:color="auto" w:fill="FDE9D9" w:themeFill="accent6" w:themeFillTint="33"/>
          </w:tcPr>
          <w:p w:rsidR="00757B38" w:rsidRPr="00B45B4F" w:rsidRDefault="00757B38" w:rsidP="00757B38">
            <w:pPr>
              <w:pStyle w:val="BodyText"/>
              <w:widowControl w:val="0"/>
              <w:tabs>
                <w:tab w:val="left" w:pos="1276"/>
                <w:tab w:val="left" w:pos="9356"/>
              </w:tabs>
              <w:spacing w:line="276" w:lineRule="auto"/>
              <w:ind w:right="4"/>
              <w:rPr>
                <w:rFonts w:ascii="Verdana" w:hAnsi="Verdana"/>
                <w:b/>
                <w:color w:val="548DD4"/>
                <w:sz w:val="20"/>
                <w:szCs w:val="20"/>
              </w:rPr>
            </w:pPr>
            <w:r w:rsidRPr="00B45B4F">
              <w:rPr>
                <w:rFonts w:ascii="Verdana" w:hAnsi="Verdana"/>
                <w:b/>
                <w:sz w:val="20"/>
                <w:szCs w:val="20"/>
              </w:rPr>
              <w:t>Анализ на външната съгласуваност на програмата</w:t>
            </w:r>
          </w:p>
        </w:tc>
        <w:tc>
          <w:tcPr>
            <w:tcW w:w="6660" w:type="dxa"/>
          </w:tcPr>
          <w:p w:rsidR="00757B38" w:rsidRPr="00B45B4F" w:rsidRDefault="00757B38" w:rsidP="00715510">
            <w:pPr>
              <w:pStyle w:val="ListParagraph"/>
              <w:numPr>
                <w:ilvl w:val="0"/>
                <w:numId w:val="7"/>
              </w:numPr>
              <w:autoSpaceDE w:val="0"/>
              <w:autoSpaceDN w:val="0"/>
              <w:adjustRightInd w:val="0"/>
              <w:spacing w:after="120" w:line="240" w:lineRule="auto"/>
              <w:ind w:left="473"/>
              <w:rPr>
                <w:rFonts w:ascii="Verdana" w:hAnsi="Verdana" w:cs="TimesNewRomanPSMT"/>
                <w:sz w:val="20"/>
                <w:szCs w:val="20"/>
                <w:lang w:val="bg-BG" w:eastAsia="bg-BG"/>
              </w:rPr>
            </w:pPr>
            <w:r w:rsidRPr="00B45B4F">
              <w:rPr>
                <w:rFonts w:ascii="Verdana" w:hAnsi="Verdana"/>
                <w:sz w:val="20"/>
                <w:szCs w:val="20"/>
                <w:lang w:val="bg-BG"/>
              </w:rPr>
              <w:t xml:space="preserve">Съгласуваност с Европейската стратегическа рамка - </w:t>
            </w:r>
            <w:r w:rsidRPr="00B45B4F">
              <w:rPr>
                <w:rFonts w:ascii="Verdana" w:hAnsi="Verdana" w:cs="TimesNewRomanPSMT"/>
                <w:sz w:val="20"/>
                <w:szCs w:val="20"/>
                <w:lang w:val="bg-BG" w:eastAsia="bg-BG"/>
              </w:rPr>
              <w:t>Принос към стратегията на Съюза за интелигентен, устойчив и приобщаващ растеж.</w:t>
            </w:r>
          </w:p>
          <w:p w:rsidR="00757B38" w:rsidRPr="00B45B4F" w:rsidRDefault="00757B38" w:rsidP="00715510">
            <w:pPr>
              <w:numPr>
                <w:ilvl w:val="0"/>
                <w:numId w:val="7"/>
              </w:numPr>
              <w:suppressAutoHyphens/>
              <w:spacing w:before="60" w:after="60" w:line="240" w:lineRule="auto"/>
              <w:ind w:left="473"/>
              <w:jc w:val="both"/>
              <w:rPr>
                <w:rFonts w:ascii="Verdana" w:hAnsi="Verdana"/>
                <w:sz w:val="20"/>
                <w:szCs w:val="20"/>
                <w:lang w:val="bg-BG"/>
              </w:rPr>
            </w:pPr>
            <w:r w:rsidRPr="00B45B4F">
              <w:rPr>
                <w:rFonts w:ascii="Verdana" w:hAnsi="Verdana"/>
                <w:sz w:val="20"/>
                <w:szCs w:val="20"/>
                <w:lang w:val="bg-BG"/>
              </w:rPr>
              <w:t xml:space="preserve">Съгласуваност с Националната стратегическа рамка - </w:t>
            </w:r>
            <w:r w:rsidRPr="00B45B4F">
              <w:rPr>
                <w:rFonts w:ascii="Verdana" w:hAnsi="Verdana" w:cs="TimesNewRomanPSMT"/>
                <w:sz w:val="20"/>
                <w:szCs w:val="20"/>
                <w:lang w:val="bg-BG" w:eastAsia="bg-BG"/>
              </w:rPr>
              <w:t>Национална програма за развитие България 2020, Националната програма за реформи.</w:t>
            </w:r>
          </w:p>
          <w:p w:rsidR="00757B38" w:rsidRPr="00B45B4F" w:rsidRDefault="00757B38" w:rsidP="00715510">
            <w:pPr>
              <w:numPr>
                <w:ilvl w:val="0"/>
                <w:numId w:val="7"/>
              </w:numPr>
              <w:suppressAutoHyphens/>
              <w:spacing w:before="60" w:after="60" w:line="240" w:lineRule="auto"/>
              <w:ind w:left="473"/>
              <w:jc w:val="both"/>
              <w:rPr>
                <w:rFonts w:ascii="Verdana" w:hAnsi="Verdana"/>
                <w:sz w:val="20"/>
                <w:szCs w:val="20"/>
                <w:lang w:val="bg-BG"/>
              </w:rPr>
            </w:pPr>
            <w:r w:rsidRPr="00B45B4F">
              <w:rPr>
                <w:rFonts w:ascii="Verdana" w:hAnsi="Verdana"/>
                <w:sz w:val="20"/>
                <w:szCs w:val="20"/>
                <w:lang w:val="bg-BG"/>
              </w:rPr>
              <w:t>Съгласуваност с Европейската нормативна рамка;</w:t>
            </w:r>
          </w:p>
          <w:p w:rsidR="00757B38" w:rsidRPr="00B45B4F" w:rsidRDefault="00757B38" w:rsidP="00715510">
            <w:pPr>
              <w:numPr>
                <w:ilvl w:val="0"/>
                <w:numId w:val="7"/>
              </w:numPr>
              <w:suppressAutoHyphens/>
              <w:spacing w:before="60" w:after="60" w:line="240" w:lineRule="auto"/>
              <w:ind w:left="473"/>
              <w:jc w:val="both"/>
              <w:rPr>
                <w:rFonts w:ascii="Verdana" w:hAnsi="Verdana"/>
                <w:sz w:val="20"/>
                <w:szCs w:val="20"/>
                <w:lang w:val="bg-BG"/>
              </w:rPr>
            </w:pPr>
            <w:r w:rsidRPr="00B45B4F">
              <w:rPr>
                <w:rFonts w:ascii="Verdana" w:hAnsi="Verdana"/>
                <w:sz w:val="20"/>
                <w:szCs w:val="20"/>
                <w:lang w:val="bg-BG"/>
              </w:rPr>
              <w:t>Съгласуваност с Националната нормативна рамка;</w:t>
            </w:r>
          </w:p>
          <w:p w:rsidR="00757B38" w:rsidRPr="00B45B4F" w:rsidRDefault="00757B38" w:rsidP="00715510">
            <w:pPr>
              <w:numPr>
                <w:ilvl w:val="0"/>
                <w:numId w:val="7"/>
              </w:numPr>
              <w:suppressAutoHyphens/>
              <w:spacing w:before="60" w:after="60" w:line="240" w:lineRule="auto"/>
              <w:ind w:left="473"/>
              <w:jc w:val="both"/>
              <w:rPr>
                <w:rFonts w:ascii="Verdana" w:hAnsi="Verdana"/>
                <w:sz w:val="20"/>
                <w:szCs w:val="20"/>
                <w:lang w:val="bg-BG"/>
              </w:rPr>
            </w:pPr>
            <w:r w:rsidRPr="00B45B4F">
              <w:rPr>
                <w:rFonts w:ascii="Verdana" w:hAnsi="Verdana"/>
                <w:sz w:val="20"/>
                <w:szCs w:val="20"/>
                <w:lang w:val="bg-BG"/>
              </w:rPr>
              <w:t>Съгласуваност с други оперативни програми;</w:t>
            </w:r>
          </w:p>
          <w:p w:rsidR="00757B38" w:rsidRPr="00B45B4F" w:rsidRDefault="00757B38" w:rsidP="00715510">
            <w:pPr>
              <w:numPr>
                <w:ilvl w:val="0"/>
                <w:numId w:val="7"/>
              </w:numPr>
              <w:suppressAutoHyphens/>
              <w:spacing w:before="60" w:after="60" w:line="240" w:lineRule="auto"/>
              <w:ind w:left="473"/>
              <w:jc w:val="both"/>
              <w:rPr>
                <w:rFonts w:ascii="Verdana" w:hAnsi="Verdana"/>
                <w:sz w:val="20"/>
                <w:szCs w:val="20"/>
                <w:lang w:val="bg-BG"/>
              </w:rPr>
            </w:pPr>
            <w:r w:rsidRPr="00B45B4F">
              <w:rPr>
                <w:rFonts w:ascii="Verdana" w:hAnsi="Verdana"/>
                <w:sz w:val="20"/>
                <w:szCs w:val="20"/>
                <w:lang w:val="bg-BG"/>
              </w:rPr>
              <w:t>Съгласуваност с други секторни програми;</w:t>
            </w:r>
          </w:p>
          <w:p w:rsidR="00757B38" w:rsidRPr="00B45B4F" w:rsidRDefault="00757B38" w:rsidP="00715510">
            <w:pPr>
              <w:numPr>
                <w:ilvl w:val="0"/>
                <w:numId w:val="7"/>
              </w:numPr>
              <w:suppressAutoHyphens/>
              <w:spacing w:before="60" w:after="60" w:line="240" w:lineRule="auto"/>
              <w:ind w:left="473"/>
              <w:jc w:val="both"/>
              <w:rPr>
                <w:rFonts w:ascii="Verdana" w:hAnsi="Verdana"/>
                <w:sz w:val="20"/>
                <w:szCs w:val="20"/>
                <w:lang w:val="bg-BG"/>
              </w:rPr>
            </w:pPr>
            <w:r w:rsidRPr="00B45B4F">
              <w:rPr>
                <w:rFonts w:ascii="Verdana" w:hAnsi="Verdana"/>
                <w:sz w:val="20"/>
                <w:szCs w:val="20"/>
                <w:lang w:val="bg-BG"/>
              </w:rPr>
              <w:t>Съгласуваност с</w:t>
            </w:r>
            <w:r w:rsidR="007C4372">
              <w:rPr>
                <w:rFonts w:ascii="Verdana" w:hAnsi="Verdana"/>
                <w:sz w:val="20"/>
                <w:szCs w:val="20"/>
                <w:lang w:val="bg-BG"/>
              </w:rPr>
              <w:t>ъс Споразумението</w:t>
            </w:r>
            <w:r w:rsidRPr="00B45B4F">
              <w:rPr>
                <w:rFonts w:ascii="Verdana" w:hAnsi="Verdana"/>
                <w:sz w:val="20"/>
                <w:szCs w:val="20"/>
                <w:lang w:val="bg-BG"/>
              </w:rPr>
              <w:t xml:space="preserve"> за партньорство.</w:t>
            </w:r>
          </w:p>
          <w:p w:rsidR="00757B38" w:rsidRPr="00B45B4F" w:rsidRDefault="00757B38" w:rsidP="00715510">
            <w:pPr>
              <w:numPr>
                <w:ilvl w:val="0"/>
                <w:numId w:val="7"/>
              </w:numPr>
              <w:suppressAutoHyphens/>
              <w:spacing w:before="60" w:after="60" w:line="240" w:lineRule="auto"/>
              <w:ind w:left="473"/>
              <w:jc w:val="both"/>
              <w:rPr>
                <w:rFonts w:ascii="Verdana" w:hAnsi="Verdana"/>
                <w:i/>
                <w:color w:val="4F81BD"/>
                <w:sz w:val="20"/>
                <w:szCs w:val="20"/>
                <w:lang w:val="bg-BG"/>
              </w:rPr>
            </w:pPr>
            <w:r w:rsidRPr="00B45B4F">
              <w:rPr>
                <w:rFonts w:ascii="Verdana" w:hAnsi="Verdana"/>
                <w:sz w:val="20"/>
                <w:szCs w:val="20"/>
                <w:lang w:val="bg-BG"/>
              </w:rPr>
              <w:t>Изпълнение на предварителните условия, заложени в приложение 4 към Общия регламент за фондовете по Общата стратегическа рамка (ОСР)</w:t>
            </w:r>
            <w:r w:rsidR="00303429" w:rsidRPr="00B45B4F">
              <w:rPr>
                <w:rFonts w:ascii="Verdana" w:hAnsi="Verdana"/>
                <w:sz w:val="20"/>
                <w:szCs w:val="20"/>
                <w:lang w:val="bg-BG"/>
              </w:rPr>
              <w:t>;</w:t>
            </w:r>
          </w:p>
        </w:tc>
      </w:tr>
      <w:tr w:rsidR="00757B38" w:rsidRPr="00B45B4F" w:rsidTr="004819AF">
        <w:tc>
          <w:tcPr>
            <w:tcW w:w="2430" w:type="dxa"/>
            <w:shd w:val="clear" w:color="auto" w:fill="FDE9D9" w:themeFill="accent6" w:themeFillTint="33"/>
          </w:tcPr>
          <w:p w:rsidR="00757B38" w:rsidRPr="00B45B4F" w:rsidRDefault="00757B38" w:rsidP="00303429">
            <w:pPr>
              <w:pStyle w:val="BodyText"/>
              <w:widowControl w:val="0"/>
              <w:tabs>
                <w:tab w:val="left" w:pos="1276"/>
                <w:tab w:val="left" w:pos="9356"/>
              </w:tabs>
              <w:spacing w:after="0" w:line="276" w:lineRule="auto"/>
              <w:ind w:right="4"/>
              <w:rPr>
                <w:rFonts w:ascii="Verdana" w:hAnsi="Verdana"/>
                <w:b/>
                <w:color w:val="548DD4"/>
                <w:sz w:val="20"/>
                <w:szCs w:val="20"/>
              </w:rPr>
            </w:pPr>
            <w:r w:rsidRPr="00B45B4F">
              <w:rPr>
                <w:rFonts w:ascii="Verdana" w:hAnsi="Verdana"/>
                <w:b/>
                <w:bCs/>
                <w:sz w:val="20"/>
                <w:szCs w:val="20"/>
              </w:rPr>
              <w:lastRenderedPageBreak/>
              <w:t>Анализ на вътрешната съгласуваност на програмата</w:t>
            </w:r>
          </w:p>
        </w:tc>
        <w:tc>
          <w:tcPr>
            <w:tcW w:w="6660" w:type="dxa"/>
          </w:tcPr>
          <w:p w:rsidR="00757B38" w:rsidRPr="00B45B4F" w:rsidRDefault="00757B38" w:rsidP="00715510">
            <w:pPr>
              <w:pStyle w:val="ListParagraph"/>
              <w:numPr>
                <w:ilvl w:val="0"/>
                <w:numId w:val="7"/>
              </w:numPr>
              <w:autoSpaceDE w:val="0"/>
              <w:autoSpaceDN w:val="0"/>
              <w:adjustRightInd w:val="0"/>
              <w:spacing w:after="120" w:line="240" w:lineRule="auto"/>
              <w:ind w:left="473"/>
              <w:rPr>
                <w:rFonts w:ascii="Verdana" w:hAnsi="Verdana"/>
                <w:sz w:val="20"/>
                <w:szCs w:val="20"/>
                <w:lang w:val="bg-BG"/>
              </w:rPr>
            </w:pPr>
            <w:r w:rsidRPr="00B45B4F">
              <w:rPr>
                <w:rFonts w:ascii="Verdana" w:hAnsi="Verdana"/>
                <w:sz w:val="20"/>
                <w:szCs w:val="20"/>
                <w:lang w:val="bg-BG"/>
              </w:rPr>
              <w:t>Уместност на стратегията на ОПНОИР;</w:t>
            </w:r>
          </w:p>
          <w:p w:rsidR="00757B38" w:rsidRPr="00B45B4F" w:rsidRDefault="00757B38" w:rsidP="00715510">
            <w:pPr>
              <w:pStyle w:val="ListParagraph"/>
              <w:numPr>
                <w:ilvl w:val="0"/>
                <w:numId w:val="7"/>
              </w:numPr>
              <w:autoSpaceDE w:val="0"/>
              <w:autoSpaceDN w:val="0"/>
              <w:adjustRightInd w:val="0"/>
              <w:spacing w:after="120" w:line="240" w:lineRule="auto"/>
              <w:ind w:left="473"/>
              <w:rPr>
                <w:rFonts w:ascii="Verdana" w:hAnsi="Verdana"/>
                <w:sz w:val="20"/>
                <w:szCs w:val="20"/>
                <w:lang w:val="bg-BG"/>
              </w:rPr>
            </w:pPr>
            <w:r w:rsidRPr="00B45B4F">
              <w:rPr>
                <w:rFonts w:ascii="Verdana" w:hAnsi="Verdana"/>
                <w:sz w:val="20"/>
                <w:szCs w:val="20"/>
                <w:lang w:val="bg-BG"/>
              </w:rPr>
              <w:t>Уместност на предложените форми за подкрепа;</w:t>
            </w:r>
          </w:p>
          <w:p w:rsidR="00757B38" w:rsidRPr="00B45B4F" w:rsidRDefault="00757B38" w:rsidP="00715510">
            <w:pPr>
              <w:pStyle w:val="ListParagraph"/>
              <w:numPr>
                <w:ilvl w:val="0"/>
                <w:numId w:val="7"/>
              </w:numPr>
              <w:autoSpaceDE w:val="0"/>
              <w:autoSpaceDN w:val="0"/>
              <w:adjustRightInd w:val="0"/>
              <w:spacing w:after="120" w:line="240" w:lineRule="auto"/>
              <w:ind w:left="473"/>
              <w:rPr>
                <w:rFonts w:ascii="Verdana" w:hAnsi="Verdana"/>
                <w:sz w:val="20"/>
                <w:szCs w:val="20"/>
                <w:lang w:val="bg-BG"/>
              </w:rPr>
            </w:pPr>
            <w:r w:rsidRPr="00B45B4F">
              <w:rPr>
                <w:rFonts w:ascii="Verdana" w:hAnsi="Verdana"/>
                <w:sz w:val="20"/>
                <w:szCs w:val="20"/>
                <w:lang w:val="bg-BG"/>
              </w:rPr>
              <w:t>Адекватност на мерките, заложени в програмата и степента, в която ще допринесат за постигане на целите й;</w:t>
            </w:r>
          </w:p>
          <w:p w:rsidR="00757B38" w:rsidRPr="00B45B4F" w:rsidRDefault="00757B38" w:rsidP="00715510">
            <w:pPr>
              <w:pStyle w:val="ListParagraph"/>
              <w:numPr>
                <w:ilvl w:val="0"/>
                <w:numId w:val="7"/>
              </w:numPr>
              <w:autoSpaceDE w:val="0"/>
              <w:autoSpaceDN w:val="0"/>
              <w:adjustRightInd w:val="0"/>
              <w:spacing w:after="120" w:line="240" w:lineRule="auto"/>
              <w:ind w:left="473"/>
              <w:rPr>
                <w:rFonts w:ascii="Verdana" w:hAnsi="Verdana"/>
                <w:sz w:val="20"/>
                <w:szCs w:val="20"/>
                <w:lang w:val="bg-BG"/>
              </w:rPr>
            </w:pPr>
            <w:r w:rsidRPr="00B45B4F">
              <w:rPr>
                <w:rFonts w:ascii="Verdana" w:hAnsi="Verdana"/>
                <w:sz w:val="20"/>
                <w:szCs w:val="20"/>
                <w:lang w:val="bg-BG"/>
              </w:rPr>
              <w:t>Адекватност на определените допустими бенефициенти и целеви групи;</w:t>
            </w:r>
          </w:p>
          <w:p w:rsidR="00757B38" w:rsidRPr="00B45B4F" w:rsidRDefault="00757B38" w:rsidP="00715510">
            <w:pPr>
              <w:pStyle w:val="ListParagraph"/>
              <w:numPr>
                <w:ilvl w:val="0"/>
                <w:numId w:val="7"/>
              </w:numPr>
              <w:autoSpaceDE w:val="0"/>
              <w:autoSpaceDN w:val="0"/>
              <w:adjustRightInd w:val="0"/>
              <w:spacing w:after="120" w:line="240" w:lineRule="auto"/>
              <w:ind w:left="473"/>
              <w:rPr>
                <w:rFonts w:ascii="Verdana" w:hAnsi="Verdana" w:cs="TimesNewRomanPSMT"/>
                <w:i/>
                <w:color w:val="4F81BD"/>
                <w:sz w:val="20"/>
                <w:szCs w:val="20"/>
                <w:lang w:val="bg-BG" w:eastAsia="bg-BG"/>
              </w:rPr>
            </w:pPr>
            <w:r w:rsidRPr="00B45B4F">
              <w:rPr>
                <w:rFonts w:ascii="Verdana" w:hAnsi="Verdana"/>
                <w:sz w:val="20"/>
                <w:szCs w:val="20"/>
                <w:lang w:val="bg-BG"/>
              </w:rPr>
              <w:t>Оценка на интегрирането на хоризонталните принципи</w:t>
            </w:r>
            <w:r w:rsidR="00303429" w:rsidRPr="00B45B4F">
              <w:rPr>
                <w:rFonts w:ascii="Verdana" w:hAnsi="Verdana"/>
                <w:sz w:val="20"/>
                <w:szCs w:val="20"/>
                <w:lang w:val="bg-BG"/>
              </w:rPr>
              <w:t>.</w:t>
            </w:r>
          </w:p>
        </w:tc>
      </w:tr>
      <w:tr w:rsidR="00757B38" w:rsidRPr="00B45B4F" w:rsidTr="004819AF">
        <w:tc>
          <w:tcPr>
            <w:tcW w:w="2430" w:type="dxa"/>
            <w:shd w:val="clear" w:color="auto" w:fill="FDE9D9" w:themeFill="accent6" w:themeFillTint="33"/>
          </w:tcPr>
          <w:p w:rsidR="00757B38" w:rsidRPr="00B45B4F" w:rsidRDefault="00757B38" w:rsidP="00303429">
            <w:pPr>
              <w:autoSpaceDE w:val="0"/>
              <w:autoSpaceDN w:val="0"/>
              <w:adjustRightInd w:val="0"/>
              <w:spacing w:after="0"/>
              <w:rPr>
                <w:rFonts w:ascii="Verdana" w:hAnsi="Verdana"/>
                <w:b/>
                <w:bCs/>
                <w:sz w:val="20"/>
                <w:szCs w:val="20"/>
                <w:lang w:val="bg-BG"/>
              </w:rPr>
            </w:pPr>
            <w:r w:rsidRPr="00B45B4F">
              <w:rPr>
                <w:rFonts w:ascii="Verdana" w:hAnsi="Verdana"/>
                <w:b/>
                <w:bCs/>
                <w:sz w:val="20"/>
                <w:szCs w:val="20"/>
                <w:lang w:val="bg-BG"/>
              </w:rPr>
              <w:t xml:space="preserve">Анализ на системата от индикатори и бюджета на програмата </w:t>
            </w:r>
          </w:p>
        </w:tc>
        <w:tc>
          <w:tcPr>
            <w:tcW w:w="6660" w:type="dxa"/>
          </w:tcPr>
          <w:p w:rsidR="00757B38" w:rsidRPr="00B45B4F" w:rsidRDefault="00757B38" w:rsidP="00715510">
            <w:pPr>
              <w:pStyle w:val="ListParagraph"/>
              <w:numPr>
                <w:ilvl w:val="0"/>
                <w:numId w:val="7"/>
              </w:numPr>
              <w:autoSpaceDE w:val="0"/>
              <w:autoSpaceDN w:val="0"/>
              <w:adjustRightInd w:val="0"/>
              <w:spacing w:after="120" w:line="240" w:lineRule="auto"/>
              <w:ind w:left="473"/>
              <w:rPr>
                <w:rFonts w:ascii="Verdana" w:hAnsi="Verdana"/>
                <w:sz w:val="20"/>
                <w:szCs w:val="20"/>
                <w:lang w:val="bg-BG"/>
              </w:rPr>
            </w:pPr>
            <w:r w:rsidRPr="00B45B4F">
              <w:rPr>
                <w:rFonts w:ascii="Verdana" w:hAnsi="Verdana"/>
                <w:sz w:val="20"/>
                <w:szCs w:val="20"/>
                <w:lang w:val="bg-BG"/>
              </w:rPr>
              <w:t>Оценка на уместността и яснот</w:t>
            </w:r>
            <w:r w:rsidR="00303429" w:rsidRPr="00B45B4F">
              <w:rPr>
                <w:rFonts w:ascii="Verdana" w:hAnsi="Verdana"/>
                <w:sz w:val="20"/>
                <w:szCs w:val="20"/>
                <w:lang w:val="bg-BG"/>
              </w:rPr>
              <w:t>ата на системата от индикатори;</w:t>
            </w:r>
          </w:p>
          <w:p w:rsidR="00757B38" w:rsidRPr="00B45B4F" w:rsidRDefault="00757B38" w:rsidP="00715510">
            <w:pPr>
              <w:pStyle w:val="ListParagraph"/>
              <w:numPr>
                <w:ilvl w:val="0"/>
                <w:numId w:val="7"/>
              </w:numPr>
              <w:autoSpaceDE w:val="0"/>
              <w:autoSpaceDN w:val="0"/>
              <w:adjustRightInd w:val="0"/>
              <w:spacing w:after="120" w:line="240" w:lineRule="auto"/>
              <w:ind w:left="473"/>
              <w:rPr>
                <w:rFonts w:ascii="Verdana" w:hAnsi="Verdana"/>
                <w:sz w:val="20"/>
                <w:szCs w:val="20"/>
                <w:lang w:val="bg-BG"/>
              </w:rPr>
            </w:pPr>
            <w:r w:rsidRPr="00B45B4F">
              <w:rPr>
                <w:rFonts w:ascii="Verdana" w:hAnsi="Verdana"/>
                <w:sz w:val="20"/>
                <w:szCs w:val="20"/>
                <w:lang w:val="bg-BG"/>
              </w:rPr>
              <w:t>Оценка на реалистичността при количественото изразяване на базовите и целе</w:t>
            </w:r>
            <w:r w:rsidR="00303429" w:rsidRPr="00B45B4F">
              <w:rPr>
                <w:rFonts w:ascii="Verdana" w:hAnsi="Verdana"/>
                <w:sz w:val="20"/>
                <w:szCs w:val="20"/>
                <w:lang w:val="bg-BG"/>
              </w:rPr>
              <w:t>вите стойности на индикаторите;</w:t>
            </w:r>
          </w:p>
          <w:p w:rsidR="00757B38" w:rsidRPr="00B45B4F" w:rsidRDefault="00757B38" w:rsidP="00715510">
            <w:pPr>
              <w:pStyle w:val="ListParagraph"/>
              <w:numPr>
                <w:ilvl w:val="0"/>
                <w:numId w:val="7"/>
              </w:numPr>
              <w:autoSpaceDE w:val="0"/>
              <w:autoSpaceDN w:val="0"/>
              <w:adjustRightInd w:val="0"/>
              <w:spacing w:after="120" w:line="240" w:lineRule="auto"/>
              <w:ind w:left="473"/>
              <w:rPr>
                <w:rFonts w:ascii="Verdana" w:hAnsi="Verdana"/>
                <w:sz w:val="20"/>
                <w:szCs w:val="20"/>
                <w:lang w:val="bg-BG"/>
              </w:rPr>
            </w:pPr>
            <w:r w:rsidRPr="00B45B4F">
              <w:rPr>
                <w:rFonts w:ascii="Verdana" w:hAnsi="Verdana"/>
                <w:sz w:val="20"/>
                <w:szCs w:val="20"/>
                <w:lang w:val="bg-BG"/>
              </w:rPr>
              <w:t xml:space="preserve">Уместност на дефинираните </w:t>
            </w:r>
            <w:r w:rsidR="00303429" w:rsidRPr="00B45B4F">
              <w:rPr>
                <w:rFonts w:ascii="Verdana" w:hAnsi="Verdana"/>
                <w:sz w:val="20"/>
                <w:szCs w:val="20"/>
                <w:lang w:val="bg-BG"/>
              </w:rPr>
              <w:t>етапни цели;</w:t>
            </w:r>
          </w:p>
          <w:p w:rsidR="00303429" w:rsidRPr="00B45B4F" w:rsidRDefault="00757B38" w:rsidP="00715510">
            <w:pPr>
              <w:pStyle w:val="ListParagraph"/>
              <w:numPr>
                <w:ilvl w:val="0"/>
                <w:numId w:val="7"/>
              </w:numPr>
              <w:autoSpaceDE w:val="0"/>
              <w:autoSpaceDN w:val="0"/>
              <w:adjustRightInd w:val="0"/>
              <w:spacing w:after="120" w:line="240" w:lineRule="auto"/>
              <w:ind w:left="473"/>
              <w:rPr>
                <w:rFonts w:ascii="Verdana" w:hAnsi="Verdana"/>
                <w:sz w:val="20"/>
                <w:szCs w:val="20"/>
                <w:lang w:val="bg-BG"/>
              </w:rPr>
            </w:pPr>
            <w:r w:rsidRPr="00B45B4F">
              <w:rPr>
                <w:rFonts w:ascii="Verdana" w:hAnsi="Verdana"/>
                <w:sz w:val="20"/>
                <w:szCs w:val="20"/>
                <w:lang w:val="bg-BG"/>
              </w:rPr>
              <w:t>Оценка на бюджета на програмата</w:t>
            </w:r>
            <w:r w:rsidR="00303429" w:rsidRPr="00B45B4F">
              <w:rPr>
                <w:rFonts w:ascii="Verdana" w:hAnsi="Verdana"/>
                <w:sz w:val="20"/>
                <w:szCs w:val="20"/>
                <w:lang w:val="bg-BG"/>
              </w:rPr>
              <w:t>:</w:t>
            </w:r>
          </w:p>
          <w:p w:rsidR="00757B38" w:rsidRPr="00B45B4F" w:rsidRDefault="00757B38" w:rsidP="00715510">
            <w:pPr>
              <w:numPr>
                <w:ilvl w:val="0"/>
                <w:numId w:val="6"/>
              </w:numPr>
              <w:tabs>
                <w:tab w:val="left" w:pos="875"/>
              </w:tabs>
              <w:spacing w:before="120" w:after="120" w:line="240" w:lineRule="auto"/>
              <w:ind w:left="875"/>
              <w:jc w:val="both"/>
              <w:rPr>
                <w:rFonts w:ascii="Verdana" w:hAnsi="Verdana"/>
                <w:sz w:val="20"/>
                <w:szCs w:val="20"/>
                <w:lang w:val="bg-BG"/>
              </w:rPr>
            </w:pPr>
            <w:r w:rsidRPr="00B45B4F">
              <w:rPr>
                <w:rFonts w:ascii="Verdana" w:hAnsi="Verdana"/>
                <w:sz w:val="20"/>
                <w:szCs w:val="20"/>
                <w:lang w:val="bg-BG"/>
              </w:rPr>
              <w:t>Последователност и обоснованост на разпределението на бюджетните средства спрямо целите на програмата;</w:t>
            </w:r>
          </w:p>
          <w:p w:rsidR="00757B38" w:rsidRPr="00B45B4F" w:rsidRDefault="00757B38" w:rsidP="00715510">
            <w:pPr>
              <w:numPr>
                <w:ilvl w:val="0"/>
                <w:numId w:val="6"/>
              </w:numPr>
              <w:tabs>
                <w:tab w:val="left" w:pos="875"/>
              </w:tabs>
              <w:spacing w:before="120" w:after="120" w:line="240" w:lineRule="auto"/>
              <w:ind w:left="875"/>
              <w:jc w:val="both"/>
              <w:rPr>
                <w:rFonts w:ascii="Verdana" w:hAnsi="Verdana"/>
                <w:sz w:val="20"/>
                <w:szCs w:val="20"/>
                <w:lang w:val="bg-BG"/>
              </w:rPr>
            </w:pPr>
            <w:r w:rsidRPr="00B45B4F">
              <w:rPr>
                <w:rFonts w:ascii="Verdana" w:hAnsi="Verdana"/>
                <w:sz w:val="20"/>
                <w:szCs w:val="20"/>
                <w:lang w:val="bg-BG"/>
              </w:rPr>
              <w:t>Последователност и обоснованост на разпределението на бюджетните средства спрямо изискванията на регламентите (интегриран подход, фокусиране на интервенциите, финансов инженеринг и др.);</w:t>
            </w:r>
          </w:p>
          <w:p w:rsidR="00757B38" w:rsidRPr="00B45B4F" w:rsidRDefault="00757B38" w:rsidP="00715510">
            <w:pPr>
              <w:numPr>
                <w:ilvl w:val="0"/>
                <w:numId w:val="6"/>
              </w:numPr>
              <w:tabs>
                <w:tab w:val="left" w:pos="875"/>
              </w:tabs>
              <w:spacing w:before="120" w:after="120" w:line="240" w:lineRule="auto"/>
              <w:ind w:left="875"/>
              <w:jc w:val="both"/>
              <w:rPr>
                <w:rFonts w:ascii="Verdana" w:hAnsi="Verdana"/>
                <w:sz w:val="20"/>
                <w:szCs w:val="20"/>
                <w:lang w:val="bg-BG"/>
              </w:rPr>
            </w:pPr>
            <w:r w:rsidRPr="00B45B4F">
              <w:rPr>
                <w:rFonts w:ascii="Verdana" w:hAnsi="Verdana"/>
                <w:sz w:val="20"/>
                <w:szCs w:val="20"/>
                <w:lang w:val="bg-BG"/>
              </w:rPr>
              <w:t>Анализ на степента, в която средствата са насочени директно към идентифицираните в социално-икономическия анализ потребности и предизвикателства;</w:t>
            </w:r>
          </w:p>
          <w:p w:rsidR="00757B38" w:rsidRPr="00B45B4F" w:rsidRDefault="00757B38" w:rsidP="00715510">
            <w:pPr>
              <w:numPr>
                <w:ilvl w:val="0"/>
                <w:numId w:val="6"/>
              </w:numPr>
              <w:tabs>
                <w:tab w:val="left" w:pos="875"/>
              </w:tabs>
              <w:spacing w:before="120" w:after="120" w:line="240" w:lineRule="auto"/>
              <w:ind w:left="875"/>
              <w:jc w:val="both"/>
              <w:rPr>
                <w:rFonts w:ascii="Verdana" w:hAnsi="Verdana"/>
                <w:sz w:val="20"/>
                <w:szCs w:val="20"/>
                <w:lang w:val="bg-BG"/>
              </w:rPr>
            </w:pPr>
            <w:r w:rsidRPr="00B45B4F">
              <w:rPr>
                <w:rFonts w:ascii="Verdana" w:hAnsi="Verdana"/>
                <w:sz w:val="20"/>
                <w:szCs w:val="20"/>
                <w:lang w:val="bg-BG"/>
              </w:rPr>
              <w:t>Анализ на дела от финансовия ресурс, насочен към области със стратегическо значение.</w:t>
            </w:r>
          </w:p>
        </w:tc>
      </w:tr>
      <w:tr w:rsidR="00757B38" w:rsidRPr="00B45B4F" w:rsidTr="004819AF">
        <w:tc>
          <w:tcPr>
            <w:tcW w:w="2430" w:type="dxa"/>
            <w:shd w:val="clear" w:color="auto" w:fill="FDE9D9" w:themeFill="accent6" w:themeFillTint="33"/>
          </w:tcPr>
          <w:p w:rsidR="00757B38" w:rsidRPr="00B45B4F" w:rsidRDefault="00757B38" w:rsidP="00303429">
            <w:pPr>
              <w:autoSpaceDE w:val="0"/>
              <w:autoSpaceDN w:val="0"/>
              <w:adjustRightInd w:val="0"/>
              <w:spacing w:after="0"/>
              <w:rPr>
                <w:rFonts w:ascii="Verdana" w:hAnsi="Verdana"/>
                <w:b/>
                <w:bCs/>
                <w:noProof/>
                <w:sz w:val="20"/>
                <w:szCs w:val="20"/>
                <w:lang w:val="bg-BG"/>
              </w:rPr>
            </w:pPr>
            <w:r w:rsidRPr="00B45B4F">
              <w:rPr>
                <w:rFonts w:ascii="Verdana" w:hAnsi="Verdana"/>
                <w:b/>
                <w:bCs/>
                <w:noProof/>
                <w:sz w:val="20"/>
                <w:szCs w:val="20"/>
                <w:lang w:val="bg-BG"/>
              </w:rPr>
              <w:t>Анализ на административния капацитет, управлението на програмата, наблюдението и оценката</w:t>
            </w:r>
          </w:p>
        </w:tc>
        <w:tc>
          <w:tcPr>
            <w:tcW w:w="6660" w:type="dxa"/>
          </w:tcPr>
          <w:p w:rsidR="00757B38" w:rsidRPr="00B45B4F" w:rsidRDefault="00757B38" w:rsidP="00715510">
            <w:pPr>
              <w:pStyle w:val="ListParagraph"/>
              <w:numPr>
                <w:ilvl w:val="0"/>
                <w:numId w:val="7"/>
              </w:numPr>
              <w:autoSpaceDE w:val="0"/>
              <w:autoSpaceDN w:val="0"/>
              <w:adjustRightInd w:val="0"/>
              <w:spacing w:after="120" w:line="240" w:lineRule="auto"/>
              <w:ind w:left="473"/>
              <w:rPr>
                <w:rFonts w:ascii="Verdana" w:hAnsi="Verdana"/>
                <w:sz w:val="20"/>
                <w:szCs w:val="20"/>
                <w:lang w:val="bg-BG"/>
              </w:rPr>
            </w:pPr>
            <w:r w:rsidRPr="00B45B4F">
              <w:rPr>
                <w:rFonts w:ascii="Verdana" w:hAnsi="Verdana"/>
                <w:sz w:val="20"/>
                <w:szCs w:val="20"/>
                <w:lang w:val="bg-BG"/>
              </w:rPr>
              <w:t>Адекватност на структурата за управление;</w:t>
            </w:r>
          </w:p>
          <w:p w:rsidR="00757B38" w:rsidRPr="00B45B4F" w:rsidRDefault="00757B38" w:rsidP="00715510">
            <w:pPr>
              <w:pStyle w:val="ListParagraph"/>
              <w:numPr>
                <w:ilvl w:val="0"/>
                <w:numId w:val="7"/>
              </w:numPr>
              <w:autoSpaceDE w:val="0"/>
              <w:autoSpaceDN w:val="0"/>
              <w:adjustRightInd w:val="0"/>
              <w:spacing w:after="120" w:line="240" w:lineRule="auto"/>
              <w:ind w:left="473"/>
              <w:rPr>
                <w:rFonts w:ascii="Verdana" w:hAnsi="Verdana"/>
                <w:sz w:val="20"/>
                <w:szCs w:val="20"/>
                <w:lang w:val="bg-BG"/>
              </w:rPr>
            </w:pPr>
            <w:r w:rsidRPr="00B45B4F">
              <w:rPr>
                <w:rFonts w:ascii="Verdana" w:hAnsi="Verdana"/>
                <w:sz w:val="20"/>
                <w:szCs w:val="20"/>
                <w:lang w:val="bg-BG"/>
              </w:rPr>
              <w:t>Адекватност на човешките ресурси и на административния капацитет за управление на програмата;</w:t>
            </w:r>
          </w:p>
          <w:p w:rsidR="00757B38" w:rsidRPr="00B45B4F" w:rsidRDefault="00757B38" w:rsidP="00715510">
            <w:pPr>
              <w:pStyle w:val="ListParagraph"/>
              <w:numPr>
                <w:ilvl w:val="0"/>
                <w:numId w:val="7"/>
              </w:numPr>
              <w:autoSpaceDE w:val="0"/>
              <w:autoSpaceDN w:val="0"/>
              <w:adjustRightInd w:val="0"/>
              <w:spacing w:after="120" w:line="240" w:lineRule="auto"/>
              <w:ind w:left="473"/>
              <w:rPr>
                <w:rFonts w:ascii="Verdana" w:hAnsi="Verdana"/>
                <w:sz w:val="20"/>
                <w:szCs w:val="20"/>
                <w:lang w:val="bg-BG"/>
              </w:rPr>
            </w:pPr>
            <w:r w:rsidRPr="00B45B4F">
              <w:rPr>
                <w:rFonts w:ascii="Verdana" w:hAnsi="Verdana"/>
                <w:sz w:val="20"/>
                <w:szCs w:val="20"/>
                <w:lang w:val="bg-BG"/>
              </w:rPr>
              <w:t>Капацитет на бенефициентите на програмата и предвидените мерки за неговото укрепване;</w:t>
            </w:r>
          </w:p>
          <w:p w:rsidR="00757B38" w:rsidRPr="00B45B4F" w:rsidRDefault="00757B38" w:rsidP="00715510">
            <w:pPr>
              <w:pStyle w:val="ListParagraph"/>
              <w:numPr>
                <w:ilvl w:val="0"/>
                <w:numId w:val="7"/>
              </w:numPr>
              <w:autoSpaceDE w:val="0"/>
              <w:autoSpaceDN w:val="0"/>
              <w:adjustRightInd w:val="0"/>
              <w:spacing w:after="120" w:line="240" w:lineRule="auto"/>
              <w:ind w:left="473"/>
              <w:rPr>
                <w:rFonts w:ascii="Verdana" w:hAnsi="Verdana"/>
                <w:sz w:val="20"/>
                <w:szCs w:val="20"/>
                <w:lang w:val="bg-BG"/>
              </w:rPr>
            </w:pPr>
            <w:r w:rsidRPr="00B45B4F">
              <w:rPr>
                <w:rFonts w:ascii="Verdana" w:hAnsi="Verdana"/>
                <w:sz w:val="20"/>
                <w:szCs w:val="20"/>
                <w:lang w:val="bg-BG"/>
              </w:rPr>
              <w:t>Пригодност на етапните цели от гледна точка на административния капацитет (като се направи връзка с анализа на заложените етапни цели);</w:t>
            </w:r>
          </w:p>
          <w:p w:rsidR="00757B38" w:rsidRPr="00B45B4F" w:rsidRDefault="00757B38" w:rsidP="00715510">
            <w:pPr>
              <w:pStyle w:val="ListParagraph"/>
              <w:numPr>
                <w:ilvl w:val="0"/>
                <w:numId w:val="7"/>
              </w:numPr>
              <w:autoSpaceDE w:val="0"/>
              <w:autoSpaceDN w:val="0"/>
              <w:adjustRightInd w:val="0"/>
              <w:spacing w:after="120" w:line="240" w:lineRule="auto"/>
              <w:ind w:left="473"/>
              <w:rPr>
                <w:rFonts w:ascii="Verdana" w:hAnsi="Verdana"/>
                <w:sz w:val="20"/>
                <w:szCs w:val="20"/>
                <w:lang w:val="bg-BG"/>
              </w:rPr>
            </w:pPr>
            <w:r w:rsidRPr="00B45B4F">
              <w:rPr>
                <w:rFonts w:ascii="Verdana" w:hAnsi="Verdana"/>
                <w:sz w:val="20"/>
                <w:szCs w:val="20"/>
                <w:lang w:val="bg-BG"/>
              </w:rPr>
              <w:t>Пригодност на процедурите за управление, мониторинг и оценка на програмата и за събирането на да</w:t>
            </w:r>
            <w:r w:rsidR="00303429" w:rsidRPr="00B45B4F">
              <w:rPr>
                <w:rFonts w:ascii="Verdana" w:hAnsi="Verdana"/>
                <w:sz w:val="20"/>
                <w:szCs w:val="20"/>
                <w:lang w:val="bg-BG"/>
              </w:rPr>
              <w:t>нни за изпълнение на програмата;</w:t>
            </w:r>
          </w:p>
          <w:p w:rsidR="00757B38" w:rsidRPr="00B45B4F" w:rsidRDefault="00757B38" w:rsidP="00715510">
            <w:pPr>
              <w:pStyle w:val="ListParagraph"/>
              <w:numPr>
                <w:ilvl w:val="0"/>
                <w:numId w:val="7"/>
              </w:numPr>
              <w:autoSpaceDE w:val="0"/>
              <w:autoSpaceDN w:val="0"/>
              <w:adjustRightInd w:val="0"/>
              <w:spacing w:after="120" w:line="240" w:lineRule="auto"/>
              <w:ind w:left="473"/>
              <w:rPr>
                <w:rFonts w:ascii="Verdana" w:hAnsi="Verdana"/>
                <w:sz w:val="20"/>
                <w:szCs w:val="20"/>
                <w:lang w:val="bg-BG"/>
              </w:rPr>
            </w:pPr>
            <w:r w:rsidRPr="00B45B4F">
              <w:rPr>
                <w:rFonts w:ascii="Verdana" w:hAnsi="Verdana"/>
                <w:sz w:val="20"/>
                <w:szCs w:val="20"/>
                <w:lang w:val="bg-BG"/>
              </w:rPr>
              <w:t>Адекватност на Плана за оценка и формулиране на препоръки (при необходимост).</w:t>
            </w:r>
          </w:p>
        </w:tc>
      </w:tr>
    </w:tbl>
    <w:p w:rsidR="00A807A4" w:rsidRPr="00B45B4F" w:rsidRDefault="00A807A4" w:rsidP="00AD18B1">
      <w:pPr>
        <w:pStyle w:val="BodyText"/>
        <w:widowControl w:val="0"/>
        <w:tabs>
          <w:tab w:val="left" w:pos="0"/>
          <w:tab w:val="left" w:pos="1418"/>
          <w:tab w:val="right" w:pos="9214"/>
        </w:tabs>
        <w:spacing w:line="276" w:lineRule="auto"/>
        <w:jc w:val="both"/>
        <w:rPr>
          <w:rFonts w:ascii="Verdana" w:hAnsi="Verdana"/>
          <w:sz w:val="20"/>
          <w:szCs w:val="20"/>
        </w:rPr>
      </w:pPr>
    </w:p>
    <w:p w:rsidR="00A807A4" w:rsidRPr="00B45B4F" w:rsidRDefault="00A807A4" w:rsidP="00A807A4">
      <w:pPr>
        <w:spacing w:after="120"/>
        <w:jc w:val="both"/>
        <w:rPr>
          <w:rFonts w:ascii="Verdana" w:hAnsi="Verdana"/>
          <w:sz w:val="20"/>
          <w:szCs w:val="20"/>
          <w:lang w:val="bg-BG"/>
        </w:rPr>
        <w:sectPr w:rsidR="00A807A4" w:rsidRPr="00B45B4F" w:rsidSect="00C826F7">
          <w:pgSz w:w="11907" w:h="16839" w:code="9"/>
          <w:pgMar w:top="2128" w:right="1377" w:bottom="1440" w:left="1440" w:header="720" w:footer="252" w:gutter="0"/>
          <w:cols w:space="720"/>
          <w:docGrid w:linePitch="360"/>
        </w:sectPr>
      </w:pPr>
    </w:p>
    <w:p w:rsidR="00032004" w:rsidRPr="00032004" w:rsidRDefault="00032004" w:rsidP="00032004">
      <w:pPr>
        <w:pStyle w:val="Heading1"/>
        <w:shd w:val="clear" w:color="auto" w:fill="0063B8"/>
        <w:tabs>
          <w:tab w:val="num" w:pos="720"/>
        </w:tabs>
        <w:spacing w:before="0"/>
        <w:ind w:left="720" w:hanging="720"/>
        <w:rPr>
          <w:rFonts w:ascii="Verdana" w:hAnsi="Verdana"/>
          <w:b w:val="0"/>
          <w:color w:val="FFFFFF"/>
          <w:lang w:val="bg-BG"/>
        </w:rPr>
      </w:pPr>
      <w:bookmarkStart w:id="37" w:name="_Toc362617885"/>
      <w:bookmarkStart w:id="38" w:name="_Toc379372146"/>
      <w:bookmarkStart w:id="39" w:name="_Toc395612511"/>
      <w:r w:rsidRPr="00032004">
        <w:rPr>
          <w:rFonts w:ascii="Verdana" w:hAnsi="Verdana"/>
          <w:b w:val="0"/>
          <w:color w:val="FFFFFF"/>
          <w:lang w:val="bg-BG"/>
        </w:rPr>
        <w:lastRenderedPageBreak/>
        <w:t>I</w:t>
      </w:r>
      <w:r w:rsidRPr="00032004">
        <w:rPr>
          <w:rFonts w:ascii="Verdana" w:hAnsi="Verdana"/>
          <w:b w:val="0"/>
          <w:color w:val="FFFFFF"/>
          <w:lang w:val="en-US"/>
        </w:rPr>
        <w:t>II</w:t>
      </w:r>
      <w:r w:rsidRPr="00032004">
        <w:rPr>
          <w:rFonts w:ascii="Verdana" w:hAnsi="Verdana"/>
          <w:b w:val="0"/>
          <w:color w:val="FFFFFF"/>
          <w:lang w:val="bg-BG"/>
        </w:rPr>
        <w:t>.</w:t>
      </w:r>
      <w:r w:rsidRPr="00032004">
        <w:rPr>
          <w:rFonts w:ascii="Verdana" w:hAnsi="Verdana"/>
          <w:b w:val="0"/>
          <w:color w:val="FFFFFF"/>
          <w:lang w:val="bg-BG"/>
        </w:rPr>
        <w:tab/>
        <w:t>Подход и методология</w:t>
      </w:r>
      <w:bookmarkEnd w:id="37"/>
      <w:bookmarkEnd w:id="38"/>
      <w:bookmarkEnd w:id="39"/>
    </w:p>
    <w:p w:rsidR="00032004" w:rsidRDefault="00032004" w:rsidP="00032004">
      <w:pPr>
        <w:spacing w:before="120" w:after="120"/>
        <w:jc w:val="both"/>
        <w:rPr>
          <w:rFonts w:ascii="Verdana" w:hAnsi="Verdana"/>
          <w:sz w:val="20"/>
          <w:szCs w:val="20"/>
          <w:lang w:val="bg-BG"/>
        </w:rPr>
      </w:pPr>
    </w:p>
    <w:p w:rsidR="00032004" w:rsidRPr="00DF0F3D" w:rsidRDefault="00032004" w:rsidP="00032004">
      <w:pPr>
        <w:spacing w:before="120" w:after="120"/>
        <w:jc w:val="both"/>
        <w:rPr>
          <w:rFonts w:ascii="Verdana" w:hAnsi="Verdana"/>
          <w:sz w:val="20"/>
          <w:szCs w:val="20"/>
          <w:lang w:val="bg-BG"/>
        </w:rPr>
      </w:pPr>
      <w:r w:rsidRPr="00DF0F3D">
        <w:rPr>
          <w:rFonts w:ascii="Verdana" w:hAnsi="Verdana"/>
          <w:sz w:val="20"/>
          <w:szCs w:val="20"/>
          <w:lang w:val="bg-BG"/>
        </w:rPr>
        <w:t xml:space="preserve">Оценката е осъществена в тясно сътрудничество с възложителя - </w:t>
      </w:r>
      <w:r w:rsidR="00DF0F3D" w:rsidRPr="00B45B4F">
        <w:rPr>
          <w:rFonts w:ascii="Verdana" w:hAnsi="Verdana" w:cs="Arial"/>
          <w:sz w:val="20"/>
          <w:szCs w:val="20"/>
          <w:lang w:val="bg-BG"/>
        </w:rPr>
        <w:t>Главна дирекция „Структурни фондове и международни образователни програми”</w:t>
      </w:r>
      <w:r w:rsidR="00D04CA2">
        <w:rPr>
          <w:rFonts w:ascii="Verdana" w:hAnsi="Verdana" w:cs="Arial"/>
          <w:sz w:val="20"/>
          <w:szCs w:val="20"/>
          <w:lang w:val="bg-BG"/>
        </w:rPr>
        <w:t xml:space="preserve"> (ГД</w:t>
      </w:r>
      <w:r w:rsidR="00DF0F3D">
        <w:rPr>
          <w:rFonts w:ascii="Verdana" w:hAnsi="Verdana" w:cs="Arial"/>
          <w:sz w:val="20"/>
          <w:szCs w:val="20"/>
          <w:lang w:val="bg-BG"/>
        </w:rPr>
        <w:t xml:space="preserve">СФМОП) </w:t>
      </w:r>
      <w:r w:rsidRPr="00DF0F3D">
        <w:rPr>
          <w:rFonts w:ascii="Verdana" w:hAnsi="Verdana"/>
          <w:sz w:val="20"/>
          <w:szCs w:val="20"/>
          <w:lang w:val="bg-BG"/>
        </w:rPr>
        <w:t>в М</w:t>
      </w:r>
      <w:r w:rsidR="00DF0F3D" w:rsidRPr="00DF0F3D">
        <w:rPr>
          <w:rFonts w:ascii="Verdana" w:hAnsi="Verdana"/>
          <w:sz w:val="20"/>
          <w:szCs w:val="20"/>
          <w:lang w:val="bg-BG"/>
        </w:rPr>
        <w:t>ОН</w:t>
      </w:r>
      <w:r w:rsidRPr="00DF0F3D">
        <w:rPr>
          <w:rFonts w:ascii="Verdana" w:hAnsi="Verdana"/>
          <w:sz w:val="20"/>
          <w:szCs w:val="20"/>
          <w:lang w:val="bg-BG"/>
        </w:rPr>
        <w:t xml:space="preserve">, която е </w:t>
      </w:r>
      <w:r w:rsidR="00DF0F3D">
        <w:rPr>
          <w:rFonts w:ascii="Verdana" w:hAnsi="Verdana"/>
          <w:sz w:val="20"/>
          <w:szCs w:val="20"/>
          <w:lang w:val="bg-BG"/>
        </w:rPr>
        <w:t>Междинно звено по</w:t>
      </w:r>
      <w:r w:rsidRPr="00DF0F3D">
        <w:rPr>
          <w:rFonts w:ascii="Verdana" w:hAnsi="Verdana"/>
          <w:sz w:val="20"/>
          <w:szCs w:val="20"/>
          <w:lang w:val="bg-BG"/>
        </w:rPr>
        <w:t xml:space="preserve"> ОПРЧР 2007-2013 г. Същата дирекция с решение на Министерски съвет 792 от 17.12. 2</w:t>
      </w:r>
      <w:r w:rsidR="00DF0F3D">
        <w:rPr>
          <w:rFonts w:ascii="Verdana" w:hAnsi="Verdana"/>
          <w:sz w:val="20"/>
          <w:szCs w:val="20"/>
          <w:lang w:val="bg-BG"/>
        </w:rPr>
        <w:t>013 г. е определена за УО на ОПНОИР</w:t>
      </w:r>
      <w:r w:rsidRPr="00DF0F3D">
        <w:rPr>
          <w:rFonts w:ascii="Verdana" w:hAnsi="Verdana"/>
          <w:sz w:val="20"/>
          <w:szCs w:val="20"/>
          <w:lang w:val="bg-BG"/>
        </w:rPr>
        <w:t xml:space="preserve"> 2014-2020</w:t>
      </w:r>
      <w:r w:rsidR="00DF0F3D">
        <w:rPr>
          <w:rFonts w:ascii="Verdana" w:hAnsi="Verdana"/>
          <w:sz w:val="20"/>
          <w:szCs w:val="20"/>
          <w:lang w:val="bg-BG"/>
        </w:rPr>
        <w:t> </w:t>
      </w:r>
      <w:r w:rsidRPr="00DF0F3D">
        <w:rPr>
          <w:rFonts w:ascii="Verdana" w:hAnsi="Verdana"/>
          <w:sz w:val="20"/>
          <w:szCs w:val="20"/>
          <w:lang w:val="bg-BG"/>
        </w:rPr>
        <w:t xml:space="preserve">г. </w:t>
      </w:r>
    </w:p>
    <w:p w:rsidR="00032004" w:rsidRPr="00DF0F3D" w:rsidRDefault="00032004" w:rsidP="00032004">
      <w:pPr>
        <w:spacing w:before="120" w:after="120"/>
        <w:jc w:val="both"/>
        <w:rPr>
          <w:rFonts w:ascii="Verdana" w:hAnsi="Verdana"/>
          <w:sz w:val="20"/>
          <w:szCs w:val="20"/>
          <w:lang w:val="bg-BG"/>
        </w:rPr>
      </w:pPr>
      <w:r w:rsidRPr="00DF0F3D">
        <w:rPr>
          <w:rFonts w:ascii="Verdana" w:hAnsi="Verdana"/>
          <w:sz w:val="20"/>
          <w:szCs w:val="20"/>
          <w:lang w:val="bg-BG"/>
        </w:rPr>
        <w:t>Използваният подход е илюстриран схематично на фигурата по-долу.</w:t>
      </w:r>
    </w:p>
    <w:p w:rsidR="00032004" w:rsidRPr="00DF0F3D" w:rsidRDefault="00032004" w:rsidP="00032004">
      <w:pPr>
        <w:spacing w:before="120" w:after="120"/>
        <w:rPr>
          <w:rFonts w:ascii="Verdana" w:hAnsi="Verdana"/>
          <w:sz w:val="20"/>
          <w:szCs w:val="20"/>
          <w:lang w:val="bg-BG"/>
        </w:rPr>
      </w:pPr>
    </w:p>
    <w:p w:rsidR="00032004" w:rsidRPr="00DF0F3D" w:rsidRDefault="00FE64A8" w:rsidP="00032004">
      <w:pPr>
        <w:spacing w:before="120" w:after="120"/>
        <w:rPr>
          <w:rFonts w:ascii="Verdana" w:hAnsi="Verdana"/>
          <w:sz w:val="20"/>
          <w:szCs w:val="20"/>
          <w:lang w:val="bg-BG"/>
        </w:rPr>
      </w:pPr>
      <w:r w:rsidRPr="00DF0F3D">
        <w:object w:dxaOrig="15687" w:dyaOrig="11436">
          <v:shape id="_x0000_i1026" type="#_x0000_t75" style="width:460.5pt;height:324pt" o:ole="">
            <v:imagedata r:id="rId18" o:title=""/>
          </v:shape>
          <o:OLEObject Type="Embed" ProgID="Visio.Drawing.11" ShapeID="_x0000_i1026" DrawAspect="Content" ObjectID="_1469357521" r:id="rId19"/>
        </w:object>
      </w:r>
    </w:p>
    <w:p w:rsidR="00032004" w:rsidRPr="00DF0F3D" w:rsidRDefault="00032004" w:rsidP="00032004">
      <w:pPr>
        <w:pStyle w:val="Caption"/>
        <w:spacing w:before="120"/>
        <w:jc w:val="center"/>
        <w:rPr>
          <w:rFonts w:ascii="Verdana" w:hAnsi="Verdana"/>
          <w:color w:val="006CB6"/>
        </w:rPr>
      </w:pPr>
      <w:bookmarkStart w:id="40" w:name="_Toc381712229"/>
      <w:bookmarkStart w:id="41" w:name="_Toc395609456"/>
      <w:r w:rsidRPr="00DF0F3D">
        <w:rPr>
          <w:rFonts w:ascii="Verdana" w:hAnsi="Verdana"/>
          <w:color w:val="006CB6"/>
        </w:rPr>
        <w:t xml:space="preserve">Фигура </w:t>
      </w:r>
      <w:r w:rsidR="00BF1936" w:rsidRPr="00DF0F3D">
        <w:rPr>
          <w:rFonts w:ascii="Verdana" w:hAnsi="Verdana"/>
          <w:color w:val="006CB6"/>
        </w:rPr>
        <w:fldChar w:fldCharType="begin"/>
      </w:r>
      <w:r w:rsidRPr="00DF0F3D">
        <w:rPr>
          <w:rFonts w:ascii="Verdana" w:hAnsi="Verdana"/>
          <w:color w:val="006CB6"/>
        </w:rPr>
        <w:instrText xml:space="preserve"> SEQ Фигура \* ARABIC </w:instrText>
      </w:r>
      <w:r w:rsidR="00BF1936" w:rsidRPr="00DF0F3D">
        <w:rPr>
          <w:rFonts w:ascii="Verdana" w:hAnsi="Verdana"/>
          <w:color w:val="006CB6"/>
        </w:rPr>
        <w:fldChar w:fldCharType="separate"/>
      </w:r>
      <w:r w:rsidR="001361E0">
        <w:rPr>
          <w:rFonts w:ascii="Verdana" w:hAnsi="Verdana"/>
          <w:noProof/>
          <w:color w:val="006CB6"/>
        </w:rPr>
        <w:t>2</w:t>
      </w:r>
      <w:r w:rsidR="00BF1936" w:rsidRPr="00DF0F3D">
        <w:rPr>
          <w:rFonts w:ascii="Verdana" w:hAnsi="Verdana"/>
          <w:color w:val="006CB6"/>
        </w:rPr>
        <w:fldChar w:fldCharType="end"/>
      </w:r>
      <w:r w:rsidRPr="00DF0F3D">
        <w:rPr>
          <w:rFonts w:ascii="Verdana" w:hAnsi="Verdana"/>
          <w:color w:val="006CB6"/>
        </w:rPr>
        <w:t>: Подход на оценката</w:t>
      </w:r>
      <w:bookmarkEnd w:id="40"/>
      <w:bookmarkEnd w:id="41"/>
    </w:p>
    <w:p w:rsidR="00032004" w:rsidRPr="00DF0F3D" w:rsidRDefault="00032004" w:rsidP="00032004">
      <w:pPr>
        <w:spacing w:before="120" w:after="120"/>
        <w:jc w:val="both"/>
        <w:rPr>
          <w:rFonts w:ascii="Verdana" w:hAnsi="Verdana"/>
          <w:sz w:val="20"/>
          <w:szCs w:val="20"/>
          <w:lang w:val="bg-BG"/>
        </w:rPr>
      </w:pPr>
      <w:r w:rsidRPr="00DF0F3D">
        <w:rPr>
          <w:rFonts w:ascii="Verdana" w:hAnsi="Verdana"/>
          <w:sz w:val="20"/>
          <w:szCs w:val="20"/>
          <w:lang w:val="bg-BG"/>
        </w:rPr>
        <w:t>Подходът за осъществяване на оценката предполага едновременно набиране на информация за различни елементи на оценката. Така например проведените интервюта, онлайн проучвания и фокус групи засягаха по няколко от темите на оценката.</w:t>
      </w:r>
    </w:p>
    <w:p w:rsidR="00032004" w:rsidRPr="00DF0F3D" w:rsidRDefault="00032004" w:rsidP="00032004">
      <w:pPr>
        <w:spacing w:before="120" w:after="120"/>
        <w:rPr>
          <w:rFonts w:ascii="Verdana" w:hAnsi="Verdana"/>
          <w:sz w:val="20"/>
          <w:szCs w:val="20"/>
          <w:lang w:val="bg-BG"/>
        </w:rPr>
      </w:pPr>
      <w:r w:rsidRPr="00DF0F3D">
        <w:rPr>
          <w:rFonts w:ascii="Verdana" w:hAnsi="Verdana"/>
          <w:sz w:val="20"/>
          <w:szCs w:val="20"/>
          <w:lang w:val="bg-BG"/>
        </w:rPr>
        <w:t xml:space="preserve">Използвани са следните </w:t>
      </w:r>
      <w:r w:rsidRPr="00DF0F3D">
        <w:rPr>
          <w:rFonts w:ascii="Verdana" w:hAnsi="Verdana"/>
          <w:color w:val="548DD4" w:themeColor="text2" w:themeTint="99"/>
          <w:sz w:val="20"/>
          <w:szCs w:val="20"/>
          <w:lang w:val="bg-BG"/>
        </w:rPr>
        <w:t xml:space="preserve">методи за набиране и анализ </w:t>
      </w:r>
      <w:r w:rsidRPr="00DF0F3D">
        <w:rPr>
          <w:rFonts w:ascii="Verdana" w:hAnsi="Verdana"/>
          <w:sz w:val="20"/>
          <w:szCs w:val="20"/>
          <w:lang w:val="bg-BG"/>
        </w:rPr>
        <w:t>на информация:</w:t>
      </w:r>
    </w:p>
    <w:p w:rsidR="00032004" w:rsidRPr="00DF0F3D" w:rsidRDefault="00032004" w:rsidP="00032004">
      <w:pPr>
        <w:spacing w:before="120" w:after="120"/>
        <w:jc w:val="both"/>
        <w:rPr>
          <w:rFonts w:ascii="Verdana" w:hAnsi="Verdana"/>
          <w:sz w:val="20"/>
          <w:szCs w:val="20"/>
          <w:lang w:val="bg-BG"/>
        </w:rPr>
      </w:pPr>
      <w:r w:rsidRPr="00DF0F3D">
        <w:rPr>
          <w:rFonts w:ascii="Verdana" w:hAnsi="Verdana"/>
          <w:color w:val="548DD4" w:themeColor="text2" w:themeTint="99"/>
          <w:sz w:val="20"/>
          <w:szCs w:val="20"/>
          <w:lang w:val="bg-BG"/>
        </w:rPr>
        <w:t xml:space="preserve">Кабинетно проучване </w:t>
      </w:r>
      <w:r w:rsidRPr="00DF0F3D">
        <w:rPr>
          <w:rFonts w:ascii="Verdana" w:hAnsi="Verdana"/>
          <w:sz w:val="20"/>
          <w:szCs w:val="20"/>
          <w:lang w:val="bg-BG"/>
        </w:rPr>
        <w:t xml:space="preserve">на национални и европейски стратегически и нормативни документи, </w:t>
      </w:r>
      <w:r w:rsidRPr="00DF0F3D">
        <w:rPr>
          <w:rFonts w:ascii="Verdana" w:hAnsi="Verdana"/>
          <w:sz w:val="20"/>
          <w:szCs w:val="20"/>
          <w:lang w:val="bg-BG" w:eastAsia="cs-CZ"/>
        </w:rPr>
        <w:t>годишни доклади за изпълнение</w:t>
      </w:r>
      <w:r w:rsidR="00B20827">
        <w:rPr>
          <w:rFonts w:ascii="Verdana" w:hAnsi="Verdana"/>
          <w:sz w:val="20"/>
          <w:szCs w:val="20"/>
          <w:lang w:val="bg-BG" w:eastAsia="cs-CZ"/>
        </w:rPr>
        <w:t xml:space="preserve"> на други оперативни програми за периода 2007-2013 по които са финансирани мерки, подобни на мерките предвидени </w:t>
      </w:r>
      <w:r w:rsidR="00B20827">
        <w:rPr>
          <w:rFonts w:ascii="Verdana" w:hAnsi="Verdana"/>
          <w:sz w:val="20"/>
          <w:szCs w:val="20"/>
          <w:lang w:val="bg-BG" w:eastAsia="cs-CZ"/>
        </w:rPr>
        <w:lastRenderedPageBreak/>
        <w:t>в ОПНОИР 2014-2020</w:t>
      </w:r>
      <w:r w:rsidRPr="00DF0F3D">
        <w:rPr>
          <w:rFonts w:ascii="Verdana" w:hAnsi="Verdana"/>
          <w:sz w:val="20"/>
          <w:szCs w:val="20"/>
          <w:lang w:val="bg-BG" w:eastAsia="cs-CZ"/>
        </w:rPr>
        <w:t>, доклади от оценки, насоки на ЕК за новия програмен период и др.</w:t>
      </w:r>
      <w:r w:rsidRPr="00DF0F3D">
        <w:rPr>
          <w:rFonts w:ascii="Verdana" w:hAnsi="Verdana"/>
          <w:sz w:val="20"/>
          <w:szCs w:val="20"/>
          <w:lang w:val="bg-BG"/>
        </w:rPr>
        <w:t xml:space="preserve"> Списък на използваните документи е даден в Приложение 1 към настоящия доклад.</w:t>
      </w:r>
    </w:p>
    <w:p w:rsidR="00032004" w:rsidRDefault="00032004" w:rsidP="00032004">
      <w:pPr>
        <w:spacing w:before="120" w:after="120"/>
        <w:jc w:val="both"/>
        <w:rPr>
          <w:rFonts w:ascii="Verdana" w:hAnsi="Verdana"/>
          <w:sz w:val="20"/>
          <w:szCs w:val="20"/>
          <w:lang w:val="bg-BG"/>
        </w:rPr>
      </w:pPr>
      <w:r w:rsidRPr="00DF0F3D">
        <w:rPr>
          <w:rFonts w:ascii="Verdana" w:hAnsi="Verdana"/>
          <w:color w:val="548DD4" w:themeColor="text2" w:themeTint="99"/>
          <w:sz w:val="20"/>
          <w:szCs w:val="20"/>
          <w:lang w:val="bg-BG"/>
        </w:rPr>
        <w:t>Анализ на заинтересованите страни</w:t>
      </w:r>
      <w:r w:rsidRPr="00DF0F3D">
        <w:rPr>
          <w:rFonts w:ascii="Verdana" w:hAnsi="Verdana"/>
          <w:sz w:val="20"/>
          <w:szCs w:val="20"/>
          <w:lang w:val="bg-BG"/>
        </w:rPr>
        <w:t xml:space="preserve"> - беше осъществен още със стартиране на оценката</w:t>
      </w:r>
      <w:r w:rsidR="00B20827">
        <w:rPr>
          <w:rFonts w:ascii="Verdana" w:hAnsi="Verdana"/>
          <w:sz w:val="20"/>
          <w:szCs w:val="20"/>
          <w:lang w:val="bg-BG"/>
        </w:rPr>
        <w:t xml:space="preserve"> и включен във встъпителния доклад,</w:t>
      </w:r>
      <w:r w:rsidRPr="00DF0F3D">
        <w:rPr>
          <w:rFonts w:ascii="Verdana" w:hAnsi="Verdana"/>
          <w:sz w:val="20"/>
          <w:szCs w:val="20"/>
          <w:lang w:val="bg-BG"/>
        </w:rPr>
        <w:t xml:space="preserve"> за да осигурим, че основните заинтересовани страни ще бъдат консултирани и тяхното мнение ще бъде адекватно отразено в оценката.</w:t>
      </w:r>
    </w:p>
    <w:p w:rsidR="00032004" w:rsidRPr="00DF0F3D" w:rsidRDefault="00032004" w:rsidP="00032004">
      <w:pPr>
        <w:spacing w:before="120" w:after="120"/>
        <w:jc w:val="both"/>
        <w:rPr>
          <w:rFonts w:ascii="Verdana" w:hAnsi="Verdana"/>
          <w:sz w:val="20"/>
          <w:szCs w:val="20"/>
          <w:lang w:val="bg-BG"/>
        </w:rPr>
      </w:pPr>
      <w:r w:rsidRPr="00DF0F3D">
        <w:rPr>
          <w:rFonts w:ascii="Verdana" w:hAnsi="Verdana"/>
          <w:color w:val="548DD4" w:themeColor="text2" w:themeTint="99"/>
          <w:sz w:val="20"/>
          <w:szCs w:val="20"/>
          <w:lang w:val="bg-BG"/>
        </w:rPr>
        <w:t>Интервюта</w:t>
      </w:r>
      <w:r w:rsidRPr="00DF0F3D">
        <w:rPr>
          <w:rFonts w:ascii="Verdana" w:hAnsi="Verdana"/>
          <w:sz w:val="20"/>
          <w:szCs w:val="20"/>
          <w:lang w:val="bg-BG"/>
        </w:rPr>
        <w:t xml:space="preserve"> с експерти от ГД</w:t>
      </w:r>
      <w:r w:rsidR="00B20827">
        <w:rPr>
          <w:rFonts w:ascii="Verdana" w:hAnsi="Verdana"/>
          <w:sz w:val="20"/>
          <w:szCs w:val="20"/>
          <w:lang w:val="bg-BG"/>
        </w:rPr>
        <w:t>СФМОП</w:t>
      </w:r>
      <w:r w:rsidRPr="00DF0F3D">
        <w:rPr>
          <w:rFonts w:ascii="Verdana" w:hAnsi="Verdana"/>
          <w:sz w:val="20"/>
          <w:szCs w:val="20"/>
          <w:lang w:val="bg-BG"/>
        </w:rPr>
        <w:t>, други дирекции и отдели в М</w:t>
      </w:r>
      <w:r w:rsidR="00B20827">
        <w:rPr>
          <w:rFonts w:ascii="Verdana" w:hAnsi="Verdana"/>
          <w:sz w:val="20"/>
          <w:szCs w:val="20"/>
          <w:lang w:val="bg-BG"/>
        </w:rPr>
        <w:t>ОН</w:t>
      </w:r>
      <w:r w:rsidRPr="00DF0F3D">
        <w:rPr>
          <w:rFonts w:ascii="Verdana" w:hAnsi="Verdana"/>
          <w:sz w:val="20"/>
          <w:szCs w:val="20"/>
          <w:lang w:val="bg-BG"/>
        </w:rPr>
        <w:t>, членове на създадената Работната група за разработване на програмата. Списък на проведените срещи е даден в Приложение 2 към настоящия доклад.</w:t>
      </w:r>
    </w:p>
    <w:p w:rsidR="00032004" w:rsidRDefault="00032004" w:rsidP="00032004">
      <w:pPr>
        <w:spacing w:before="120" w:after="120"/>
        <w:jc w:val="both"/>
        <w:rPr>
          <w:rFonts w:ascii="Verdana" w:hAnsi="Verdana"/>
          <w:sz w:val="20"/>
          <w:szCs w:val="20"/>
          <w:lang w:val="bg-BG" w:eastAsia="cs-CZ"/>
        </w:rPr>
      </w:pPr>
      <w:r w:rsidRPr="00DF0F3D">
        <w:rPr>
          <w:rFonts w:ascii="Verdana" w:hAnsi="Verdana"/>
          <w:color w:val="548DD4" w:themeColor="text2" w:themeTint="99"/>
          <w:sz w:val="20"/>
          <w:szCs w:val="20"/>
          <w:lang w:val="bg-BG"/>
        </w:rPr>
        <w:t xml:space="preserve">Онлайн въпросник </w:t>
      </w:r>
      <w:r w:rsidR="00B20827">
        <w:rPr>
          <w:rFonts w:ascii="Verdana" w:hAnsi="Verdana"/>
          <w:sz w:val="20"/>
          <w:szCs w:val="20"/>
          <w:lang w:val="bg-BG"/>
        </w:rPr>
        <w:t>до настоящи бенефициенти по ОП</w:t>
      </w:r>
      <w:r w:rsidRPr="00DF0F3D">
        <w:rPr>
          <w:rFonts w:ascii="Verdana" w:hAnsi="Verdana"/>
          <w:sz w:val="20"/>
          <w:szCs w:val="20"/>
          <w:lang w:val="bg-BG"/>
        </w:rPr>
        <w:t>РЧР 2007-2013 г.,</w:t>
      </w:r>
      <w:r w:rsidR="00B20827">
        <w:rPr>
          <w:rFonts w:ascii="Verdana" w:hAnsi="Verdana"/>
          <w:sz w:val="20"/>
          <w:szCs w:val="20"/>
          <w:lang w:val="bg-BG"/>
        </w:rPr>
        <w:t xml:space="preserve"> които изпълняват проекти по мерки за образование с междинно звено МОН,</w:t>
      </w:r>
      <w:r w:rsidRPr="00DF0F3D">
        <w:rPr>
          <w:rFonts w:ascii="Verdana" w:hAnsi="Verdana"/>
          <w:sz w:val="20"/>
          <w:szCs w:val="20"/>
          <w:lang w:val="bg-BG"/>
        </w:rPr>
        <w:t xml:space="preserve"> потенциални бенефициенти по </w:t>
      </w:r>
      <w:r w:rsidR="00B20827">
        <w:rPr>
          <w:rFonts w:ascii="Verdana" w:hAnsi="Verdana"/>
          <w:sz w:val="20"/>
          <w:szCs w:val="20"/>
          <w:lang w:val="bg-BG"/>
        </w:rPr>
        <w:t>ОПНОИР</w:t>
      </w:r>
      <w:r w:rsidRPr="00DF0F3D">
        <w:rPr>
          <w:rFonts w:ascii="Verdana" w:hAnsi="Verdana"/>
          <w:sz w:val="20"/>
          <w:szCs w:val="20"/>
          <w:lang w:val="bg-BG"/>
        </w:rPr>
        <w:t xml:space="preserve"> 2014-2020 г.</w:t>
      </w:r>
      <w:r w:rsidRPr="00DF0F3D">
        <w:rPr>
          <w:rFonts w:ascii="Verdana" w:hAnsi="Verdana"/>
          <w:sz w:val="20"/>
          <w:szCs w:val="20"/>
          <w:lang w:val="bg-BG" w:eastAsia="cs-CZ"/>
        </w:rPr>
        <w:t xml:space="preserve"> (включително </w:t>
      </w:r>
      <w:r w:rsidR="00B20827">
        <w:rPr>
          <w:rFonts w:ascii="Verdana" w:hAnsi="Verdana"/>
          <w:sz w:val="20"/>
          <w:szCs w:val="20"/>
          <w:lang w:val="bg-BG" w:eastAsia="cs-CZ"/>
        </w:rPr>
        <w:t>научни институти, висши училища, училища, детски градини,</w:t>
      </w:r>
      <w:r w:rsidRPr="00DF0F3D">
        <w:rPr>
          <w:rFonts w:ascii="Verdana" w:hAnsi="Verdana"/>
          <w:sz w:val="20"/>
          <w:szCs w:val="20"/>
          <w:lang w:val="bg-BG" w:eastAsia="cs-CZ"/>
        </w:rPr>
        <w:t xml:space="preserve"> работодатели, браншови организации, общини, читалища, НПО),</w:t>
      </w:r>
      <w:r w:rsidRPr="00DF0F3D">
        <w:rPr>
          <w:rFonts w:ascii="Verdana" w:hAnsi="Verdana"/>
          <w:sz w:val="20"/>
          <w:szCs w:val="20"/>
          <w:lang w:val="bg-BG"/>
        </w:rPr>
        <w:t xml:space="preserve"> членове на Работната група за подготовка на програмата и експерти в ГДЕФМПП.</w:t>
      </w:r>
      <w:r w:rsidRPr="00DF0F3D">
        <w:rPr>
          <w:rFonts w:ascii="Verdana" w:hAnsi="Verdana"/>
          <w:sz w:val="20"/>
          <w:szCs w:val="20"/>
          <w:lang w:val="bg-BG" w:eastAsia="cs-CZ"/>
        </w:rPr>
        <w:t xml:space="preserve"> Въпросникът, посредством уеб базираната платформа  </w:t>
      </w:r>
      <w:hyperlink r:id="rId20" w:history="1">
        <w:r w:rsidRPr="00DF0F3D">
          <w:rPr>
            <w:rStyle w:val="Hyperlink"/>
            <w:rFonts w:ascii="Verdana" w:hAnsi="Verdana"/>
            <w:sz w:val="20"/>
            <w:szCs w:val="20"/>
            <w:lang w:eastAsia="cs-CZ"/>
          </w:rPr>
          <w:t>www</w:t>
        </w:r>
        <w:r w:rsidRPr="00DF0F3D">
          <w:rPr>
            <w:rStyle w:val="Hyperlink"/>
            <w:rFonts w:ascii="Verdana" w:hAnsi="Verdana"/>
            <w:sz w:val="20"/>
            <w:szCs w:val="20"/>
            <w:lang w:val="bg-BG" w:eastAsia="cs-CZ"/>
          </w:rPr>
          <w:t>.</w:t>
        </w:r>
        <w:proofErr w:type="spellStart"/>
        <w:r w:rsidRPr="00DF0F3D">
          <w:rPr>
            <w:rStyle w:val="Hyperlink"/>
            <w:rFonts w:ascii="Verdana" w:hAnsi="Verdana"/>
            <w:sz w:val="20"/>
            <w:szCs w:val="20"/>
            <w:lang w:eastAsia="cs-CZ"/>
          </w:rPr>
          <w:t>checkmarket</w:t>
        </w:r>
        <w:proofErr w:type="spellEnd"/>
        <w:r w:rsidRPr="00DF0F3D">
          <w:rPr>
            <w:rStyle w:val="Hyperlink"/>
            <w:rFonts w:ascii="Verdana" w:hAnsi="Verdana"/>
            <w:sz w:val="20"/>
            <w:szCs w:val="20"/>
            <w:lang w:val="bg-BG" w:eastAsia="cs-CZ"/>
          </w:rPr>
          <w:t>.</w:t>
        </w:r>
        <w:r w:rsidRPr="00DF0F3D">
          <w:rPr>
            <w:rStyle w:val="Hyperlink"/>
            <w:rFonts w:ascii="Verdana" w:hAnsi="Verdana"/>
            <w:sz w:val="20"/>
            <w:szCs w:val="20"/>
            <w:lang w:eastAsia="cs-CZ"/>
          </w:rPr>
          <w:t>com</w:t>
        </w:r>
      </w:hyperlink>
      <w:r w:rsidRPr="00DF0F3D">
        <w:rPr>
          <w:rStyle w:val="Hyperlink"/>
          <w:rFonts w:ascii="Verdana" w:hAnsi="Verdana"/>
          <w:sz w:val="20"/>
          <w:szCs w:val="20"/>
          <w:lang w:val="bg-BG" w:eastAsia="cs-CZ"/>
        </w:rPr>
        <w:t>,</w:t>
      </w:r>
      <w:r w:rsidRPr="00DF0F3D">
        <w:rPr>
          <w:rFonts w:ascii="Verdana" w:hAnsi="Verdana"/>
          <w:sz w:val="20"/>
          <w:szCs w:val="20"/>
          <w:lang w:val="bg-BG" w:eastAsia="cs-CZ"/>
        </w:rPr>
        <w:t xml:space="preserve"> беше разпратен до </w:t>
      </w:r>
      <w:r w:rsidR="004223C9">
        <w:rPr>
          <w:rFonts w:ascii="Verdana" w:hAnsi="Verdana"/>
          <w:sz w:val="20"/>
          <w:szCs w:val="20"/>
          <w:lang w:val="bg-BG" w:eastAsia="cs-CZ"/>
        </w:rPr>
        <w:t>1206</w:t>
      </w:r>
      <w:r w:rsidRPr="00DF0F3D">
        <w:rPr>
          <w:rFonts w:ascii="Verdana" w:hAnsi="Verdana"/>
          <w:sz w:val="20"/>
          <w:szCs w:val="20"/>
          <w:lang w:val="bg-BG" w:eastAsia="cs-CZ"/>
        </w:rPr>
        <w:t xml:space="preserve"> респондента. Получени бяха </w:t>
      </w:r>
      <w:r w:rsidR="004223C9">
        <w:rPr>
          <w:rFonts w:ascii="Verdana" w:hAnsi="Verdana"/>
          <w:sz w:val="20"/>
          <w:szCs w:val="20"/>
          <w:lang w:val="bg-BG" w:eastAsia="cs-CZ"/>
        </w:rPr>
        <w:t>190</w:t>
      </w:r>
      <w:r w:rsidRPr="00DF0F3D">
        <w:rPr>
          <w:rFonts w:ascii="Verdana" w:hAnsi="Verdana"/>
          <w:sz w:val="20"/>
          <w:szCs w:val="20"/>
          <w:lang w:val="bg-BG" w:eastAsia="cs-CZ"/>
        </w:rPr>
        <w:t xml:space="preserve"> отговора (</w:t>
      </w:r>
      <w:r w:rsidR="004223C9">
        <w:rPr>
          <w:rFonts w:ascii="Verdana" w:hAnsi="Verdana"/>
          <w:sz w:val="20"/>
          <w:szCs w:val="20"/>
          <w:lang w:val="bg-BG" w:eastAsia="cs-CZ"/>
        </w:rPr>
        <w:t>15</w:t>
      </w:r>
      <w:r w:rsidRPr="00DF0F3D">
        <w:rPr>
          <w:rFonts w:ascii="Verdana" w:hAnsi="Verdana"/>
          <w:sz w:val="20"/>
          <w:szCs w:val="20"/>
          <w:lang w:val="bg-BG" w:eastAsia="cs-CZ"/>
        </w:rPr>
        <w:t xml:space="preserve">,8%).  От отговорилите </w:t>
      </w:r>
      <w:r w:rsidR="004223C9">
        <w:rPr>
          <w:rFonts w:ascii="Verdana" w:hAnsi="Verdana"/>
          <w:sz w:val="20"/>
          <w:szCs w:val="20"/>
          <w:lang w:val="bg-BG" w:eastAsia="cs-CZ"/>
        </w:rPr>
        <w:t>58</w:t>
      </w:r>
      <w:r w:rsidRPr="00DF0F3D">
        <w:rPr>
          <w:rFonts w:ascii="Verdana" w:hAnsi="Verdana"/>
          <w:sz w:val="20"/>
          <w:szCs w:val="20"/>
          <w:lang w:val="bg-BG" w:eastAsia="cs-CZ"/>
        </w:rPr>
        <w:t xml:space="preserve">% са </w:t>
      </w:r>
      <w:r w:rsidR="004223C9">
        <w:rPr>
          <w:rFonts w:ascii="Verdana" w:hAnsi="Verdana"/>
          <w:sz w:val="20"/>
          <w:szCs w:val="20"/>
          <w:lang w:val="bg-BG" w:eastAsia="cs-CZ"/>
        </w:rPr>
        <w:t>потенциални</w:t>
      </w:r>
      <w:r w:rsidRPr="00DF0F3D">
        <w:rPr>
          <w:rFonts w:ascii="Verdana" w:hAnsi="Verdana"/>
          <w:sz w:val="20"/>
          <w:szCs w:val="20"/>
          <w:lang w:val="bg-BG" w:eastAsia="cs-CZ"/>
        </w:rPr>
        <w:t xml:space="preserve"> бенефициенти на програмата, 2</w:t>
      </w:r>
      <w:r w:rsidR="004223C9">
        <w:rPr>
          <w:rFonts w:ascii="Verdana" w:hAnsi="Verdana"/>
          <w:sz w:val="20"/>
          <w:szCs w:val="20"/>
          <w:lang w:val="bg-BG" w:eastAsia="cs-CZ"/>
        </w:rPr>
        <w:t>2</w:t>
      </w:r>
      <w:r w:rsidRPr="00DF0F3D">
        <w:rPr>
          <w:rFonts w:ascii="Verdana" w:hAnsi="Verdana"/>
          <w:sz w:val="20"/>
          <w:szCs w:val="20"/>
          <w:lang w:val="bg-BG" w:eastAsia="cs-CZ"/>
        </w:rPr>
        <w:t xml:space="preserve">% са от </w:t>
      </w:r>
      <w:r w:rsidR="004223C9">
        <w:rPr>
          <w:rFonts w:ascii="Verdana" w:hAnsi="Verdana"/>
          <w:sz w:val="20"/>
          <w:szCs w:val="20"/>
          <w:lang w:val="bg-BG" w:eastAsia="cs-CZ"/>
        </w:rPr>
        <w:t>ГДСФМОП</w:t>
      </w:r>
      <w:r w:rsidRPr="00DF0F3D">
        <w:rPr>
          <w:rFonts w:ascii="Verdana" w:hAnsi="Verdana"/>
          <w:sz w:val="20"/>
          <w:szCs w:val="20"/>
          <w:lang w:val="bg-BG" w:eastAsia="cs-CZ"/>
        </w:rPr>
        <w:t xml:space="preserve"> и </w:t>
      </w:r>
      <w:r w:rsidR="004223C9">
        <w:rPr>
          <w:rFonts w:ascii="Verdana" w:hAnsi="Verdana"/>
          <w:sz w:val="20"/>
          <w:szCs w:val="20"/>
          <w:lang w:val="bg-BG" w:eastAsia="cs-CZ"/>
        </w:rPr>
        <w:t>20</w:t>
      </w:r>
      <w:r w:rsidRPr="00DF0F3D">
        <w:rPr>
          <w:rFonts w:ascii="Verdana" w:hAnsi="Verdana"/>
          <w:sz w:val="20"/>
          <w:szCs w:val="20"/>
          <w:lang w:val="bg-BG" w:eastAsia="cs-CZ"/>
        </w:rPr>
        <w:t xml:space="preserve">% представители на РГ за подготовка на </w:t>
      </w:r>
      <w:r w:rsidR="004223C9">
        <w:rPr>
          <w:rFonts w:ascii="Verdana" w:hAnsi="Verdana"/>
          <w:sz w:val="20"/>
          <w:szCs w:val="20"/>
          <w:lang w:val="bg-BG" w:eastAsia="cs-CZ"/>
        </w:rPr>
        <w:t>програмата</w:t>
      </w:r>
      <w:r w:rsidRPr="00DF0F3D">
        <w:rPr>
          <w:rFonts w:ascii="Verdana" w:hAnsi="Verdana"/>
          <w:sz w:val="20"/>
          <w:szCs w:val="20"/>
          <w:lang w:val="bg-BG" w:eastAsia="cs-CZ"/>
        </w:rPr>
        <w:t>, както е посочено в таблицата по-долу.</w:t>
      </w:r>
    </w:p>
    <w:tbl>
      <w:tblPr>
        <w:tblW w:w="8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35"/>
        <w:gridCol w:w="1021"/>
        <w:gridCol w:w="3175"/>
        <w:gridCol w:w="907"/>
      </w:tblGrid>
      <w:tr w:rsidR="00B550D8" w:rsidRPr="00691127" w:rsidTr="00B550D8">
        <w:trPr>
          <w:cantSplit/>
          <w:trHeight w:val="397"/>
          <w:tblHeader/>
          <w:jc w:val="center"/>
        </w:trPr>
        <w:tc>
          <w:tcPr>
            <w:tcW w:w="3835" w:type="dxa"/>
            <w:shd w:val="clear" w:color="auto" w:fill="E0E0E0"/>
            <w:vAlign w:val="center"/>
          </w:tcPr>
          <w:p w:rsidR="00B550D8" w:rsidRPr="00B550D8" w:rsidRDefault="00B550D8" w:rsidP="007C4372">
            <w:pPr>
              <w:pStyle w:val="ChartTableHeader"/>
              <w:keepNext/>
              <w:keepLines/>
              <w:rPr>
                <w:sz w:val="18"/>
                <w:lang w:val="bg-BG"/>
              </w:rPr>
            </w:pPr>
            <w:r>
              <w:rPr>
                <w:sz w:val="18"/>
                <w:lang w:val="bg-BG"/>
              </w:rPr>
              <w:t>Отговорили</w:t>
            </w:r>
          </w:p>
        </w:tc>
        <w:tc>
          <w:tcPr>
            <w:tcW w:w="1021" w:type="dxa"/>
            <w:shd w:val="clear" w:color="auto" w:fill="E0E0E0"/>
            <w:vAlign w:val="center"/>
          </w:tcPr>
          <w:p w:rsidR="00B550D8" w:rsidRPr="00691127" w:rsidRDefault="00B550D8" w:rsidP="007C4372">
            <w:pPr>
              <w:pStyle w:val="ChartTableHeader"/>
              <w:keepNext/>
              <w:keepLines/>
              <w:rPr>
                <w:sz w:val="18"/>
                <w:lang w:val="en-GB"/>
              </w:rPr>
            </w:pPr>
            <w:r w:rsidRPr="00691127">
              <w:rPr>
                <w:sz w:val="18"/>
                <w:lang w:val="en-GB"/>
              </w:rPr>
              <w:t>Total</w:t>
            </w:r>
          </w:p>
        </w:tc>
        <w:tc>
          <w:tcPr>
            <w:tcW w:w="3175" w:type="dxa"/>
            <w:shd w:val="clear" w:color="auto" w:fill="E0E0E0"/>
            <w:vAlign w:val="center"/>
          </w:tcPr>
          <w:p w:rsidR="00B550D8" w:rsidRPr="00691127" w:rsidRDefault="00B550D8" w:rsidP="007C4372">
            <w:pPr>
              <w:pStyle w:val="ChartTableHeader"/>
              <w:keepNext/>
              <w:keepLines/>
              <w:rPr>
                <w:sz w:val="18"/>
                <w:lang w:val="en-GB"/>
              </w:rPr>
            </w:pPr>
            <w:r w:rsidRPr="00691127">
              <w:rPr>
                <w:sz w:val="18"/>
                <w:lang w:val="en-GB"/>
              </w:rPr>
              <w:t>% of responses</w:t>
            </w:r>
          </w:p>
        </w:tc>
        <w:tc>
          <w:tcPr>
            <w:tcW w:w="907" w:type="dxa"/>
            <w:shd w:val="clear" w:color="auto" w:fill="E0E0E0"/>
            <w:vAlign w:val="center"/>
          </w:tcPr>
          <w:p w:rsidR="00B550D8" w:rsidRPr="00691127" w:rsidRDefault="00B550D8" w:rsidP="007C4372">
            <w:pPr>
              <w:pStyle w:val="ChartTableHeader"/>
              <w:keepNext/>
              <w:keepLines/>
              <w:rPr>
                <w:sz w:val="18"/>
                <w:lang w:val="en-GB"/>
              </w:rPr>
            </w:pPr>
            <w:r w:rsidRPr="00691127">
              <w:rPr>
                <w:sz w:val="18"/>
                <w:lang w:val="en-GB"/>
              </w:rPr>
              <w:t>%</w:t>
            </w:r>
          </w:p>
        </w:tc>
      </w:tr>
      <w:tr w:rsidR="00B550D8" w:rsidRPr="00691127" w:rsidTr="00B550D8">
        <w:trPr>
          <w:trHeight w:val="397"/>
          <w:jc w:val="center"/>
        </w:trPr>
        <w:tc>
          <w:tcPr>
            <w:tcW w:w="3835" w:type="dxa"/>
            <w:tcBorders>
              <w:bottom w:val="single" w:sz="4" w:space="0" w:color="auto"/>
            </w:tcBorders>
            <w:shd w:val="clear" w:color="auto" w:fill="auto"/>
            <w:tcMar>
              <w:top w:w="28" w:type="dxa"/>
              <w:bottom w:w="28" w:type="dxa"/>
            </w:tcMar>
            <w:vAlign w:val="center"/>
          </w:tcPr>
          <w:p w:rsidR="00B550D8" w:rsidRPr="00691127" w:rsidRDefault="00B550D8" w:rsidP="00496549">
            <w:pPr>
              <w:pStyle w:val="ParagrahAnswer"/>
            </w:pPr>
            <w:r w:rsidRPr="00691127">
              <w:t>1 Потенциален бенефициент на ОПНОИР 2014 -2020</w:t>
            </w:r>
          </w:p>
        </w:tc>
        <w:tc>
          <w:tcPr>
            <w:tcW w:w="1021" w:type="dxa"/>
            <w:tcBorders>
              <w:bottom w:val="single" w:sz="4" w:space="0" w:color="auto"/>
            </w:tcBorders>
            <w:shd w:val="clear" w:color="auto" w:fill="auto"/>
            <w:tcMar>
              <w:top w:w="28" w:type="dxa"/>
              <w:bottom w:w="28" w:type="dxa"/>
            </w:tcMar>
            <w:vAlign w:val="center"/>
          </w:tcPr>
          <w:p w:rsidR="00B550D8" w:rsidRPr="00691127" w:rsidRDefault="00B550D8" w:rsidP="00496549">
            <w:pPr>
              <w:pStyle w:val="ParagrahAnswer"/>
            </w:pPr>
            <w:r w:rsidRPr="00691127">
              <w:t>111</w:t>
            </w:r>
          </w:p>
        </w:tc>
        <w:tc>
          <w:tcPr>
            <w:tcW w:w="3175" w:type="dxa"/>
            <w:tcBorders>
              <w:bottom w:val="single" w:sz="4" w:space="0" w:color="auto"/>
            </w:tcBorders>
            <w:shd w:val="clear" w:color="auto" w:fill="auto"/>
            <w:tcMar>
              <w:top w:w="28" w:type="dxa"/>
              <w:bottom w:w="28" w:type="dxa"/>
            </w:tcMar>
            <w:vAlign w:val="center"/>
          </w:tcPr>
          <w:p w:rsidR="00B550D8" w:rsidRPr="00691127" w:rsidRDefault="00B550D8" w:rsidP="00496549">
            <w:pPr>
              <w:pStyle w:val="ParagrahAnswer"/>
            </w:pPr>
            <w:r w:rsidRPr="00691127">
              <w:rPr>
                <w:lang w:val="bg-BG" w:eastAsia="bg-BG"/>
              </w:rPr>
              <w:drawing>
                <wp:inline distT="0" distB="0" distL="0" distR="0" wp14:anchorId="25E93963" wp14:editId="7F4B513E">
                  <wp:extent cx="91440" cy="182880"/>
                  <wp:effectExtent l="0" t="0" r="3810" b="7620"/>
                  <wp:docPr id="45" name="Picture 45" descr="1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descr="1s"/>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1440" cy="182880"/>
                          </a:xfrm>
                          <a:prstGeom prst="rect">
                            <a:avLst/>
                          </a:prstGeom>
                          <a:noFill/>
                          <a:ln>
                            <a:noFill/>
                          </a:ln>
                        </pic:spPr>
                      </pic:pic>
                    </a:graphicData>
                  </a:graphic>
                </wp:inline>
              </w:drawing>
            </w:r>
            <w:r w:rsidRPr="00691127">
              <w:rPr>
                <w:lang w:val="bg-BG" w:eastAsia="bg-BG"/>
              </w:rPr>
              <w:drawing>
                <wp:inline distT="0" distB="0" distL="0" distR="0" wp14:anchorId="0778C644" wp14:editId="3F5AD33A">
                  <wp:extent cx="1005840" cy="182880"/>
                  <wp:effectExtent l="0" t="0" r="3810" b="7620"/>
                  <wp:docPr id="44" name="Picture 44" descr="1_wor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5" descr="1_word"/>
                          <pic:cNvPicPr>
                            <a:picLocks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005840" cy="182880"/>
                          </a:xfrm>
                          <a:prstGeom prst="rect">
                            <a:avLst/>
                          </a:prstGeom>
                          <a:noFill/>
                          <a:ln>
                            <a:noFill/>
                          </a:ln>
                        </pic:spPr>
                      </pic:pic>
                    </a:graphicData>
                  </a:graphic>
                </wp:inline>
              </w:drawing>
            </w:r>
            <w:r w:rsidRPr="00691127">
              <w:rPr>
                <w:lang w:val="bg-BG" w:eastAsia="bg-BG"/>
              </w:rPr>
              <w:drawing>
                <wp:inline distT="0" distB="0" distL="0" distR="0" wp14:anchorId="1A663E93" wp14:editId="5F7B5375">
                  <wp:extent cx="91440" cy="182880"/>
                  <wp:effectExtent l="0" t="0" r="3810" b="7620"/>
                  <wp:docPr id="43" name="Picture 43" descr="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descr="1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1440" cy="182880"/>
                          </a:xfrm>
                          <a:prstGeom prst="rect">
                            <a:avLst/>
                          </a:prstGeom>
                          <a:noFill/>
                          <a:ln>
                            <a:noFill/>
                          </a:ln>
                        </pic:spPr>
                      </pic:pic>
                    </a:graphicData>
                  </a:graphic>
                </wp:inline>
              </w:drawing>
            </w:r>
          </w:p>
        </w:tc>
        <w:tc>
          <w:tcPr>
            <w:tcW w:w="907" w:type="dxa"/>
            <w:tcBorders>
              <w:bottom w:val="single" w:sz="4" w:space="0" w:color="auto"/>
            </w:tcBorders>
            <w:shd w:val="clear" w:color="auto" w:fill="auto"/>
            <w:tcMar>
              <w:top w:w="28" w:type="dxa"/>
              <w:bottom w:w="28" w:type="dxa"/>
            </w:tcMar>
            <w:vAlign w:val="center"/>
          </w:tcPr>
          <w:p w:rsidR="00B550D8" w:rsidRPr="00691127" w:rsidRDefault="00B550D8" w:rsidP="00496549">
            <w:pPr>
              <w:pStyle w:val="ParagrahAnswer"/>
            </w:pPr>
            <w:r w:rsidRPr="00691127">
              <w:t>58 %</w:t>
            </w:r>
          </w:p>
        </w:tc>
      </w:tr>
      <w:tr w:rsidR="00B550D8" w:rsidRPr="00691127" w:rsidTr="00B550D8">
        <w:trPr>
          <w:trHeight w:val="397"/>
          <w:jc w:val="center"/>
        </w:trPr>
        <w:tc>
          <w:tcPr>
            <w:tcW w:w="3835" w:type="dxa"/>
            <w:tcBorders>
              <w:bottom w:val="single" w:sz="4" w:space="0" w:color="auto"/>
            </w:tcBorders>
            <w:shd w:val="clear" w:color="auto" w:fill="auto"/>
            <w:tcMar>
              <w:top w:w="28" w:type="dxa"/>
              <w:bottom w:w="28" w:type="dxa"/>
            </w:tcMar>
            <w:vAlign w:val="center"/>
          </w:tcPr>
          <w:p w:rsidR="00B550D8" w:rsidRPr="00691127" w:rsidRDefault="00B550D8" w:rsidP="00496549">
            <w:pPr>
              <w:pStyle w:val="ParagrahAnswer"/>
            </w:pPr>
            <w:r w:rsidRPr="00691127">
              <w:t>2 Управляващ орган на ОПНОИР 2014-2020</w:t>
            </w:r>
          </w:p>
        </w:tc>
        <w:tc>
          <w:tcPr>
            <w:tcW w:w="1021" w:type="dxa"/>
            <w:tcBorders>
              <w:bottom w:val="single" w:sz="4" w:space="0" w:color="auto"/>
            </w:tcBorders>
            <w:shd w:val="clear" w:color="auto" w:fill="auto"/>
            <w:tcMar>
              <w:top w:w="28" w:type="dxa"/>
              <w:bottom w:w="28" w:type="dxa"/>
            </w:tcMar>
            <w:vAlign w:val="center"/>
          </w:tcPr>
          <w:p w:rsidR="00B550D8" w:rsidRPr="00691127" w:rsidRDefault="00B550D8" w:rsidP="00496549">
            <w:pPr>
              <w:pStyle w:val="ParagrahAnswer"/>
            </w:pPr>
            <w:r w:rsidRPr="00691127">
              <w:t>41</w:t>
            </w:r>
          </w:p>
        </w:tc>
        <w:tc>
          <w:tcPr>
            <w:tcW w:w="3175" w:type="dxa"/>
            <w:tcBorders>
              <w:bottom w:val="single" w:sz="4" w:space="0" w:color="auto"/>
            </w:tcBorders>
            <w:shd w:val="clear" w:color="auto" w:fill="auto"/>
            <w:tcMar>
              <w:top w:w="28" w:type="dxa"/>
              <w:bottom w:w="28" w:type="dxa"/>
            </w:tcMar>
            <w:vAlign w:val="center"/>
          </w:tcPr>
          <w:p w:rsidR="00B550D8" w:rsidRPr="00691127" w:rsidRDefault="00B550D8" w:rsidP="00496549">
            <w:pPr>
              <w:pStyle w:val="ParagrahAnswer"/>
            </w:pPr>
            <w:r w:rsidRPr="00691127">
              <w:rPr>
                <w:lang w:val="bg-BG" w:eastAsia="bg-BG"/>
              </w:rPr>
              <w:drawing>
                <wp:inline distT="0" distB="0" distL="0" distR="0" wp14:anchorId="193DA957" wp14:editId="6D962F6A">
                  <wp:extent cx="91440" cy="182880"/>
                  <wp:effectExtent l="0" t="0" r="3810" b="7620"/>
                  <wp:docPr id="42" name="Picture 42" descr="2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descr="2s"/>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1440" cy="182880"/>
                          </a:xfrm>
                          <a:prstGeom prst="rect">
                            <a:avLst/>
                          </a:prstGeom>
                          <a:noFill/>
                          <a:ln>
                            <a:noFill/>
                          </a:ln>
                        </pic:spPr>
                      </pic:pic>
                    </a:graphicData>
                  </a:graphic>
                </wp:inline>
              </w:drawing>
            </w:r>
            <w:r w:rsidRPr="00691127">
              <w:rPr>
                <w:lang w:val="bg-BG" w:eastAsia="bg-BG"/>
              </w:rPr>
              <w:drawing>
                <wp:inline distT="0" distB="0" distL="0" distR="0" wp14:anchorId="35A5FA48" wp14:editId="3B7F70E7">
                  <wp:extent cx="365760" cy="182880"/>
                  <wp:effectExtent l="0" t="0" r="0" b="7620"/>
                  <wp:docPr id="41" name="Picture 41" descr="2_wor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8" descr="2_word"/>
                          <pic:cNvPicPr>
                            <a:picLocks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r w:rsidRPr="00691127">
              <w:rPr>
                <w:lang w:val="bg-BG" w:eastAsia="bg-BG"/>
              </w:rPr>
              <w:drawing>
                <wp:inline distT="0" distB="0" distL="0" distR="0" wp14:anchorId="231B121B" wp14:editId="60925486">
                  <wp:extent cx="91440" cy="182880"/>
                  <wp:effectExtent l="0" t="0" r="3810" b="7620"/>
                  <wp:docPr id="40" name="Picture 40" descr="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descr="2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1440" cy="182880"/>
                          </a:xfrm>
                          <a:prstGeom prst="rect">
                            <a:avLst/>
                          </a:prstGeom>
                          <a:noFill/>
                          <a:ln>
                            <a:noFill/>
                          </a:ln>
                        </pic:spPr>
                      </pic:pic>
                    </a:graphicData>
                  </a:graphic>
                </wp:inline>
              </w:drawing>
            </w:r>
          </w:p>
        </w:tc>
        <w:tc>
          <w:tcPr>
            <w:tcW w:w="907" w:type="dxa"/>
            <w:tcBorders>
              <w:bottom w:val="single" w:sz="4" w:space="0" w:color="auto"/>
            </w:tcBorders>
            <w:shd w:val="clear" w:color="auto" w:fill="auto"/>
            <w:tcMar>
              <w:top w:w="28" w:type="dxa"/>
              <w:bottom w:w="28" w:type="dxa"/>
            </w:tcMar>
            <w:vAlign w:val="center"/>
          </w:tcPr>
          <w:p w:rsidR="00B550D8" w:rsidRPr="00691127" w:rsidRDefault="00B550D8" w:rsidP="00496549">
            <w:pPr>
              <w:pStyle w:val="ParagrahAnswer"/>
            </w:pPr>
            <w:r w:rsidRPr="00691127">
              <w:t>21 %</w:t>
            </w:r>
          </w:p>
        </w:tc>
      </w:tr>
      <w:tr w:rsidR="00B550D8" w:rsidRPr="00691127" w:rsidTr="00B550D8">
        <w:trPr>
          <w:trHeight w:val="397"/>
          <w:jc w:val="center"/>
        </w:trPr>
        <w:tc>
          <w:tcPr>
            <w:tcW w:w="3835" w:type="dxa"/>
            <w:tcBorders>
              <w:bottom w:val="single" w:sz="4" w:space="0" w:color="auto"/>
            </w:tcBorders>
            <w:shd w:val="clear" w:color="auto" w:fill="auto"/>
            <w:tcMar>
              <w:top w:w="28" w:type="dxa"/>
              <w:bottom w:w="28" w:type="dxa"/>
            </w:tcMar>
            <w:vAlign w:val="center"/>
          </w:tcPr>
          <w:p w:rsidR="00B550D8" w:rsidRPr="00691127" w:rsidRDefault="00B550D8" w:rsidP="00496549">
            <w:pPr>
              <w:pStyle w:val="ParagrahAnswer"/>
            </w:pPr>
            <w:r w:rsidRPr="00691127">
              <w:t>3 Член на работната група за разработване на ОПНОИР 2014-2020 (извън посочените по-горе)</w:t>
            </w:r>
          </w:p>
        </w:tc>
        <w:tc>
          <w:tcPr>
            <w:tcW w:w="1021" w:type="dxa"/>
            <w:tcBorders>
              <w:bottom w:val="single" w:sz="4" w:space="0" w:color="auto"/>
            </w:tcBorders>
            <w:shd w:val="clear" w:color="auto" w:fill="auto"/>
            <w:tcMar>
              <w:top w:w="28" w:type="dxa"/>
              <w:bottom w:w="28" w:type="dxa"/>
            </w:tcMar>
            <w:vAlign w:val="center"/>
          </w:tcPr>
          <w:p w:rsidR="00B550D8" w:rsidRPr="00691127" w:rsidRDefault="00B550D8" w:rsidP="00496549">
            <w:pPr>
              <w:pStyle w:val="ParagrahAnswer"/>
            </w:pPr>
            <w:r w:rsidRPr="00691127">
              <w:t>39</w:t>
            </w:r>
          </w:p>
        </w:tc>
        <w:tc>
          <w:tcPr>
            <w:tcW w:w="3175" w:type="dxa"/>
            <w:tcBorders>
              <w:bottom w:val="single" w:sz="4" w:space="0" w:color="auto"/>
            </w:tcBorders>
            <w:shd w:val="clear" w:color="auto" w:fill="auto"/>
            <w:tcMar>
              <w:top w:w="28" w:type="dxa"/>
              <w:bottom w:w="28" w:type="dxa"/>
            </w:tcMar>
            <w:vAlign w:val="center"/>
          </w:tcPr>
          <w:p w:rsidR="00B550D8" w:rsidRPr="00691127" w:rsidRDefault="00B550D8" w:rsidP="00496549">
            <w:pPr>
              <w:pStyle w:val="ParagrahAnswer"/>
            </w:pPr>
            <w:r w:rsidRPr="00691127">
              <w:rPr>
                <w:lang w:val="bg-BG" w:eastAsia="bg-BG"/>
              </w:rPr>
              <w:drawing>
                <wp:inline distT="0" distB="0" distL="0" distR="0" wp14:anchorId="68C173CA" wp14:editId="608407CA">
                  <wp:extent cx="91440" cy="182880"/>
                  <wp:effectExtent l="0" t="0" r="3810" b="7620"/>
                  <wp:docPr id="39" name="Picture 39" descr="3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descr="3s"/>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1440" cy="182880"/>
                          </a:xfrm>
                          <a:prstGeom prst="rect">
                            <a:avLst/>
                          </a:prstGeom>
                          <a:noFill/>
                          <a:ln>
                            <a:noFill/>
                          </a:ln>
                        </pic:spPr>
                      </pic:pic>
                    </a:graphicData>
                  </a:graphic>
                </wp:inline>
              </w:drawing>
            </w:r>
            <w:r w:rsidRPr="00691127">
              <w:rPr>
                <w:lang w:val="bg-BG" w:eastAsia="bg-BG"/>
              </w:rPr>
              <w:drawing>
                <wp:inline distT="0" distB="0" distL="0" distR="0" wp14:anchorId="442BB071" wp14:editId="5B1CB3A5">
                  <wp:extent cx="365760" cy="182880"/>
                  <wp:effectExtent l="0" t="0" r="0" b="7620"/>
                  <wp:docPr id="38" name="Picture 38" descr="3_wor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1" descr="3_word"/>
                          <pic:cNvPicPr>
                            <a:picLocks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r w:rsidRPr="00691127">
              <w:rPr>
                <w:lang w:val="bg-BG" w:eastAsia="bg-BG"/>
              </w:rPr>
              <w:drawing>
                <wp:inline distT="0" distB="0" distL="0" distR="0" wp14:anchorId="77249D8D" wp14:editId="52BD178B">
                  <wp:extent cx="91440" cy="182880"/>
                  <wp:effectExtent l="0" t="0" r="3810" b="7620"/>
                  <wp:docPr id="37" name="Picture 37" descr="3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descr="3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1440" cy="182880"/>
                          </a:xfrm>
                          <a:prstGeom prst="rect">
                            <a:avLst/>
                          </a:prstGeom>
                          <a:noFill/>
                          <a:ln>
                            <a:noFill/>
                          </a:ln>
                        </pic:spPr>
                      </pic:pic>
                    </a:graphicData>
                  </a:graphic>
                </wp:inline>
              </w:drawing>
            </w:r>
          </w:p>
        </w:tc>
        <w:tc>
          <w:tcPr>
            <w:tcW w:w="907" w:type="dxa"/>
            <w:tcBorders>
              <w:bottom w:val="single" w:sz="4" w:space="0" w:color="auto"/>
            </w:tcBorders>
            <w:shd w:val="clear" w:color="auto" w:fill="auto"/>
            <w:tcMar>
              <w:top w:w="28" w:type="dxa"/>
              <w:bottom w:w="28" w:type="dxa"/>
            </w:tcMar>
            <w:vAlign w:val="center"/>
          </w:tcPr>
          <w:p w:rsidR="00B550D8" w:rsidRPr="00691127" w:rsidRDefault="00B550D8" w:rsidP="00496549">
            <w:pPr>
              <w:pStyle w:val="ParagrahAnswer"/>
            </w:pPr>
            <w:r w:rsidRPr="00691127">
              <w:t>20 %</w:t>
            </w:r>
          </w:p>
        </w:tc>
      </w:tr>
      <w:tr w:rsidR="00B550D8" w:rsidRPr="00691127" w:rsidTr="00B550D8">
        <w:trPr>
          <w:cantSplit/>
          <w:trHeight w:val="397"/>
          <w:jc w:val="center"/>
        </w:trPr>
        <w:tc>
          <w:tcPr>
            <w:tcW w:w="4856" w:type="dxa"/>
            <w:gridSpan w:val="2"/>
            <w:shd w:val="clear" w:color="auto" w:fill="E0E0E0"/>
            <w:tcMar>
              <w:right w:w="198" w:type="dxa"/>
            </w:tcMar>
            <w:vAlign w:val="center"/>
          </w:tcPr>
          <w:p w:rsidR="00B550D8" w:rsidRPr="00691127" w:rsidRDefault="00B550D8" w:rsidP="007C4372">
            <w:pPr>
              <w:pStyle w:val="ChartTableFooter"/>
              <w:keepNext/>
              <w:keepLines/>
              <w:rPr>
                <w:sz w:val="18"/>
                <w:lang w:val="en-GB"/>
              </w:rPr>
            </w:pPr>
            <w:r w:rsidRPr="00691127">
              <w:rPr>
                <w:sz w:val="18"/>
                <w:lang w:val="en-GB"/>
              </w:rPr>
              <w:t>Total respondents: 191</w:t>
            </w:r>
          </w:p>
          <w:p w:rsidR="00B550D8" w:rsidRPr="00691127" w:rsidRDefault="00B550D8" w:rsidP="007C4372">
            <w:pPr>
              <w:pStyle w:val="ChartTableFooter"/>
              <w:keepNext/>
              <w:keepLines/>
              <w:rPr>
                <w:sz w:val="18"/>
                <w:lang w:val="en-GB"/>
              </w:rPr>
            </w:pPr>
            <w:r w:rsidRPr="00691127">
              <w:rPr>
                <w:sz w:val="18"/>
                <w:lang w:val="en-GB"/>
              </w:rPr>
              <w:t>Skipped question: 0</w:t>
            </w:r>
          </w:p>
        </w:tc>
        <w:tc>
          <w:tcPr>
            <w:tcW w:w="3175" w:type="dxa"/>
            <w:tcBorders>
              <w:right w:val="nil"/>
            </w:tcBorders>
            <w:shd w:val="clear" w:color="auto" w:fill="E0E0E0"/>
            <w:vAlign w:val="center"/>
          </w:tcPr>
          <w:tbl>
            <w:tblPr>
              <w:tblW w:w="2722" w:type="dxa"/>
              <w:jc w:val="right"/>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shd w:val="clear" w:color="auto" w:fill="F3F3F3"/>
              <w:tblLook w:val="01E0" w:firstRow="1" w:lastRow="1" w:firstColumn="1" w:lastColumn="1" w:noHBand="0" w:noVBand="0"/>
            </w:tblPr>
            <w:tblGrid>
              <w:gridCol w:w="545"/>
              <w:gridCol w:w="545"/>
              <w:gridCol w:w="544"/>
              <w:gridCol w:w="544"/>
              <w:gridCol w:w="544"/>
            </w:tblGrid>
            <w:tr w:rsidR="00B550D8" w:rsidRPr="00691127" w:rsidTr="007C4372">
              <w:trPr>
                <w:jc w:val="right"/>
              </w:trPr>
              <w:tc>
                <w:tcPr>
                  <w:tcW w:w="999" w:type="pct"/>
                  <w:shd w:val="clear" w:color="auto" w:fill="F3F3F3"/>
                  <w:tcMar>
                    <w:left w:w="57" w:type="dxa"/>
                    <w:right w:w="28" w:type="dxa"/>
                  </w:tcMar>
                  <w:vAlign w:val="center"/>
                </w:tcPr>
                <w:p w:rsidR="00B550D8" w:rsidRPr="00691127" w:rsidRDefault="00B550D8" w:rsidP="007C4372">
                  <w:pPr>
                    <w:pStyle w:val="ChartTableFooter"/>
                    <w:keepNext/>
                    <w:keepLines/>
                    <w:jc w:val="left"/>
                    <w:rPr>
                      <w:color w:val="999999"/>
                      <w:sz w:val="16"/>
                      <w:szCs w:val="16"/>
                      <w:lang w:val="en-GB"/>
                    </w:rPr>
                  </w:pPr>
                  <w:r w:rsidRPr="00691127">
                    <w:rPr>
                      <w:color w:val="999999"/>
                      <w:sz w:val="16"/>
                      <w:szCs w:val="16"/>
                      <w:lang w:val="en-GB"/>
                    </w:rPr>
                    <w:t>0%</w:t>
                  </w:r>
                </w:p>
              </w:tc>
              <w:tc>
                <w:tcPr>
                  <w:tcW w:w="1000" w:type="pct"/>
                  <w:shd w:val="clear" w:color="auto" w:fill="F3F3F3"/>
                  <w:tcMar>
                    <w:left w:w="57" w:type="dxa"/>
                    <w:right w:w="28" w:type="dxa"/>
                  </w:tcMar>
                  <w:vAlign w:val="center"/>
                </w:tcPr>
                <w:p w:rsidR="00B550D8" w:rsidRPr="00691127" w:rsidRDefault="00B550D8" w:rsidP="007C4372">
                  <w:pPr>
                    <w:pStyle w:val="ChartTableFooter"/>
                    <w:keepNext/>
                    <w:keepLines/>
                    <w:jc w:val="left"/>
                    <w:rPr>
                      <w:color w:val="999999"/>
                      <w:sz w:val="16"/>
                      <w:szCs w:val="16"/>
                      <w:lang w:val="en-GB"/>
                    </w:rPr>
                  </w:pPr>
                  <w:r w:rsidRPr="00691127">
                    <w:rPr>
                      <w:color w:val="999999"/>
                      <w:sz w:val="16"/>
                      <w:szCs w:val="16"/>
                      <w:lang w:val="en-GB"/>
                    </w:rPr>
                    <w:t>20%</w:t>
                  </w:r>
                </w:p>
              </w:tc>
              <w:tc>
                <w:tcPr>
                  <w:tcW w:w="1000" w:type="pct"/>
                  <w:shd w:val="clear" w:color="auto" w:fill="F3F3F3"/>
                  <w:tcMar>
                    <w:left w:w="57" w:type="dxa"/>
                    <w:right w:w="28" w:type="dxa"/>
                  </w:tcMar>
                  <w:vAlign w:val="center"/>
                </w:tcPr>
                <w:p w:rsidR="00B550D8" w:rsidRPr="00691127" w:rsidRDefault="00B550D8" w:rsidP="007C4372">
                  <w:pPr>
                    <w:pStyle w:val="ChartTableFooter"/>
                    <w:keepNext/>
                    <w:keepLines/>
                    <w:jc w:val="left"/>
                    <w:rPr>
                      <w:color w:val="999999"/>
                      <w:sz w:val="16"/>
                      <w:szCs w:val="16"/>
                      <w:lang w:val="en-GB"/>
                    </w:rPr>
                  </w:pPr>
                  <w:r w:rsidRPr="00691127">
                    <w:rPr>
                      <w:color w:val="999999"/>
                      <w:sz w:val="16"/>
                      <w:szCs w:val="16"/>
                      <w:lang w:val="en-GB"/>
                    </w:rPr>
                    <w:t>40%</w:t>
                  </w:r>
                </w:p>
              </w:tc>
              <w:tc>
                <w:tcPr>
                  <w:tcW w:w="1000" w:type="pct"/>
                  <w:shd w:val="clear" w:color="auto" w:fill="F3F3F3"/>
                  <w:tcMar>
                    <w:left w:w="57" w:type="dxa"/>
                    <w:right w:w="28" w:type="dxa"/>
                  </w:tcMar>
                  <w:vAlign w:val="center"/>
                </w:tcPr>
                <w:p w:rsidR="00B550D8" w:rsidRPr="00691127" w:rsidRDefault="00B550D8" w:rsidP="007C4372">
                  <w:pPr>
                    <w:pStyle w:val="ChartTableFooter"/>
                    <w:keepNext/>
                    <w:keepLines/>
                    <w:jc w:val="left"/>
                    <w:rPr>
                      <w:color w:val="999999"/>
                      <w:sz w:val="16"/>
                      <w:szCs w:val="16"/>
                      <w:lang w:val="en-GB"/>
                    </w:rPr>
                  </w:pPr>
                  <w:r w:rsidRPr="00691127">
                    <w:rPr>
                      <w:color w:val="999999"/>
                      <w:sz w:val="16"/>
                      <w:szCs w:val="16"/>
                      <w:lang w:val="en-GB"/>
                    </w:rPr>
                    <w:t>60%</w:t>
                  </w:r>
                </w:p>
              </w:tc>
              <w:tc>
                <w:tcPr>
                  <w:tcW w:w="1000" w:type="pct"/>
                  <w:shd w:val="clear" w:color="auto" w:fill="F3F3F3"/>
                  <w:tcMar>
                    <w:left w:w="57" w:type="dxa"/>
                    <w:right w:w="28" w:type="dxa"/>
                  </w:tcMar>
                  <w:vAlign w:val="center"/>
                </w:tcPr>
                <w:p w:rsidR="00B550D8" w:rsidRPr="00691127" w:rsidRDefault="00B550D8" w:rsidP="007C4372">
                  <w:pPr>
                    <w:pStyle w:val="ChartTableFooter"/>
                    <w:keepNext/>
                    <w:keepLines/>
                    <w:jc w:val="left"/>
                    <w:rPr>
                      <w:color w:val="999999"/>
                      <w:sz w:val="16"/>
                      <w:szCs w:val="16"/>
                      <w:lang w:val="en-GB"/>
                    </w:rPr>
                  </w:pPr>
                  <w:r w:rsidRPr="00691127">
                    <w:rPr>
                      <w:color w:val="999999"/>
                      <w:sz w:val="16"/>
                      <w:szCs w:val="16"/>
                      <w:lang w:val="en-GB"/>
                    </w:rPr>
                    <w:t>80%</w:t>
                  </w:r>
                </w:p>
              </w:tc>
            </w:tr>
          </w:tbl>
          <w:p w:rsidR="00B550D8" w:rsidRPr="00691127" w:rsidRDefault="00B550D8" w:rsidP="007C4372">
            <w:pPr>
              <w:pStyle w:val="ChartTableFooter"/>
              <w:keepNext/>
              <w:keepLines/>
              <w:rPr>
                <w:sz w:val="18"/>
                <w:lang w:val="en-GB"/>
              </w:rPr>
            </w:pPr>
          </w:p>
        </w:tc>
        <w:tc>
          <w:tcPr>
            <w:tcW w:w="907" w:type="dxa"/>
            <w:tcBorders>
              <w:left w:val="nil"/>
            </w:tcBorders>
            <w:shd w:val="clear" w:color="auto" w:fill="E0E0E0"/>
            <w:vAlign w:val="center"/>
          </w:tcPr>
          <w:p w:rsidR="00B550D8" w:rsidRPr="00691127" w:rsidRDefault="00B550D8" w:rsidP="007C4372">
            <w:pPr>
              <w:pStyle w:val="ChartTableFooter"/>
              <w:keepNext/>
              <w:keepLines/>
              <w:rPr>
                <w:sz w:val="18"/>
                <w:lang w:val="en-GB"/>
              </w:rPr>
            </w:pPr>
          </w:p>
        </w:tc>
      </w:tr>
    </w:tbl>
    <w:p w:rsidR="00B550D8" w:rsidRDefault="00B550D8" w:rsidP="00032004">
      <w:pPr>
        <w:spacing w:after="120"/>
        <w:jc w:val="both"/>
        <w:rPr>
          <w:rFonts w:ascii="Verdana" w:hAnsi="Verdana"/>
          <w:sz w:val="20"/>
          <w:szCs w:val="20"/>
          <w:lang w:val="bg-BG" w:eastAsia="cs-CZ"/>
        </w:rPr>
      </w:pPr>
    </w:p>
    <w:p w:rsidR="00032004" w:rsidRDefault="00032004" w:rsidP="00032004">
      <w:pPr>
        <w:spacing w:after="120"/>
        <w:jc w:val="both"/>
        <w:rPr>
          <w:rFonts w:ascii="Verdana" w:hAnsi="Verdana"/>
          <w:sz w:val="20"/>
          <w:szCs w:val="20"/>
          <w:lang w:val="bg-BG" w:eastAsia="cs-CZ"/>
        </w:rPr>
      </w:pPr>
      <w:r w:rsidRPr="00DF0F3D">
        <w:rPr>
          <w:rFonts w:ascii="Verdana" w:hAnsi="Verdana"/>
          <w:sz w:val="20"/>
          <w:szCs w:val="20"/>
          <w:lang w:val="bg-BG" w:eastAsia="cs-CZ"/>
        </w:rPr>
        <w:t xml:space="preserve">Резултатите от въпросника са използвани </w:t>
      </w:r>
      <w:r w:rsidR="004223C9">
        <w:rPr>
          <w:rFonts w:ascii="Verdana" w:hAnsi="Verdana"/>
          <w:sz w:val="20"/>
          <w:szCs w:val="20"/>
          <w:lang w:val="bg-BG" w:eastAsia="cs-CZ"/>
        </w:rPr>
        <w:t xml:space="preserve">като допълваща анализите информация, </w:t>
      </w:r>
      <w:r w:rsidRPr="00DF0F3D">
        <w:rPr>
          <w:rFonts w:ascii="Verdana" w:hAnsi="Verdana"/>
          <w:sz w:val="20"/>
          <w:szCs w:val="20"/>
          <w:lang w:val="bg-BG" w:eastAsia="cs-CZ"/>
        </w:rPr>
        <w:t xml:space="preserve">където е подходящо </w:t>
      </w:r>
      <w:r w:rsidR="004223C9">
        <w:rPr>
          <w:rFonts w:ascii="Verdana" w:hAnsi="Verdana"/>
          <w:sz w:val="20"/>
          <w:szCs w:val="20"/>
          <w:lang w:val="bg-BG" w:eastAsia="cs-CZ"/>
        </w:rPr>
        <w:t>и</w:t>
      </w:r>
      <w:r w:rsidRPr="00DF0F3D">
        <w:rPr>
          <w:rFonts w:ascii="Verdana" w:hAnsi="Verdana"/>
          <w:sz w:val="20"/>
          <w:szCs w:val="20"/>
          <w:lang w:val="bg-BG" w:eastAsia="cs-CZ"/>
        </w:rPr>
        <w:t xml:space="preserve"> са представени в Приложение </w:t>
      </w:r>
      <w:r w:rsidR="007C4372">
        <w:rPr>
          <w:rFonts w:ascii="Verdana" w:hAnsi="Verdana"/>
          <w:sz w:val="20"/>
          <w:szCs w:val="20"/>
          <w:lang w:val="bg-BG" w:eastAsia="cs-CZ"/>
        </w:rPr>
        <w:t>3</w:t>
      </w:r>
      <w:r w:rsidRPr="00DF0F3D">
        <w:rPr>
          <w:rFonts w:ascii="Verdana" w:hAnsi="Verdana"/>
          <w:sz w:val="20"/>
          <w:szCs w:val="20"/>
          <w:lang w:val="bg-BG" w:eastAsia="cs-CZ"/>
        </w:rPr>
        <w:t xml:space="preserve"> към настоящия доклад.</w:t>
      </w:r>
    </w:p>
    <w:p w:rsidR="007C4372" w:rsidRDefault="007C4372" w:rsidP="007C4372">
      <w:pPr>
        <w:spacing w:before="120" w:after="120"/>
        <w:jc w:val="both"/>
        <w:rPr>
          <w:rFonts w:ascii="Verdana" w:hAnsi="Verdana"/>
          <w:bCs/>
          <w:color w:val="000000"/>
          <w:sz w:val="20"/>
          <w:szCs w:val="20"/>
          <w:lang w:val="bg-BG"/>
        </w:rPr>
      </w:pPr>
      <w:r w:rsidRPr="00DF0F3D">
        <w:rPr>
          <w:rFonts w:ascii="Verdana" w:hAnsi="Verdana"/>
          <w:color w:val="548DD4" w:themeColor="text2" w:themeTint="99"/>
          <w:sz w:val="20"/>
          <w:szCs w:val="20"/>
          <w:lang w:val="bg-BG"/>
        </w:rPr>
        <w:t xml:space="preserve">Онлайн въпросник </w:t>
      </w:r>
      <w:r w:rsidRPr="00DF0F3D">
        <w:rPr>
          <w:rFonts w:ascii="Verdana" w:hAnsi="Verdana"/>
          <w:sz w:val="20"/>
          <w:szCs w:val="20"/>
          <w:lang w:val="bg-BG"/>
        </w:rPr>
        <w:t>до Г</w:t>
      </w:r>
      <w:r>
        <w:rPr>
          <w:rFonts w:ascii="Verdana" w:hAnsi="Verdana"/>
          <w:sz w:val="20"/>
          <w:szCs w:val="20"/>
          <w:lang w:val="bg-BG"/>
        </w:rPr>
        <w:t>ДСФМОП</w:t>
      </w:r>
      <w:r w:rsidRPr="00DF0F3D">
        <w:rPr>
          <w:rFonts w:ascii="Verdana" w:hAnsi="Verdana"/>
          <w:sz w:val="20"/>
          <w:szCs w:val="20"/>
          <w:lang w:val="bg-BG"/>
        </w:rPr>
        <w:t xml:space="preserve">. Въпросникът, посредством </w:t>
      </w:r>
      <w:r w:rsidRPr="00DF0F3D">
        <w:rPr>
          <w:rFonts w:ascii="Verdana" w:hAnsi="Verdana"/>
          <w:sz w:val="20"/>
          <w:szCs w:val="20"/>
          <w:lang w:val="bg-BG" w:eastAsia="cs-CZ"/>
        </w:rPr>
        <w:t xml:space="preserve">уеб базираната платформа  </w:t>
      </w:r>
      <w:hyperlink r:id="rId30" w:history="1">
        <w:r w:rsidRPr="00DF0F3D">
          <w:rPr>
            <w:rStyle w:val="Hyperlink"/>
            <w:rFonts w:ascii="Verdana" w:hAnsi="Verdana"/>
            <w:sz w:val="20"/>
            <w:szCs w:val="20"/>
            <w:lang w:eastAsia="cs-CZ"/>
          </w:rPr>
          <w:t>www</w:t>
        </w:r>
        <w:r w:rsidRPr="00DF0F3D">
          <w:rPr>
            <w:rStyle w:val="Hyperlink"/>
            <w:rFonts w:ascii="Verdana" w:hAnsi="Verdana"/>
            <w:sz w:val="20"/>
            <w:szCs w:val="20"/>
            <w:lang w:val="bg-BG" w:eastAsia="cs-CZ"/>
          </w:rPr>
          <w:t>.</w:t>
        </w:r>
        <w:proofErr w:type="spellStart"/>
        <w:r w:rsidRPr="00DF0F3D">
          <w:rPr>
            <w:rStyle w:val="Hyperlink"/>
            <w:rFonts w:ascii="Verdana" w:hAnsi="Verdana"/>
            <w:sz w:val="20"/>
            <w:szCs w:val="20"/>
            <w:lang w:eastAsia="cs-CZ"/>
          </w:rPr>
          <w:t>checkmarket</w:t>
        </w:r>
        <w:proofErr w:type="spellEnd"/>
        <w:r w:rsidRPr="00DF0F3D">
          <w:rPr>
            <w:rStyle w:val="Hyperlink"/>
            <w:rFonts w:ascii="Verdana" w:hAnsi="Verdana"/>
            <w:sz w:val="20"/>
            <w:szCs w:val="20"/>
            <w:lang w:val="bg-BG" w:eastAsia="cs-CZ"/>
          </w:rPr>
          <w:t>.</w:t>
        </w:r>
        <w:r w:rsidRPr="00DF0F3D">
          <w:rPr>
            <w:rStyle w:val="Hyperlink"/>
            <w:rFonts w:ascii="Verdana" w:hAnsi="Verdana"/>
            <w:sz w:val="20"/>
            <w:szCs w:val="20"/>
            <w:lang w:eastAsia="cs-CZ"/>
          </w:rPr>
          <w:t>com</w:t>
        </w:r>
      </w:hyperlink>
      <w:r w:rsidRPr="00DF0F3D">
        <w:rPr>
          <w:rStyle w:val="Hyperlink"/>
          <w:rFonts w:ascii="Verdana" w:hAnsi="Verdana"/>
          <w:sz w:val="20"/>
          <w:szCs w:val="20"/>
          <w:lang w:val="bg-BG" w:eastAsia="cs-CZ"/>
        </w:rPr>
        <w:t>,</w:t>
      </w:r>
      <w:r w:rsidRPr="00DF0F3D">
        <w:rPr>
          <w:rFonts w:ascii="Verdana" w:hAnsi="Verdana"/>
          <w:sz w:val="20"/>
          <w:szCs w:val="20"/>
          <w:lang w:val="bg-BG"/>
        </w:rPr>
        <w:t xml:space="preserve"> беше изпратен до всички служители в ГД</w:t>
      </w:r>
      <w:r>
        <w:rPr>
          <w:rFonts w:ascii="Verdana" w:hAnsi="Verdana"/>
          <w:sz w:val="20"/>
          <w:szCs w:val="20"/>
          <w:lang w:val="bg-BG"/>
        </w:rPr>
        <w:t xml:space="preserve">СФМОП </w:t>
      </w:r>
      <w:r w:rsidRPr="00DF0F3D">
        <w:rPr>
          <w:rFonts w:ascii="Verdana" w:hAnsi="Verdana"/>
          <w:sz w:val="20"/>
          <w:szCs w:val="20"/>
          <w:lang w:val="bg-BG"/>
        </w:rPr>
        <w:t>(</w:t>
      </w:r>
      <w:r>
        <w:rPr>
          <w:rFonts w:ascii="Verdana" w:hAnsi="Verdana"/>
          <w:sz w:val="20"/>
          <w:szCs w:val="20"/>
          <w:lang w:val="bg-BG"/>
        </w:rPr>
        <w:t>80</w:t>
      </w:r>
      <w:r w:rsidRPr="00DF0F3D">
        <w:rPr>
          <w:rFonts w:ascii="Verdana" w:hAnsi="Verdana"/>
          <w:sz w:val="20"/>
          <w:szCs w:val="20"/>
          <w:lang w:val="bg-BG"/>
        </w:rPr>
        <w:t xml:space="preserve"> експерта) и имаше за цел да набере информация, която да подкрепи анализите и оценката на административния капацитет за управление и изпълнение на </w:t>
      </w:r>
      <w:r>
        <w:rPr>
          <w:rFonts w:ascii="Verdana" w:hAnsi="Verdana"/>
          <w:sz w:val="20"/>
          <w:szCs w:val="20"/>
          <w:lang w:val="bg-BG"/>
        </w:rPr>
        <w:t>ОПНОИР</w:t>
      </w:r>
      <w:r w:rsidRPr="00DF0F3D">
        <w:rPr>
          <w:rFonts w:ascii="Verdana" w:hAnsi="Verdana"/>
          <w:sz w:val="20"/>
          <w:szCs w:val="20"/>
          <w:lang w:val="bg-BG"/>
        </w:rPr>
        <w:t xml:space="preserve"> 2014-2020 г. Н</w:t>
      </w:r>
      <w:r w:rsidRPr="00DF0F3D">
        <w:rPr>
          <w:rFonts w:ascii="Verdana" w:hAnsi="Verdana"/>
          <w:bCs/>
          <w:color w:val="000000"/>
          <w:sz w:val="20"/>
          <w:szCs w:val="20"/>
          <w:lang w:val="bg-BG"/>
        </w:rPr>
        <w:t xml:space="preserve">а анкетата отговориха </w:t>
      </w:r>
      <w:r w:rsidRPr="007C4372">
        <w:rPr>
          <w:rFonts w:ascii="Verdana" w:hAnsi="Verdana"/>
          <w:bCs/>
          <w:color w:val="000000"/>
          <w:sz w:val="20"/>
          <w:szCs w:val="20"/>
          <w:lang w:val="bg-BG"/>
        </w:rPr>
        <w:t>56 експерта (68%). Разпределение</w:t>
      </w:r>
      <w:r w:rsidRPr="00DF0F3D">
        <w:rPr>
          <w:rFonts w:ascii="Verdana" w:hAnsi="Verdana"/>
          <w:bCs/>
          <w:color w:val="000000"/>
          <w:sz w:val="20"/>
          <w:szCs w:val="20"/>
          <w:lang w:val="bg-BG"/>
        </w:rPr>
        <w:t xml:space="preserve"> на отговорилите по отдели е представено в таблицата по-долу.</w:t>
      </w:r>
    </w:p>
    <w:tbl>
      <w:tblPr>
        <w:tblW w:w="9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8"/>
        <w:gridCol w:w="1541"/>
        <w:gridCol w:w="1547"/>
        <w:gridCol w:w="1454"/>
      </w:tblGrid>
      <w:tr w:rsidR="00F224CD" w:rsidRPr="008766DD" w:rsidTr="00D737F0">
        <w:trPr>
          <w:cantSplit/>
          <w:trHeight w:val="397"/>
          <w:tblHeader/>
          <w:jc w:val="center"/>
        </w:trPr>
        <w:tc>
          <w:tcPr>
            <w:tcW w:w="4673" w:type="dxa"/>
            <w:shd w:val="clear" w:color="auto" w:fill="E0E0E0"/>
            <w:vAlign w:val="center"/>
          </w:tcPr>
          <w:p w:rsidR="00F224CD" w:rsidRPr="00496549" w:rsidRDefault="00F224CD" w:rsidP="0036128F">
            <w:pPr>
              <w:pStyle w:val="ChartTableHeader"/>
              <w:keepNext/>
              <w:keepLines/>
              <w:rPr>
                <w:sz w:val="18"/>
                <w:lang w:val="en-US"/>
              </w:rPr>
            </w:pPr>
            <w:r>
              <w:rPr>
                <w:sz w:val="18"/>
                <w:lang w:val="bg-BG"/>
              </w:rPr>
              <w:lastRenderedPageBreak/>
              <w:t>Отдел</w:t>
            </w:r>
            <w:r w:rsidR="00496549">
              <w:rPr>
                <w:sz w:val="18"/>
                <w:lang w:val="en-US"/>
              </w:rPr>
              <w:t>*</w:t>
            </w:r>
          </w:p>
        </w:tc>
        <w:tc>
          <w:tcPr>
            <w:tcW w:w="1564" w:type="dxa"/>
            <w:shd w:val="clear" w:color="auto" w:fill="E0E0E0"/>
            <w:vAlign w:val="center"/>
          </w:tcPr>
          <w:p w:rsidR="00F224CD" w:rsidRPr="00F224CD" w:rsidRDefault="00F224CD" w:rsidP="00F224CD">
            <w:pPr>
              <w:pStyle w:val="ChartTableHeader"/>
              <w:keepNext/>
              <w:keepLines/>
              <w:rPr>
                <w:sz w:val="18"/>
                <w:lang w:val="bg-BG"/>
              </w:rPr>
            </w:pPr>
            <w:r>
              <w:rPr>
                <w:sz w:val="18"/>
                <w:lang w:val="bg-BG"/>
              </w:rPr>
              <w:t>Брой експерти в отделите</w:t>
            </w:r>
          </w:p>
        </w:tc>
        <w:tc>
          <w:tcPr>
            <w:tcW w:w="1559" w:type="dxa"/>
            <w:shd w:val="clear" w:color="auto" w:fill="E0E0E0"/>
            <w:vAlign w:val="center"/>
          </w:tcPr>
          <w:p w:rsidR="00F224CD" w:rsidRPr="00F224CD" w:rsidRDefault="00F224CD" w:rsidP="00D737F0">
            <w:pPr>
              <w:pStyle w:val="ChartTableHeader"/>
              <w:keepNext/>
              <w:keepLines/>
              <w:rPr>
                <w:sz w:val="18"/>
                <w:lang w:val="bg-BG"/>
              </w:rPr>
            </w:pPr>
            <w:r>
              <w:rPr>
                <w:sz w:val="18"/>
                <w:lang w:val="bg-BG"/>
              </w:rPr>
              <w:t>Отговорили</w:t>
            </w:r>
            <w:r w:rsidR="00D737F0">
              <w:rPr>
                <w:sz w:val="18"/>
                <w:lang w:val="bg-BG"/>
              </w:rPr>
              <w:t xml:space="preserve"> (брой)</w:t>
            </w:r>
          </w:p>
        </w:tc>
        <w:tc>
          <w:tcPr>
            <w:tcW w:w="1284" w:type="dxa"/>
            <w:shd w:val="clear" w:color="auto" w:fill="E0E0E0"/>
            <w:vAlign w:val="center"/>
          </w:tcPr>
          <w:p w:rsidR="00F224CD" w:rsidRPr="00F224CD" w:rsidRDefault="00F224CD" w:rsidP="0036128F">
            <w:pPr>
              <w:pStyle w:val="ChartTableHeader"/>
              <w:keepNext/>
              <w:keepLines/>
              <w:rPr>
                <w:sz w:val="18"/>
                <w:lang w:val="bg-BG"/>
              </w:rPr>
            </w:pPr>
            <w:r>
              <w:rPr>
                <w:sz w:val="18"/>
                <w:lang w:val="bg-BG"/>
              </w:rPr>
              <w:t>%</w:t>
            </w:r>
            <w:r w:rsidR="00D737F0">
              <w:rPr>
                <w:sz w:val="18"/>
                <w:lang w:val="bg-BG"/>
              </w:rPr>
              <w:t xml:space="preserve"> на отговорилите</w:t>
            </w:r>
          </w:p>
        </w:tc>
      </w:tr>
      <w:tr w:rsidR="00496549" w:rsidRPr="008766DD" w:rsidTr="00D737F0">
        <w:trPr>
          <w:trHeight w:val="397"/>
          <w:jc w:val="center"/>
        </w:trPr>
        <w:tc>
          <w:tcPr>
            <w:tcW w:w="4673" w:type="dxa"/>
            <w:tcBorders>
              <w:bottom w:val="single" w:sz="4" w:space="0" w:color="auto"/>
            </w:tcBorders>
            <w:shd w:val="clear" w:color="auto" w:fill="auto"/>
            <w:tcMar>
              <w:top w:w="28" w:type="dxa"/>
              <w:bottom w:w="28" w:type="dxa"/>
            </w:tcMar>
            <w:vAlign w:val="center"/>
          </w:tcPr>
          <w:p w:rsidR="00496549" w:rsidRPr="008766DD" w:rsidRDefault="00496549" w:rsidP="00496549">
            <w:pPr>
              <w:pStyle w:val="ParagrahAnswer"/>
            </w:pPr>
            <w:r w:rsidRPr="008766DD">
              <w:t>1 Отдел "Анализи, планиране и предоставяне на БФП"</w:t>
            </w:r>
          </w:p>
        </w:tc>
        <w:tc>
          <w:tcPr>
            <w:tcW w:w="1564" w:type="dxa"/>
            <w:tcBorders>
              <w:bottom w:val="single" w:sz="4" w:space="0" w:color="auto"/>
            </w:tcBorders>
            <w:shd w:val="clear" w:color="auto" w:fill="auto"/>
            <w:tcMar>
              <w:top w:w="28" w:type="dxa"/>
              <w:bottom w:w="28" w:type="dxa"/>
            </w:tcMar>
            <w:vAlign w:val="center"/>
          </w:tcPr>
          <w:p w:rsidR="00496549" w:rsidRPr="00496549" w:rsidRDefault="00496549" w:rsidP="00496549">
            <w:pPr>
              <w:pStyle w:val="ParagrahAnswer"/>
            </w:pPr>
            <w:r>
              <w:t>9</w:t>
            </w:r>
          </w:p>
        </w:tc>
        <w:tc>
          <w:tcPr>
            <w:tcW w:w="1559" w:type="dxa"/>
            <w:tcBorders>
              <w:bottom w:val="single" w:sz="4" w:space="0" w:color="auto"/>
            </w:tcBorders>
            <w:shd w:val="clear" w:color="auto" w:fill="auto"/>
            <w:tcMar>
              <w:top w:w="28" w:type="dxa"/>
              <w:bottom w:w="28" w:type="dxa"/>
            </w:tcMar>
            <w:vAlign w:val="center"/>
          </w:tcPr>
          <w:p w:rsidR="00496549" w:rsidRPr="008766DD" w:rsidRDefault="00496549" w:rsidP="00496549">
            <w:pPr>
              <w:pStyle w:val="ParagrahAnswer"/>
            </w:pPr>
            <w:r w:rsidRPr="008766DD">
              <w:t>8</w:t>
            </w:r>
          </w:p>
        </w:tc>
        <w:tc>
          <w:tcPr>
            <w:tcW w:w="1284" w:type="dxa"/>
            <w:tcBorders>
              <w:bottom w:val="single" w:sz="4" w:space="0" w:color="auto"/>
            </w:tcBorders>
            <w:shd w:val="clear" w:color="auto" w:fill="auto"/>
            <w:tcMar>
              <w:top w:w="28" w:type="dxa"/>
              <w:bottom w:w="28" w:type="dxa"/>
            </w:tcMar>
            <w:vAlign w:val="center"/>
          </w:tcPr>
          <w:p w:rsidR="00496549" w:rsidRPr="00496549" w:rsidRDefault="00496549" w:rsidP="00496549">
            <w:pPr>
              <w:pStyle w:val="ParagrahAnswer"/>
            </w:pPr>
            <w:r w:rsidRPr="00496549">
              <w:t>89</w:t>
            </w:r>
          </w:p>
        </w:tc>
      </w:tr>
      <w:tr w:rsidR="00496549" w:rsidRPr="008766DD" w:rsidTr="00D737F0">
        <w:trPr>
          <w:trHeight w:val="397"/>
          <w:jc w:val="center"/>
        </w:trPr>
        <w:tc>
          <w:tcPr>
            <w:tcW w:w="4673" w:type="dxa"/>
            <w:tcBorders>
              <w:bottom w:val="single" w:sz="4" w:space="0" w:color="auto"/>
            </w:tcBorders>
            <w:shd w:val="clear" w:color="auto" w:fill="auto"/>
            <w:tcMar>
              <w:top w:w="28" w:type="dxa"/>
              <w:bottom w:w="28" w:type="dxa"/>
            </w:tcMar>
            <w:vAlign w:val="center"/>
          </w:tcPr>
          <w:p w:rsidR="00496549" w:rsidRPr="008766DD" w:rsidRDefault="00496549" w:rsidP="00496549">
            <w:pPr>
              <w:pStyle w:val="ParagrahAnswer"/>
            </w:pPr>
            <w:r w:rsidRPr="008766DD">
              <w:t>2 Отдел "Техническа верификация"</w:t>
            </w:r>
          </w:p>
        </w:tc>
        <w:tc>
          <w:tcPr>
            <w:tcW w:w="1564" w:type="dxa"/>
            <w:tcBorders>
              <w:bottom w:val="single" w:sz="4" w:space="0" w:color="auto"/>
            </w:tcBorders>
            <w:shd w:val="clear" w:color="auto" w:fill="auto"/>
            <w:tcMar>
              <w:top w:w="28" w:type="dxa"/>
              <w:bottom w:w="28" w:type="dxa"/>
            </w:tcMar>
            <w:vAlign w:val="center"/>
          </w:tcPr>
          <w:p w:rsidR="00496549" w:rsidRPr="00496549" w:rsidRDefault="00496549" w:rsidP="00496549">
            <w:pPr>
              <w:pStyle w:val="ParagrahAnswer"/>
            </w:pPr>
            <w:r>
              <w:t>17</w:t>
            </w:r>
          </w:p>
        </w:tc>
        <w:tc>
          <w:tcPr>
            <w:tcW w:w="1559" w:type="dxa"/>
            <w:tcBorders>
              <w:bottom w:val="single" w:sz="4" w:space="0" w:color="auto"/>
            </w:tcBorders>
            <w:shd w:val="clear" w:color="auto" w:fill="auto"/>
            <w:tcMar>
              <w:top w:w="28" w:type="dxa"/>
              <w:bottom w:w="28" w:type="dxa"/>
            </w:tcMar>
            <w:vAlign w:val="center"/>
          </w:tcPr>
          <w:p w:rsidR="00496549" w:rsidRPr="008766DD" w:rsidRDefault="00496549" w:rsidP="00496549">
            <w:pPr>
              <w:pStyle w:val="ParagrahAnswer"/>
            </w:pPr>
            <w:r w:rsidRPr="008766DD">
              <w:t>10</w:t>
            </w:r>
          </w:p>
        </w:tc>
        <w:tc>
          <w:tcPr>
            <w:tcW w:w="1284" w:type="dxa"/>
            <w:tcBorders>
              <w:bottom w:val="single" w:sz="4" w:space="0" w:color="auto"/>
            </w:tcBorders>
            <w:shd w:val="clear" w:color="auto" w:fill="auto"/>
            <w:tcMar>
              <w:top w:w="28" w:type="dxa"/>
              <w:bottom w:w="28" w:type="dxa"/>
            </w:tcMar>
            <w:vAlign w:val="center"/>
          </w:tcPr>
          <w:p w:rsidR="00496549" w:rsidRPr="00496549" w:rsidRDefault="00496549" w:rsidP="00496549">
            <w:pPr>
              <w:pStyle w:val="ParagrahAnswer"/>
            </w:pPr>
            <w:r w:rsidRPr="00496549">
              <w:t>59</w:t>
            </w:r>
          </w:p>
        </w:tc>
      </w:tr>
      <w:tr w:rsidR="00496549" w:rsidRPr="008766DD" w:rsidTr="00D737F0">
        <w:trPr>
          <w:trHeight w:val="397"/>
          <w:jc w:val="center"/>
        </w:trPr>
        <w:tc>
          <w:tcPr>
            <w:tcW w:w="4673" w:type="dxa"/>
            <w:tcBorders>
              <w:bottom w:val="single" w:sz="4" w:space="0" w:color="auto"/>
            </w:tcBorders>
            <w:shd w:val="clear" w:color="auto" w:fill="auto"/>
            <w:tcMar>
              <w:top w:w="28" w:type="dxa"/>
              <w:bottom w:w="28" w:type="dxa"/>
            </w:tcMar>
            <w:vAlign w:val="center"/>
          </w:tcPr>
          <w:p w:rsidR="00496549" w:rsidRPr="008766DD" w:rsidRDefault="00496549" w:rsidP="00496549">
            <w:pPr>
              <w:pStyle w:val="ParagrahAnswer"/>
            </w:pPr>
            <w:r w:rsidRPr="008766DD">
              <w:t>3 Отдел "Финансова верификация"</w:t>
            </w:r>
          </w:p>
        </w:tc>
        <w:tc>
          <w:tcPr>
            <w:tcW w:w="1564" w:type="dxa"/>
            <w:tcBorders>
              <w:bottom w:val="single" w:sz="4" w:space="0" w:color="auto"/>
            </w:tcBorders>
            <w:shd w:val="clear" w:color="auto" w:fill="auto"/>
            <w:tcMar>
              <w:top w:w="28" w:type="dxa"/>
              <w:bottom w:w="28" w:type="dxa"/>
            </w:tcMar>
            <w:vAlign w:val="center"/>
          </w:tcPr>
          <w:p w:rsidR="00496549" w:rsidRPr="00496549" w:rsidRDefault="00496549" w:rsidP="00496549">
            <w:pPr>
              <w:pStyle w:val="ParagrahAnswer"/>
            </w:pPr>
            <w:r>
              <w:t>19</w:t>
            </w:r>
          </w:p>
        </w:tc>
        <w:tc>
          <w:tcPr>
            <w:tcW w:w="1559" w:type="dxa"/>
            <w:tcBorders>
              <w:bottom w:val="single" w:sz="4" w:space="0" w:color="auto"/>
            </w:tcBorders>
            <w:shd w:val="clear" w:color="auto" w:fill="auto"/>
            <w:tcMar>
              <w:top w:w="28" w:type="dxa"/>
              <w:bottom w:w="28" w:type="dxa"/>
            </w:tcMar>
            <w:vAlign w:val="center"/>
          </w:tcPr>
          <w:p w:rsidR="00496549" w:rsidRPr="008766DD" w:rsidRDefault="00496549" w:rsidP="00496549">
            <w:pPr>
              <w:pStyle w:val="ParagrahAnswer"/>
            </w:pPr>
            <w:r w:rsidRPr="008766DD">
              <w:t>13</w:t>
            </w:r>
          </w:p>
        </w:tc>
        <w:tc>
          <w:tcPr>
            <w:tcW w:w="1284" w:type="dxa"/>
            <w:tcBorders>
              <w:bottom w:val="single" w:sz="4" w:space="0" w:color="auto"/>
            </w:tcBorders>
            <w:shd w:val="clear" w:color="auto" w:fill="auto"/>
            <w:tcMar>
              <w:top w:w="28" w:type="dxa"/>
              <w:bottom w:w="28" w:type="dxa"/>
            </w:tcMar>
            <w:vAlign w:val="center"/>
          </w:tcPr>
          <w:p w:rsidR="00496549" w:rsidRPr="00496549" w:rsidRDefault="00496549" w:rsidP="00496549">
            <w:pPr>
              <w:pStyle w:val="ParagrahAnswer"/>
            </w:pPr>
            <w:r w:rsidRPr="00496549">
              <w:t>68</w:t>
            </w:r>
          </w:p>
        </w:tc>
      </w:tr>
      <w:tr w:rsidR="00496549" w:rsidRPr="008766DD" w:rsidTr="00D737F0">
        <w:trPr>
          <w:trHeight w:val="397"/>
          <w:jc w:val="center"/>
        </w:trPr>
        <w:tc>
          <w:tcPr>
            <w:tcW w:w="4673" w:type="dxa"/>
            <w:tcBorders>
              <w:bottom w:val="single" w:sz="4" w:space="0" w:color="auto"/>
            </w:tcBorders>
            <w:shd w:val="clear" w:color="auto" w:fill="auto"/>
            <w:tcMar>
              <w:top w:w="28" w:type="dxa"/>
              <w:bottom w:w="28" w:type="dxa"/>
            </w:tcMar>
            <w:vAlign w:val="center"/>
          </w:tcPr>
          <w:p w:rsidR="00496549" w:rsidRPr="008766DD" w:rsidRDefault="00496549" w:rsidP="00496549">
            <w:pPr>
              <w:pStyle w:val="ParagrahAnswer"/>
            </w:pPr>
            <w:r w:rsidRPr="008766DD">
              <w:t>4 Отдел "Финансово планиране, счетоводна отчетност и плащания"</w:t>
            </w:r>
          </w:p>
        </w:tc>
        <w:tc>
          <w:tcPr>
            <w:tcW w:w="1564" w:type="dxa"/>
            <w:tcBorders>
              <w:bottom w:val="single" w:sz="4" w:space="0" w:color="auto"/>
            </w:tcBorders>
            <w:shd w:val="clear" w:color="auto" w:fill="auto"/>
            <w:tcMar>
              <w:top w:w="28" w:type="dxa"/>
              <w:bottom w:w="28" w:type="dxa"/>
            </w:tcMar>
            <w:vAlign w:val="center"/>
          </w:tcPr>
          <w:p w:rsidR="00496549" w:rsidRPr="00496549" w:rsidRDefault="00496549" w:rsidP="00496549">
            <w:pPr>
              <w:pStyle w:val="ParagrahAnswer"/>
            </w:pPr>
            <w:r>
              <w:t>6</w:t>
            </w:r>
          </w:p>
        </w:tc>
        <w:tc>
          <w:tcPr>
            <w:tcW w:w="1559" w:type="dxa"/>
            <w:tcBorders>
              <w:bottom w:val="single" w:sz="4" w:space="0" w:color="auto"/>
            </w:tcBorders>
            <w:shd w:val="clear" w:color="auto" w:fill="auto"/>
            <w:tcMar>
              <w:top w:w="28" w:type="dxa"/>
              <w:bottom w:w="28" w:type="dxa"/>
            </w:tcMar>
            <w:vAlign w:val="center"/>
          </w:tcPr>
          <w:p w:rsidR="00496549" w:rsidRPr="008766DD" w:rsidRDefault="00496549" w:rsidP="00496549">
            <w:pPr>
              <w:pStyle w:val="ParagrahAnswer"/>
            </w:pPr>
            <w:r w:rsidRPr="008766DD">
              <w:t>2</w:t>
            </w:r>
          </w:p>
        </w:tc>
        <w:tc>
          <w:tcPr>
            <w:tcW w:w="1284" w:type="dxa"/>
            <w:tcBorders>
              <w:bottom w:val="single" w:sz="4" w:space="0" w:color="auto"/>
            </w:tcBorders>
            <w:shd w:val="clear" w:color="auto" w:fill="auto"/>
            <w:tcMar>
              <w:top w:w="28" w:type="dxa"/>
              <w:bottom w:w="28" w:type="dxa"/>
            </w:tcMar>
            <w:vAlign w:val="center"/>
          </w:tcPr>
          <w:p w:rsidR="00496549" w:rsidRPr="00496549" w:rsidRDefault="00496549" w:rsidP="00496549">
            <w:pPr>
              <w:pStyle w:val="ParagrahAnswer"/>
            </w:pPr>
            <w:r w:rsidRPr="00496549">
              <w:t>33</w:t>
            </w:r>
          </w:p>
        </w:tc>
      </w:tr>
      <w:tr w:rsidR="00496549" w:rsidRPr="008766DD" w:rsidTr="00D737F0">
        <w:trPr>
          <w:trHeight w:val="397"/>
          <w:jc w:val="center"/>
        </w:trPr>
        <w:tc>
          <w:tcPr>
            <w:tcW w:w="4673" w:type="dxa"/>
            <w:tcBorders>
              <w:bottom w:val="single" w:sz="4" w:space="0" w:color="auto"/>
            </w:tcBorders>
            <w:shd w:val="clear" w:color="auto" w:fill="auto"/>
            <w:tcMar>
              <w:top w:w="28" w:type="dxa"/>
              <w:bottom w:w="28" w:type="dxa"/>
            </w:tcMar>
            <w:vAlign w:val="center"/>
          </w:tcPr>
          <w:p w:rsidR="00496549" w:rsidRPr="008766DD" w:rsidRDefault="00496549" w:rsidP="00496549">
            <w:pPr>
              <w:pStyle w:val="ParagrahAnswer"/>
            </w:pPr>
            <w:r w:rsidRPr="008766DD">
              <w:t>5 Отдел "Регионално управление на проекти"</w:t>
            </w:r>
          </w:p>
        </w:tc>
        <w:tc>
          <w:tcPr>
            <w:tcW w:w="1564" w:type="dxa"/>
            <w:tcBorders>
              <w:bottom w:val="single" w:sz="4" w:space="0" w:color="auto"/>
            </w:tcBorders>
            <w:shd w:val="clear" w:color="auto" w:fill="auto"/>
            <w:tcMar>
              <w:top w:w="28" w:type="dxa"/>
              <w:bottom w:w="28" w:type="dxa"/>
            </w:tcMar>
            <w:vAlign w:val="center"/>
          </w:tcPr>
          <w:p w:rsidR="00496549" w:rsidRPr="00496549" w:rsidRDefault="00496549" w:rsidP="00496549">
            <w:pPr>
              <w:pStyle w:val="ParagrahAnswer"/>
            </w:pPr>
            <w:r>
              <w:t>23</w:t>
            </w:r>
          </w:p>
        </w:tc>
        <w:tc>
          <w:tcPr>
            <w:tcW w:w="1559" w:type="dxa"/>
            <w:tcBorders>
              <w:bottom w:val="single" w:sz="4" w:space="0" w:color="auto"/>
            </w:tcBorders>
            <w:shd w:val="clear" w:color="auto" w:fill="auto"/>
            <w:tcMar>
              <w:top w:w="28" w:type="dxa"/>
              <w:bottom w:w="28" w:type="dxa"/>
            </w:tcMar>
            <w:vAlign w:val="center"/>
          </w:tcPr>
          <w:p w:rsidR="00496549" w:rsidRPr="008766DD" w:rsidRDefault="00496549" w:rsidP="00496549">
            <w:pPr>
              <w:pStyle w:val="ParagrahAnswer"/>
            </w:pPr>
            <w:r w:rsidRPr="008766DD">
              <w:t>19</w:t>
            </w:r>
          </w:p>
        </w:tc>
        <w:tc>
          <w:tcPr>
            <w:tcW w:w="1284" w:type="dxa"/>
            <w:tcBorders>
              <w:bottom w:val="single" w:sz="4" w:space="0" w:color="auto"/>
            </w:tcBorders>
            <w:shd w:val="clear" w:color="auto" w:fill="auto"/>
            <w:tcMar>
              <w:top w:w="28" w:type="dxa"/>
              <w:bottom w:w="28" w:type="dxa"/>
            </w:tcMar>
            <w:vAlign w:val="center"/>
          </w:tcPr>
          <w:p w:rsidR="00496549" w:rsidRPr="00496549" w:rsidRDefault="00496549" w:rsidP="00496549">
            <w:pPr>
              <w:pStyle w:val="ParagrahAnswer"/>
            </w:pPr>
            <w:r w:rsidRPr="00496549">
              <w:t>83</w:t>
            </w:r>
          </w:p>
        </w:tc>
      </w:tr>
      <w:tr w:rsidR="00496549" w:rsidRPr="008766DD" w:rsidTr="00D737F0">
        <w:trPr>
          <w:trHeight w:val="397"/>
          <w:jc w:val="center"/>
        </w:trPr>
        <w:tc>
          <w:tcPr>
            <w:tcW w:w="4673" w:type="dxa"/>
            <w:tcBorders>
              <w:bottom w:val="single" w:sz="4" w:space="0" w:color="auto"/>
            </w:tcBorders>
            <w:shd w:val="clear" w:color="auto" w:fill="auto"/>
            <w:tcMar>
              <w:top w:w="28" w:type="dxa"/>
              <w:bottom w:w="28" w:type="dxa"/>
            </w:tcMar>
            <w:vAlign w:val="center"/>
          </w:tcPr>
          <w:p w:rsidR="00496549" w:rsidRPr="008766DD" w:rsidRDefault="00496549" w:rsidP="00496549">
            <w:pPr>
              <w:pStyle w:val="ParagrahAnswer"/>
            </w:pPr>
            <w:r w:rsidRPr="008766DD">
              <w:t>6 Отдел "Управление на качеството"</w:t>
            </w:r>
          </w:p>
        </w:tc>
        <w:tc>
          <w:tcPr>
            <w:tcW w:w="1564" w:type="dxa"/>
            <w:tcBorders>
              <w:bottom w:val="single" w:sz="4" w:space="0" w:color="auto"/>
            </w:tcBorders>
            <w:shd w:val="clear" w:color="auto" w:fill="auto"/>
            <w:tcMar>
              <w:top w:w="28" w:type="dxa"/>
              <w:bottom w:w="28" w:type="dxa"/>
            </w:tcMar>
            <w:vAlign w:val="center"/>
          </w:tcPr>
          <w:p w:rsidR="00496549" w:rsidRPr="00496549" w:rsidRDefault="00496549" w:rsidP="00496549">
            <w:pPr>
              <w:pStyle w:val="ParagrahAnswer"/>
            </w:pPr>
            <w:r>
              <w:t>5</w:t>
            </w:r>
          </w:p>
        </w:tc>
        <w:tc>
          <w:tcPr>
            <w:tcW w:w="1559" w:type="dxa"/>
            <w:tcBorders>
              <w:bottom w:val="single" w:sz="4" w:space="0" w:color="auto"/>
            </w:tcBorders>
            <w:shd w:val="clear" w:color="auto" w:fill="auto"/>
            <w:tcMar>
              <w:top w:w="28" w:type="dxa"/>
              <w:bottom w:w="28" w:type="dxa"/>
            </w:tcMar>
            <w:vAlign w:val="center"/>
          </w:tcPr>
          <w:p w:rsidR="00496549" w:rsidRPr="008766DD" w:rsidRDefault="00496549" w:rsidP="00496549">
            <w:pPr>
              <w:pStyle w:val="ParagrahAnswer"/>
            </w:pPr>
            <w:r w:rsidRPr="008766DD">
              <w:t>2</w:t>
            </w:r>
          </w:p>
        </w:tc>
        <w:tc>
          <w:tcPr>
            <w:tcW w:w="1284" w:type="dxa"/>
            <w:tcBorders>
              <w:bottom w:val="single" w:sz="4" w:space="0" w:color="auto"/>
            </w:tcBorders>
            <w:shd w:val="clear" w:color="auto" w:fill="auto"/>
            <w:tcMar>
              <w:top w:w="28" w:type="dxa"/>
              <w:bottom w:w="28" w:type="dxa"/>
            </w:tcMar>
            <w:vAlign w:val="center"/>
          </w:tcPr>
          <w:p w:rsidR="00496549" w:rsidRPr="00496549" w:rsidRDefault="00496549" w:rsidP="00496549">
            <w:pPr>
              <w:pStyle w:val="ParagrahAnswer"/>
            </w:pPr>
            <w:r w:rsidRPr="00496549">
              <w:t>40</w:t>
            </w:r>
          </w:p>
        </w:tc>
      </w:tr>
      <w:tr w:rsidR="00496549" w:rsidRPr="008766DD" w:rsidTr="00D737F0">
        <w:trPr>
          <w:trHeight w:val="397"/>
          <w:jc w:val="center"/>
        </w:trPr>
        <w:tc>
          <w:tcPr>
            <w:tcW w:w="4673" w:type="dxa"/>
            <w:shd w:val="clear" w:color="auto" w:fill="auto"/>
            <w:tcMar>
              <w:top w:w="28" w:type="dxa"/>
              <w:bottom w:w="28" w:type="dxa"/>
            </w:tcMar>
            <w:vAlign w:val="center"/>
          </w:tcPr>
          <w:p w:rsidR="00496549" w:rsidRPr="008766DD" w:rsidRDefault="00496549" w:rsidP="00496549">
            <w:pPr>
              <w:pStyle w:val="ParagrahAnswer"/>
            </w:pPr>
            <w:r>
              <w:rPr>
                <w:lang w:val="bg-BG"/>
              </w:rPr>
              <w:t>7</w:t>
            </w:r>
            <w:r w:rsidRPr="008766DD">
              <w:t xml:space="preserve"> Други (директор, заместник главен директор,  специалист), моля отбележете.</w:t>
            </w:r>
          </w:p>
        </w:tc>
        <w:tc>
          <w:tcPr>
            <w:tcW w:w="1564" w:type="dxa"/>
            <w:shd w:val="clear" w:color="auto" w:fill="auto"/>
            <w:tcMar>
              <w:top w:w="28" w:type="dxa"/>
              <w:bottom w:w="28" w:type="dxa"/>
            </w:tcMar>
            <w:vAlign w:val="center"/>
          </w:tcPr>
          <w:p w:rsidR="00496549" w:rsidRPr="00496549" w:rsidRDefault="00496549" w:rsidP="00496549">
            <w:pPr>
              <w:pStyle w:val="ParagrahAnswer"/>
            </w:pPr>
            <w:r>
              <w:t>3</w:t>
            </w:r>
          </w:p>
        </w:tc>
        <w:tc>
          <w:tcPr>
            <w:tcW w:w="1559" w:type="dxa"/>
            <w:shd w:val="clear" w:color="auto" w:fill="auto"/>
            <w:tcMar>
              <w:top w:w="28" w:type="dxa"/>
              <w:bottom w:w="28" w:type="dxa"/>
            </w:tcMar>
            <w:vAlign w:val="center"/>
          </w:tcPr>
          <w:p w:rsidR="00496549" w:rsidRPr="008766DD" w:rsidRDefault="00496549" w:rsidP="00496549">
            <w:pPr>
              <w:pStyle w:val="ParagrahAnswer"/>
            </w:pPr>
            <w:r w:rsidRPr="008766DD">
              <w:t>2</w:t>
            </w:r>
          </w:p>
        </w:tc>
        <w:tc>
          <w:tcPr>
            <w:tcW w:w="1284" w:type="dxa"/>
            <w:shd w:val="clear" w:color="auto" w:fill="auto"/>
            <w:tcMar>
              <w:top w:w="28" w:type="dxa"/>
              <w:bottom w:w="28" w:type="dxa"/>
            </w:tcMar>
            <w:vAlign w:val="center"/>
          </w:tcPr>
          <w:p w:rsidR="00496549" w:rsidRPr="00496549" w:rsidRDefault="00496549" w:rsidP="00496549">
            <w:pPr>
              <w:pStyle w:val="ParagrahAnswer"/>
            </w:pPr>
            <w:r w:rsidRPr="00496549">
              <w:t>67</w:t>
            </w:r>
          </w:p>
        </w:tc>
      </w:tr>
      <w:tr w:rsidR="00F224CD" w:rsidRPr="008766DD" w:rsidTr="00D737F0">
        <w:trPr>
          <w:trHeight w:val="397"/>
          <w:jc w:val="center"/>
        </w:trPr>
        <w:tc>
          <w:tcPr>
            <w:tcW w:w="4673" w:type="dxa"/>
            <w:tcBorders>
              <w:bottom w:val="single" w:sz="4" w:space="0" w:color="auto"/>
            </w:tcBorders>
            <w:shd w:val="clear" w:color="auto" w:fill="auto"/>
            <w:tcMar>
              <w:top w:w="28" w:type="dxa"/>
              <w:bottom w:w="28" w:type="dxa"/>
            </w:tcMar>
            <w:vAlign w:val="center"/>
          </w:tcPr>
          <w:p w:rsidR="00F224CD" w:rsidRPr="00F224CD" w:rsidRDefault="00F224CD" w:rsidP="00496549">
            <w:pPr>
              <w:pStyle w:val="ParagrahAnswer"/>
            </w:pPr>
            <w:r>
              <w:t>Общо</w:t>
            </w:r>
          </w:p>
        </w:tc>
        <w:tc>
          <w:tcPr>
            <w:tcW w:w="1564" w:type="dxa"/>
            <w:tcBorders>
              <w:bottom w:val="single" w:sz="4" w:space="0" w:color="auto"/>
            </w:tcBorders>
            <w:shd w:val="clear" w:color="auto" w:fill="auto"/>
            <w:tcMar>
              <w:top w:w="28" w:type="dxa"/>
              <w:bottom w:w="28" w:type="dxa"/>
            </w:tcMar>
            <w:vAlign w:val="center"/>
          </w:tcPr>
          <w:p w:rsidR="00F224CD" w:rsidRPr="00496549" w:rsidRDefault="00496549" w:rsidP="00496549">
            <w:pPr>
              <w:pStyle w:val="ParagrahAnswer"/>
            </w:pPr>
            <w:r>
              <w:t>82</w:t>
            </w:r>
          </w:p>
        </w:tc>
        <w:tc>
          <w:tcPr>
            <w:tcW w:w="1559" w:type="dxa"/>
            <w:tcBorders>
              <w:bottom w:val="single" w:sz="4" w:space="0" w:color="auto"/>
            </w:tcBorders>
            <w:shd w:val="clear" w:color="auto" w:fill="auto"/>
            <w:tcMar>
              <w:top w:w="28" w:type="dxa"/>
              <w:bottom w:w="28" w:type="dxa"/>
            </w:tcMar>
            <w:vAlign w:val="center"/>
          </w:tcPr>
          <w:p w:rsidR="00F224CD" w:rsidRPr="00496549" w:rsidRDefault="00496549" w:rsidP="00496549">
            <w:pPr>
              <w:pStyle w:val="ParagrahAnswer"/>
            </w:pPr>
            <w:r>
              <w:t>56</w:t>
            </w:r>
          </w:p>
        </w:tc>
        <w:tc>
          <w:tcPr>
            <w:tcW w:w="1284" w:type="dxa"/>
            <w:tcBorders>
              <w:bottom w:val="single" w:sz="4" w:space="0" w:color="auto"/>
            </w:tcBorders>
            <w:shd w:val="clear" w:color="auto" w:fill="auto"/>
            <w:tcMar>
              <w:top w:w="28" w:type="dxa"/>
              <w:bottom w:w="28" w:type="dxa"/>
            </w:tcMar>
            <w:vAlign w:val="center"/>
          </w:tcPr>
          <w:p w:rsidR="00F224CD" w:rsidRPr="008766DD" w:rsidRDefault="00F224CD" w:rsidP="00496549">
            <w:pPr>
              <w:pStyle w:val="ParagrahAnswer"/>
            </w:pPr>
          </w:p>
        </w:tc>
      </w:tr>
    </w:tbl>
    <w:p w:rsidR="007C4372" w:rsidRPr="00D737F0" w:rsidRDefault="00496549" w:rsidP="00D737F0">
      <w:pPr>
        <w:spacing w:after="0" w:line="240" w:lineRule="auto"/>
        <w:jc w:val="both"/>
        <w:rPr>
          <w:rFonts w:ascii="Verdana" w:hAnsi="Verdana"/>
          <w:bCs/>
          <w:color w:val="000000"/>
          <w:sz w:val="16"/>
          <w:szCs w:val="16"/>
          <w:lang w:val="bg-BG"/>
        </w:rPr>
      </w:pPr>
      <w:r w:rsidRPr="00D737F0">
        <w:rPr>
          <w:rFonts w:ascii="Verdana" w:hAnsi="Verdana"/>
          <w:bCs/>
          <w:color w:val="000000"/>
          <w:sz w:val="16"/>
          <w:szCs w:val="16"/>
        </w:rPr>
        <w:t>*</w:t>
      </w:r>
      <w:r w:rsidRPr="00D737F0">
        <w:rPr>
          <w:rFonts w:ascii="Verdana" w:hAnsi="Verdana"/>
          <w:bCs/>
          <w:color w:val="000000"/>
          <w:sz w:val="16"/>
          <w:szCs w:val="16"/>
          <w:lang w:val="bg-BG"/>
        </w:rPr>
        <w:t xml:space="preserve"> Струк</w:t>
      </w:r>
      <w:r w:rsidR="00D737F0" w:rsidRPr="00D737F0">
        <w:rPr>
          <w:rFonts w:ascii="Verdana" w:hAnsi="Verdana"/>
          <w:bCs/>
          <w:color w:val="000000"/>
          <w:sz w:val="16"/>
          <w:szCs w:val="16"/>
          <w:lang w:val="bg-BG"/>
        </w:rPr>
        <w:t>тура на дирекцията по време на провеждане на допитването. От края на май 2014 е приета нова структура, която е коментирана по-долу в анализите.</w:t>
      </w:r>
    </w:p>
    <w:p w:rsidR="007C4372" w:rsidRPr="00DF0F3D" w:rsidRDefault="007C4372" w:rsidP="007C4372">
      <w:pPr>
        <w:spacing w:before="120" w:after="120"/>
        <w:jc w:val="both"/>
        <w:rPr>
          <w:rFonts w:ascii="Verdana" w:hAnsi="Verdana"/>
          <w:sz w:val="20"/>
          <w:szCs w:val="20"/>
          <w:lang w:val="bg-BG"/>
        </w:rPr>
      </w:pPr>
      <w:r w:rsidRPr="00DF0F3D">
        <w:rPr>
          <w:rFonts w:ascii="Verdana" w:hAnsi="Verdana"/>
          <w:sz w:val="20"/>
          <w:szCs w:val="20"/>
          <w:lang w:val="bg-BG"/>
        </w:rPr>
        <w:t xml:space="preserve">Отговорите на въпросника са представени в Приложение </w:t>
      </w:r>
      <w:r>
        <w:rPr>
          <w:rFonts w:ascii="Verdana" w:hAnsi="Verdana"/>
          <w:sz w:val="20"/>
          <w:szCs w:val="20"/>
          <w:lang w:val="bg-BG"/>
        </w:rPr>
        <w:t>4</w:t>
      </w:r>
      <w:r w:rsidRPr="00DF0F3D">
        <w:rPr>
          <w:rFonts w:ascii="Verdana" w:hAnsi="Verdana"/>
          <w:sz w:val="20"/>
          <w:szCs w:val="20"/>
          <w:lang w:val="bg-BG"/>
        </w:rPr>
        <w:t>.</w:t>
      </w:r>
    </w:p>
    <w:p w:rsidR="00032004" w:rsidRPr="00DF0F3D" w:rsidRDefault="00032004" w:rsidP="00032004">
      <w:pPr>
        <w:spacing w:before="120" w:after="120"/>
        <w:jc w:val="both"/>
        <w:rPr>
          <w:rFonts w:ascii="Verdana" w:hAnsi="Verdana"/>
          <w:sz w:val="20"/>
          <w:szCs w:val="20"/>
          <w:lang w:val="bg-BG"/>
        </w:rPr>
      </w:pPr>
      <w:r w:rsidRPr="00DF0F3D">
        <w:rPr>
          <w:rFonts w:ascii="Verdana" w:hAnsi="Verdana"/>
          <w:color w:val="548DD4" w:themeColor="text2" w:themeTint="99"/>
          <w:sz w:val="20"/>
          <w:szCs w:val="20"/>
          <w:lang w:val="bg-BG"/>
        </w:rPr>
        <w:t xml:space="preserve">Фокус група </w:t>
      </w:r>
      <w:r w:rsidRPr="00DF0F3D">
        <w:rPr>
          <w:rFonts w:ascii="Verdana" w:hAnsi="Verdana"/>
          <w:sz w:val="20"/>
          <w:szCs w:val="20"/>
          <w:lang w:val="bg-BG"/>
        </w:rPr>
        <w:t xml:space="preserve">с представители на работната група за подготовка на програмата, на която беше обсъдено фокусирането и приоритизирането на инвестициите по Приоритетна ос (ПО) 1, ПО2 и ПО3 на </w:t>
      </w:r>
      <w:r w:rsidR="004223C9">
        <w:rPr>
          <w:rFonts w:ascii="Verdana" w:hAnsi="Verdana"/>
          <w:sz w:val="20"/>
          <w:szCs w:val="20"/>
          <w:lang w:val="bg-BG"/>
        </w:rPr>
        <w:t>програмата</w:t>
      </w:r>
      <w:r w:rsidRPr="00DF0F3D">
        <w:rPr>
          <w:rFonts w:ascii="Verdana" w:hAnsi="Verdana"/>
          <w:sz w:val="20"/>
          <w:szCs w:val="20"/>
          <w:lang w:val="bg-BG"/>
        </w:rPr>
        <w:t>.</w:t>
      </w:r>
    </w:p>
    <w:p w:rsidR="00032004" w:rsidRPr="00DF0F3D" w:rsidRDefault="00032004" w:rsidP="00032004">
      <w:pPr>
        <w:spacing w:before="120" w:after="120"/>
        <w:jc w:val="both"/>
        <w:rPr>
          <w:rFonts w:ascii="Verdana" w:hAnsi="Verdana"/>
          <w:sz w:val="20"/>
          <w:szCs w:val="20"/>
          <w:lang w:val="bg-BG"/>
        </w:rPr>
      </w:pPr>
      <w:r w:rsidRPr="00DF0F3D">
        <w:rPr>
          <w:rFonts w:ascii="Verdana" w:hAnsi="Verdana"/>
          <w:color w:val="548DD4" w:themeColor="text2" w:themeTint="99"/>
          <w:sz w:val="20"/>
          <w:szCs w:val="20"/>
          <w:lang w:val="bg-BG"/>
        </w:rPr>
        <w:t xml:space="preserve">Фокус група </w:t>
      </w:r>
      <w:r w:rsidR="004223C9">
        <w:rPr>
          <w:rFonts w:ascii="Verdana" w:hAnsi="Verdana"/>
          <w:sz w:val="20"/>
          <w:szCs w:val="20"/>
          <w:lang w:val="bg-BG"/>
        </w:rPr>
        <w:t>с бенефициенти на ОП</w:t>
      </w:r>
      <w:r w:rsidRPr="00DF0F3D">
        <w:rPr>
          <w:rFonts w:ascii="Verdana" w:hAnsi="Verdana"/>
          <w:sz w:val="20"/>
          <w:szCs w:val="20"/>
          <w:lang w:val="bg-BG"/>
        </w:rPr>
        <w:t xml:space="preserve">РЧР 2007-2013 г., </w:t>
      </w:r>
      <w:r w:rsidR="004223C9">
        <w:rPr>
          <w:rFonts w:ascii="Verdana" w:hAnsi="Verdana"/>
          <w:sz w:val="20"/>
          <w:szCs w:val="20"/>
          <w:lang w:val="bg-BG"/>
        </w:rPr>
        <w:t>които изпълняват проекти по мерки, свързани с образование и администрирани от МОН като междинно звено. На фокус групата</w:t>
      </w:r>
      <w:r w:rsidRPr="00DF0F3D">
        <w:rPr>
          <w:rFonts w:ascii="Verdana" w:hAnsi="Verdana"/>
          <w:sz w:val="20"/>
          <w:szCs w:val="20"/>
          <w:lang w:val="bg-BG"/>
        </w:rPr>
        <w:t xml:space="preserve"> бяха обсъдени административ</w:t>
      </w:r>
      <w:r w:rsidR="004223C9">
        <w:rPr>
          <w:rFonts w:ascii="Verdana" w:hAnsi="Verdana"/>
          <w:sz w:val="20"/>
          <w:szCs w:val="20"/>
          <w:lang w:val="bg-BG"/>
        </w:rPr>
        <w:t>ния</w:t>
      </w:r>
      <w:r w:rsidRPr="00DF0F3D">
        <w:rPr>
          <w:rFonts w:ascii="Verdana" w:hAnsi="Verdana"/>
          <w:sz w:val="20"/>
          <w:szCs w:val="20"/>
          <w:lang w:val="bg-BG"/>
        </w:rPr>
        <w:t xml:space="preserve"> капацитет и </w:t>
      </w:r>
      <w:r w:rsidR="004223C9">
        <w:rPr>
          <w:rFonts w:ascii="Verdana" w:hAnsi="Verdana"/>
          <w:sz w:val="20"/>
          <w:szCs w:val="20"/>
          <w:lang w:val="bg-BG"/>
        </w:rPr>
        <w:t xml:space="preserve">възможности за намаляване на </w:t>
      </w:r>
      <w:r w:rsidRPr="00DF0F3D">
        <w:rPr>
          <w:rFonts w:ascii="Verdana" w:hAnsi="Verdana"/>
          <w:sz w:val="20"/>
          <w:szCs w:val="20"/>
          <w:lang w:val="bg-BG"/>
        </w:rPr>
        <w:t>административна</w:t>
      </w:r>
      <w:r w:rsidR="004223C9">
        <w:rPr>
          <w:rFonts w:ascii="Verdana" w:hAnsi="Verdana"/>
          <w:sz w:val="20"/>
          <w:szCs w:val="20"/>
          <w:lang w:val="bg-BG"/>
        </w:rPr>
        <w:t>та</w:t>
      </w:r>
      <w:r w:rsidRPr="00DF0F3D">
        <w:rPr>
          <w:rFonts w:ascii="Verdana" w:hAnsi="Verdana"/>
          <w:sz w:val="20"/>
          <w:szCs w:val="20"/>
          <w:lang w:val="bg-BG"/>
        </w:rPr>
        <w:t xml:space="preserve"> тежест на базата на опита от изпълнението на проекти в настоящия програмен период.</w:t>
      </w:r>
    </w:p>
    <w:p w:rsidR="00032004" w:rsidRPr="00DF0F3D" w:rsidRDefault="00032004" w:rsidP="00032004">
      <w:pPr>
        <w:spacing w:before="120" w:after="120"/>
        <w:jc w:val="both"/>
        <w:rPr>
          <w:rFonts w:ascii="Verdana" w:hAnsi="Verdana"/>
          <w:sz w:val="20"/>
          <w:szCs w:val="20"/>
          <w:lang w:val="bg-BG"/>
        </w:rPr>
      </w:pPr>
      <w:r w:rsidRPr="00DF0F3D">
        <w:rPr>
          <w:rFonts w:ascii="Verdana" w:hAnsi="Verdana"/>
          <w:sz w:val="20"/>
          <w:szCs w:val="20"/>
          <w:lang w:val="bg-BG"/>
        </w:rPr>
        <w:t>Списък на участниците във фокус групите е представен в Приложение 2.</w:t>
      </w:r>
    </w:p>
    <w:p w:rsidR="00032004" w:rsidRPr="00DF0F3D" w:rsidRDefault="00032004" w:rsidP="00032004">
      <w:pPr>
        <w:spacing w:before="120" w:after="120"/>
        <w:jc w:val="both"/>
        <w:rPr>
          <w:rFonts w:ascii="Verdana" w:hAnsi="Verdana"/>
          <w:sz w:val="20"/>
          <w:szCs w:val="20"/>
          <w:lang w:val="bg-BG"/>
        </w:rPr>
      </w:pPr>
      <w:r w:rsidRPr="00DF0F3D">
        <w:rPr>
          <w:rFonts w:ascii="Verdana" w:hAnsi="Verdana"/>
          <w:sz w:val="20"/>
          <w:szCs w:val="20"/>
          <w:lang w:val="bg-BG"/>
        </w:rPr>
        <w:t xml:space="preserve">Експерти от екипа оценители участваха в </w:t>
      </w:r>
      <w:r w:rsidRPr="00DF0F3D">
        <w:rPr>
          <w:rFonts w:ascii="Verdana" w:hAnsi="Verdana"/>
          <w:color w:val="548DD4" w:themeColor="text2" w:themeTint="99"/>
          <w:sz w:val="20"/>
          <w:szCs w:val="20"/>
          <w:lang w:val="bg-BG"/>
        </w:rPr>
        <w:t xml:space="preserve">заседания на Работната група </w:t>
      </w:r>
      <w:r w:rsidRPr="00DF0F3D">
        <w:rPr>
          <w:rFonts w:ascii="Verdana" w:hAnsi="Verdana"/>
          <w:sz w:val="20"/>
          <w:szCs w:val="20"/>
          <w:lang w:val="bg-BG"/>
        </w:rPr>
        <w:t xml:space="preserve">за разработване на </w:t>
      </w:r>
      <w:r w:rsidR="004223C9">
        <w:rPr>
          <w:rFonts w:ascii="Verdana" w:hAnsi="Verdana"/>
          <w:sz w:val="20"/>
          <w:szCs w:val="20"/>
          <w:lang w:val="bg-BG"/>
        </w:rPr>
        <w:t>ОПНОИР</w:t>
      </w:r>
      <w:r w:rsidRPr="00DF0F3D">
        <w:rPr>
          <w:rFonts w:ascii="Verdana" w:hAnsi="Verdana"/>
          <w:sz w:val="20"/>
          <w:szCs w:val="20"/>
          <w:lang w:val="bg-BG"/>
        </w:rPr>
        <w:t xml:space="preserve"> 2014-2020 г.</w:t>
      </w:r>
    </w:p>
    <w:p w:rsidR="00032004" w:rsidRPr="00DF0F3D" w:rsidRDefault="00032004" w:rsidP="00032004">
      <w:pPr>
        <w:spacing w:before="120" w:after="120"/>
        <w:jc w:val="both"/>
        <w:rPr>
          <w:rFonts w:ascii="Verdana" w:hAnsi="Verdana"/>
          <w:sz w:val="20"/>
          <w:szCs w:val="20"/>
          <w:lang w:val="bg-BG"/>
        </w:rPr>
      </w:pPr>
      <w:r w:rsidRPr="00DF0F3D">
        <w:rPr>
          <w:rFonts w:ascii="Verdana" w:hAnsi="Verdana"/>
          <w:color w:val="548DD4" w:themeColor="text2" w:themeTint="99"/>
          <w:sz w:val="20"/>
          <w:szCs w:val="20"/>
          <w:lang w:val="bg-BG"/>
        </w:rPr>
        <w:t xml:space="preserve">Анализ на логиката на интервенция </w:t>
      </w:r>
      <w:r w:rsidRPr="00DF0F3D">
        <w:rPr>
          <w:rFonts w:ascii="Verdana" w:hAnsi="Verdana"/>
          <w:sz w:val="20"/>
          <w:szCs w:val="20"/>
          <w:lang w:val="bg-BG"/>
        </w:rPr>
        <w:t>беше използван при оценка на външната съгласуваност на програмата с основни стратегически документи и при оценка на вътрешната логика на  програмата. В Приложение 5 е представена логиката на интервенция на програмата по приоритетни оси.</w:t>
      </w:r>
    </w:p>
    <w:p w:rsidR="00032004" w:rsidRPr="00DF0F3D" w:rsidRDefault="00032004" w:rsidP="00032004">
      <w:pPr>
        <w:spacing w:before="120" w:after="120"/>
        <w:jc w:val="both"/>
        <w:rPr>
          <w:rFonts w:ascii="Verdana" w:hAnsi="Verdana"/>
          <w:sz w:val="20"/>
          <w:szCs w:val="20"/>
          <w:lang w:val="bg-BG"/>
        </w:rPr>
      </w:pPr>
      <w:r w:rsidRPr="00DF0F3D">
        <w:rPr>
          <w:rFonts w:ascii="Verdana" w:hAnsi="Verdana"/>
          <w:color w:val="548DD4" w:themeColor="text2" w:themeTint="99"/>
          <w:sz w:val="20"/>
          <w:szCs w:val="20"/>
          <w:lang w:val="bg-BG"/>
        </w:rPr>
        <w:t>Финансово правният анализ</w:t>
      </w:r>
      <w:r w:rsidRPr="00DF0F3D">
        <w:rPr>
          <w:rFonts w:ascii="Verdana" w:hAnsi="Verdana"/>
          <w:sz w:val="20"/>
          <w:szCs w:val="20"/>
          <w:lang w:val="bg-BG"/>
        </w:rPr>
        <w:t>, който включва елементи на финансовото планиране и анализ на нормативните изисквания относно бюджета, заложени в регламентите и Споразумението за партньорство за следващия програмен период, беше използван за оценка на заложените финансови параметри в програмата.</w:t>
      </w:r>
    </w:p>
    <w:p w:rsidR="004223C9" w:rsidRPr="00DF0F3D" w:rsidRDefault="004223C9" w:rsidP="004223C9">
      <w:pPr>
        <w:spacing w:before="120" w:after="120"/>
        <w:jc w:val="both"/>
        <w:rPr>
          <w:rFonts w:ascii="Verdana" w:hAnsi="Verdana"/>
          <w:sz w:val="20"/>
          <w:szCs w:val="20"/>
          <w:lang w:val="bg-BG"/>
        </w:rPr>
      </w:pPr>
      <w:r w:rsidRPr="007C4372">
        <w:rPr>
          <w:rFonts w:ascii="Verdana" w:hAnsi="Verdana"/>
          <w:color w:val="548DD4" w:themeColor="text2" w:themeTint="99"/>
          <w:sz w:val="20"/>
          <w:szCs w:val="20"/>
          <w:lang w:val="bg-BG"/>
        </w:rPr>
        <w:t>Сравнителен анализ (</w:t>
      </w:r>
      <w:r w:rsidRPr="007C4372">
        <w:rPr>
          <w:rFonts w:ascii="Verdana" w:hAnsi="Verdana"/>
          <w:color w:val="548DD4" w:themeColor="text2" w:themeTint="99"/>
          <w:sz w:val="20"/>
          <w:szCs w:val="20"/>
        </w:rPr>
        <w:t>benchmarking</w:t>
      </w:r>
      <w:r w:rsidRPr="007C4372">
        <w:rPr>
          <w:rFonts w:ascii="Verdana" w:hAnsi="Verdana"/>
          <w:color w:val="548DD4" w:themeColor="text2" w:themeTint="99"/>
          <w:sz w:val="20"/>
          <w:szCs w:val="20"/>
          <w:lang w:val="bg-BG"/>
        </w:rPr>
        <w:t xml:space="preserve">) </w:t>
      </w:r>
      <w:r w:rsidRPr="007C4372">
        <w:rPr>
          <w:rFonts w:ascii="Verdana" w:hAnsi="Verdana"/>
          <w:sz w:val="20"/>
          <w:szCs w:val="20"/>
          <w:lang w:val="bg-BG"/>
        </w:rPr>
        <w:t xml:space="preserve">с референтни стойности от настоящия програмен период е използван при оценка на разпределението на бюджета на </w:t>
      </w:r>
      <w:r w:rsidR="00A80A6E" w:rsidRPr="007C4372">
        <w:rPr>
          <w:rFonts w:ascii="Verdana" w:hAnsi="Verdana"/>
          <w:sz w:val="20"/>
          <w:szCs w:val="20"/>
          <w:lang w:val="bg-BG"/>
        </w:rPr>
        <w:t>ОПНОИР</w:t>
      </w:r>
      <w:r w:rsidRPr="007C4372">
        <w:rPr>
          <w:rFonts w:ascii="Verdana" w:hAnsi="Verdana"/>
          <w:sz w:val="20"/>
          <w:szCs w:val="20"/>
          <w:lang w:val="bg-BG"/>
        </w:rPr>
        <w:t xml:space="preserve"> 2014-2020 г.</w:t>
      </w:r>
    </w:p>
    <w:p w:rsidR="00032004" w:rsidRPr="00DF0F3D" w:rsidRDefault="00032004" w:rsidP="00032004">
      <w:pPr>
        <w:spacing w:before="120" w:after="120"/>
        <w:jc w:val="both"/>
        <w:rPr>
          <w:rFonts w:ascii="Verdana" w:hAnsi="Verdana"/>
          <w:sz w:val="20"/>
          <w:szCs w:val="20"/>
          <w:lang w:val="bg-BG"/>
        </w:rPr>
      </w:pPr>
      <w:r w:rsidRPr="00DF0F3D">
        <w:rPr>
          <w:rFonts w:ascii="Verdana" w:hAnsi="Verdana"/>
          <w:sz w:val="20"/>
          <w:szCs w:val="20"/>
          <w:lang w:val="bg-BG"/>
        </w:rPr>
        <w:lastRenderedPageBreak/>
        <w:t xml:space="preserve">При оценката на индикаторите е използвана концепцията за </w:t>
      </w:r>
      <w:bookmarkStart w:id="42" w:name="OLE_LINK3"/>
      <w:bookmarkStart w:id="43" w:name="OLE_LINK4"/>
      <w:r w:rsidRPr="00DF0F3D">
        <w:rPr>
          <w:rFonts w:ascii="Verdana" w:hAnsi="Verdana"/>
          <w:sz w:val="20"/>
          <w:szCs w:val="20"/>
        </w:rPr>
        <w:t>SMART</w:t>
      </w:r>
      <w:bookmarkEnd w:id="42"/>
      <w:bookmarkEnd w:id="43"/>
      <w:r w:rsidRPr="00DF0F3D">
        <w:rPr>
          <w:rFonts w:ascii="Verdana" w:hAnsi="Verdana"/>
          <w:sz w:val="20"/>
          <w:szCs w:val="20"/>
          <w:lang w:val="bg-BG"/>
        </w:rPr>
        <w:t xml:space="preserve"> индикатори, като е направен </w:t>
      </w:r>
      <w:r w:rsidRPr="00DF0F3D">
        <w:rPr>
          <w:rFonts w:ascii="Verdana" w:hAnsi="Verdana"/>
          <w:color w:val="548DD4" w:themeColor="text2" w:themeTint="99"/>
          <w:sz w:val="20"/>
          <w:szCs w:val="20"/>
        </w:rPr>
        <w:t>SMART</w:t>
      </w:r>
      <w:r w:rsidRPr="00DF0F3D">
        <w:rPr>
          <w:rFonts w:ascii="Verdana" w:hAnsi="Verdana"/>
          <w:sz w:val="20"/>
          <w:szCs w:val="20"/>
          <w:lang w:val="bg-BG"/>
        </w:rPr>
        <w:t xml:space="preserve"> анализ.</w:t>
      </w:r>
    </w:p>
    <w:p w:rsidR="00032004" w:rsidRPr="00DF0F3D" w:rsidRDefault="00032004" w:rsidP="00032004">
      <w:pPr>
        <w:spacing w:before="120" w:after="120"/>
        <w:jc w:val="both"/>
        <w:rPr>
          <w:rFonts w:ascii="Verdana" w:hAnsi="Verdana"/>
          <w:sz w:val="20"/>
          <w:szCs w:val="20"/>
          <w:lang w:val="bg-BG"/>
        </w:rPr>
      </w:pPr>
      <w:r w:rsidRPr="002D4C3A">
        <w:rPr>
          <w:rFonts w:ascii="Verdana" w:hAnsi="Verdana"/>
          <w:sz w:val="20"/>
          <w:szCs w:val="20"/>
          <w:lang w:val="bg-BG"/>
        </w:rPr>
        <w:t xml:space="preserve">С цел улесняване използването на индикаторите </w:t>
      </w:r>
      <w:r w:rsidR="007C4372" w:rsidRPr="002D4C3A">
        <w:rPr>
          <w:rFonts w:ascii="Verdana" w:hAnsi="Verdana"/>
          <w:sz w:val="20"/>
          <w:szCs w:val="20"/>
          <w:lang w:val="bg-BG"/>
        </w:rPr>
        <w:t>са разработени формати на</w:t>
      </w:r>
      <w:r w:rsidRPr="002D4C3A">
        <w:rPr>
          <w:rFonts w:ascii="Verdana" w:hAnsi="Verdana"/>
          <w:sz w:val="20"/>
          <w:szCs w:val="20"/>
          <w:lang w:val="bg-BG"/>
        </w:rPr>
        <w:t xml:space="preserve"> </w:t>
      </w:r>
      <w:r w:rsidRPr="002D4C3A">
        <w:rPr>
          <w:rFonts w:ascii="Verdana" w:hAnsi="Verdana"/>
          <w:color w:val="548DD4" w:themeColor="text2" w:themeTint="99"/>
          <w:sz w:val="20"/>
          <w:szCs w:val="20"/>
          <w:lang w:val="bg-BG"/>
        </w:rPr>
        <w:t>фишове на индикаторите</w:t>
      </w:r>
      <w:r w:rsidRPr="002D4C3A">
        <w:rPr>
          <w:rFonts w:ascii="Verdana" w:hAnsi="Verdana"/>
          <w:sz w:val="20"/>
          <w:szCs w:val="20"/>
          <w:lang w:val="bg-BG"/>
        </w:rPr>
        <w:t xml:space="preserve">, </w:t>
      </w:r>
      <w:r w:rsidR="007C4372" w:rsidRPr="002D4C3A">
        <w:rPr>
          <w:rFonts w:ascii="Verdana" w:hAnsi="Verdana"/>
          <w:sz w:val="20"/>
          <w:szCs w:val="20"/>
          <w:lang w:val="bg-BG"/>
        </w:rPr>
        <w:t xml:space="preserve">където следва </w:t>
      </w:r>
      <w:r w:rsidR="002D4C3A" w:rsidRPr="002D4C3A">
        <w:rPr>
          <w:rFonts w:ascii="Verdana" w:hAnsi="Verdana"/>
          <w:sz w:val="20"/>
          <w:szCs w:val="20"/>
          <w:lang w:val="bg-BG"/>
        </w:rPr>
        <w:t>да се попълни информация относно</w:t>
      </w:r>
      <w:r w:rsidRPr="002D4C3A">
        <w:rPr>
          <w:rFonts w:ascii="Verdana" w:hAnsi="Verdana"/>
          <w:sz w:val="20"/>
          <w:szCs w:val="20"/>
          <w:lang w:val="bg-BG"/>
        </w:rPr>
        <w:t xml:space="preserve"> вида на индикатора и неговото значение, както и методи и източници на данни за измерване. Фишовете на индикаторите са представени в електронен формат в Приложение 6.</w:t>
      </w:r>
    </w:p>
    <w:p w:rsidR="00032004" w:rsidRDefault="00032004" w:rsidP="00032004">
      <w:pPr>
        <w:spacing w:before="120" w:after="120"/>
        <w:jc w:val="both"/>
        <w:rPr>
          <w:rFonts w:ascii="Verdana" w:hAnsi="Verdana"/>
          <w:sz w:val="20"/>
          <w:szCs w:val="20"/>
          <w:lang w:val="bg-BG"/>
        </w:rPr>
      </w:pPr>
      <w:r w:rsidRPr="00DF0F3D">
        <w:rPr>
          <w:rFonts w:ascii="Verdana" w:hAnsi="Verdana"/>
          <w:sz w:val="20"/>
          <w:szCs w:val="20"/>
          <w:lang w:val="bg-BG"/>
        </w:rPr>
        <w:t xml:space="preserve">При оценка на административния капацитет за  управление и изпълнение на </w:t>
      </w:r>
      <w:r w:rsidR="00A80A6E">
        <w:rPr>
          <w:rFonts w:ascii="Verdana" w:hAnsi="Verdana"/>
          <w:sz w:val="20"/>
          <w:szCs w:val="20"/>
          <w:lang w:val="bg-BG"/>
        </w:rPr>
        <w:t>ОПНОИР</w:t>
      </w:r>
      <w:r w:rsidRPr="00DF0F3D">
        <w:rPr>
          <w:rFonts w:ascii="Verdana" w:hAnsi="Verdana"/>
          <w:sz w:val="20"/>
          <w:szCs w:val="20"/>
          <w:lang w:val="bg-BG"/>
        </w:rPr>
        <w:t xml:space="preserve"> 2014-2020 г. е използван </w:t>
      </w:r>
      <w:r w:rsidRPr="00DF0F3D">
        <w:rPr>
          <w:rFonts w:ascii="Verdana" w:hAnsi="Verdana"/>
          <w:color w:val="548DD4" w:themeColor="text2" w:themeTint="99"/>
          <w:sz w:val="20"/>
          <w:szCs w:val="20"/>
          <w:lang w:val="bg-BG"/>
        </w:rPr>
        <w:t>анализ на работното натоварване</w:t>
      </w:r>
      <w:r w:rsidRPr="00DF0F3D">
        <w:rPr>
          <w:rFonts w:ascii="Verdana" w:hAnsi="Verdana"/>
          <w:sz w:val="20"/>
          <w:szCs w:val="20"/>
          <w:lang w:val="bg-BG"/>
        </w:rPr>
        <w:t xml:space="preserve"> (</w:t>
      </w:r>
      <w:proofErr w:type="spellStart"/>
      <w:r w:rsidRPr="00DF0F3D">
        <w:rPr>
          <w:rFonts w:ascii="Verdana" w:hAnsi="Verdana"/>
          <w:sz w:val="20"/>
          <w:szCs w:val="20"/>
        </w:rPr>
        <w:t>workloadanalysis</w:t>
      </w:r>
      <w:proofErr w:type="spellEnd"/>
      <w:r w:rsidRPr="00DF0F3D">
        <w:rPr>
          <w:rFonts w:ascii="Verdana" w:hAnsi="Verdana"/>
          <w:sz w:val="20"/>
          <w:szCs w:val="20"/>
          <w:lang w:val="bg-BG"/>
        </w:rPr>
        <w:t xml:space="preserve">) на </w:t>
      </w:r>
      <w:r w:rsidR="00A80A6E">
        <w:rPr>
          <w:rFonts w:ascii="Verdana" w:hAnsi="Verdana"/>
          <w:sz w:val="20"/>
          <w:szCs w:val="20"/>
          <w:lang w:val="bg-BG"/>
        </w:rPr>
        <w:t>ГДСФМОП в качеството и на междинно звено по</w:t>
      </w:r>
      <w:r w:rsidRPr="00DF0F3D">
        <w:rPr>
          <w:rFonts w:ascii="Verdana" w:hAnsi="Verdana"/>
          <w:sz w:val="20"/>
          <w:szCs w:val="20"/>
          <w:lang w:val="bg-BG"/>
        </w:rPr>
        <w:t xml:space="preserve"> ОП РЧР 2007-2013 г., </w:t>
      </w:r>
      <w:r w:rsidR="00A80A6E">
        <w:rPr>
          <w:rFonts w:ascii="Verdana" w:hAnsi="Verdana"/>
          <w:sz w:val="20"/>
          <w:szCs w:val="20"/>
          <w:lang w:val="bg-BG"/>
        </w:rPr>
        <w:t xml:space="preserve">самооценка на капацитета и нуждите </w:t>
      </w:r>
      <w:r w:rsidRPr="00DF0F3D">
        <w:rPr>
          <w:rFonts w:ascii="Verdana" w:hAnsi="Verdana"/>
          <w:sz w:val="20"/>
          <w:szCs w:val="20"/>
          <w:lang w:val="bg-BG"/>
        </w:rPr>
        <w:t xml:space="preserve">както и </w:t>
      </w:r>
      <w:r w:rsidRPr="00DF0F3D">
        <w:rPr>
          <w:rFonts w:ascii="Verdana" w:hAnsi="Verdana"/>
          <w:color w:val="548DD4" w:themeColor="text2" w:themeTint="99"/>
          <w:sz w:val="20"/>
          <w:szCs w:val="20"/>
          <w:lang w:val="bg-BG"/>
        </w:rPr>
        <w:t>анализ на рисковете</w:t>
      </w:r>
      <w:r w:rsidRPr="00DF0F3D">
        <w:rPr>
          <w:rFonts w:ascii="Verdana" w:hAnsi="Verdana"/>
          <w:sz w:val="20"/>
          <w:szCs w:val="20"/>
          <w:lang w:val="bg-BG"/>
        </w:rPr>
        <w:t>, свързани с административния капацитет.</w:t>
      </w:r>
    </w:p>
    <w:p w:rsidR="00A62214" w:rsidRDefault="00A62214" w:rsidP="00757B38">
      <w:pPr>
        <w:pStyle w:val="BodyText"/>
        <w:tabs>
          <w:tab w:val="left" w:pos="0"/>
          <w:tab w:val="right" w:pos="9214"/>
        </w:tabs>
        <w:spacing w:line="276" w:lineRule="auto"/>
        <w:jc w:val="both"/>
        <w:rPr>
          <w:rFonts w:ascii="Verdana" w:hAnsi="Verdana"/>
          <w:sz w:val="20"/>
        </w:rPr>
        <w:sectPr w:rsidR="00A62214" w:rsidSect="00C826F7">
          <w:pgSz w:w="11907" w:h="16839" w:code="9"/>
          <w:pgMar w:top="2163" w:right="1377" w:bottom="1440" w:left="1440" w:header="720" w:footer="379" w:gutter="0"/>
          <w:cols w:space="720"/>
          <w:docGrid w:linePitch="360"/>
        </w:sectPr>
      </w:pPr>
    </w:p>
    <w:p w:rsidR="001B2787" w:rsidRPr="00032004" w:rsidRDefault="00032004" w:rsidP="007B43A8">
      <w:pPr>
        <w:pStyle w:val="Heading1"/>
        <w:shd w:val="clear" w:color="auto" w:fill="0063B8"/>
        <w:tabs>
          <w:tab w:val="num" w:pos="720"/>
        </w:tabs>
        <w:spacing w:before="120" w:after="120" w:line="276" w:lineRule="auto"/>
        <w:ind w:left="720" w:hanging="720"/>
        <w:rPr>
          <w:rFonts w:ascii="Verdana" w:hAnsi="Verdana"/>
          <w:b w:val="0"/>
          <w:caps/>
          <w:color w:val="FFFFFF"/>
          <w:lang w:val="en-US"/>
        </w:rPr>
      </w:pPr>
      <w:bookmarkStart w:id="44" w:name="_Toc395612512"/>
      <w:r>
        <w:rPr>
          <w:rFonts w:ascii="Verdana" w:hAnsi="Verdana"/>
          <w:b w:val="0"/>
          <w:caps/>
          <w:color w:val="FFFFFF"/>
          <w:lang w:val="bg-BG"/>
        </w:rPr>
        <w:lastRenderedPageBreak/>
        <w:t>I</w:t>
      </w:r>
      <w:r>
        <w:rPr>
          <w:rFonts w:ascii="Verdana" w:hAnsi="Verdana"/>
          <w:b w:val="0"/>
          <w:caps/>
          <w:color w:val="FFFFFF"/>
          <w:lang w:val="en-US"/>
        </w:rPr>
        <w:t>V</w:t>
      </w:r>
      <w:r w:rsidR="001B2787" w:rsidRPr="00B45B4F">
        <w:rPr>
          <w:rFonts w:ascii="Verdana" w:hAnsi="Verdana"/>
          <w:b w:val="0"/>
          <w:caps/>
          <w:color w:val="FFFFFF"/>
          <w:lang w:val="bg-BG"/>
        </w:rPr>
        <w:t>.</w:t>
      </w:r>
      <w:r>
        <w:rPr>
          <w:rFonts w:ascii="Verdana" w:hAnsi="Verdana"/>
          <w:b w:val="0"/>
          <w:caps/>
          <w:color w:val="FFFFFF"/>
          <w:lang w:val="bg-BG"/>
        </w:rPr>
        <w:t xml:space="preserve"> Оценка</w:t>
      </w:r>
      <w:bookmarkEnd w:id="44"/>
    </w:p>
    <w:p w:rsidR="001B2787" w:rsidRPr="00B45B4F" w:rsidRDefault="001B2787" w:rsidP="00154232">
      <w:pPr>
        <w:rPr>
          <w:rFonts w:ascii="Verdana" w:hAnsi="Verdana"/>
          <w:sz w:val="20"/>
          <w:szCs w:val="20"/>
          <w:lang w:val="bg-BG"/>
        </w:rPr>
      </w:pPr>
    </w:p>
    <w:p w:rsidR="00A62214" w:rsidRPr="00A62214" w:rsidRDefault="00A62214" w:rsidP="00A62214">
      <w:pPr>
        <w:pStyle w:val="Heading2"/>
        <w:shd w:val="clear" w:color="auto" w:fill="FFCC99"/>
        <w:spacing w:line="276" w:lineRule="auto"/>
        <w:rPr>
          <w:rFonts w:ascii="Verdana" w:hAnsi="Verdana"/>
          <w:i w:val="0"/>
          <w:iCs/>
          <w:color w:val="0063B8"/>
          <w:sz w:val="26"/>
          <w:szCs w:val="26"/>
          <w:lang w:val="bg-BG"/>
        </w:rPr>
      </w:pPr>
      <w:bookmarkStart w:id="45" w:name="_Toc395612513"/>
      <w:r>
        <w:rPr>
          <w:rFonts w:ascii="Verdana" w:hAnsi="Verdana"/>
          <w:i w:val="0"/>
          <w:iCs/>
          <w:color w:val="0063B8"/>
          <w:sz w:val="26"/>
          <w:szCs w:val="26"/>
          <w:lang w:val="bg-BG"/>
        </w:rPr>
        <w:t>Оценка на външната съгласуваност</w:t>
      </w:r>
      <w:bookmarkEnd w:id="45"/>
    </w:p>
    <w:p w:rsidR="00757B38" w:rsidRDefault="00032004" w:rsidP="00032004">
      <w:pPr>
        <w:pStyle w:val="Heading3"/>
        <w:numPr>
          <w:ilvl w:val="0"/>
          <w:numId w:val="0"/>
        </w:numPr>
        <w:spacing w:before="360"/>
        <w:ind w:left="720" w:hanging="720"/>
      </w:pPr>
      <w:bookmarkStart w:id="46" w:name="_Toc362617565"/>
      <w:bookmarkStart w:id="47" w:name="_Toc395612514"/>
      <w:r>
        <w:t>Анализ</w:t>
      </w:r>
      <w:bookmarkEnd w:id="46"/>
      <w:bookmarkEnd w:id="47"/>
    </w:p>
    <w:p w:rsidR="00032004" w:rsidRPr="00173D95" w:rsidRDefault="00032004" w:rsidP="00D04CA2">
      <w:pPr>
        <w:spacing w:after="360"/>
        <w:jc w:val="both"/>
        <w:rPr>
          <w:rFonts w:ascii="Verdana" w:hAnsi="Verdana"/>
          <w:sz w:val="20"/>
          <w:szCs w:val="20"/>
          <w:lang w:val="bg-BG"/>
        </w:rPr>
      </w:pPr>
      <w:r w:rsidRPr="00173D95">
        <w:rPr>
          <w:rFonts w:ascii="Verdana" w:hAnsi="Verdana"/>
          <w:sz w:val="20"/>
          <w:szCs w:val="20"/>
          <w:lang w:val="bg-BG"/>
        </w:rPr>
        <w:t xml:space="preserve">Анализът на външната съгласуваност представя връзката между </w:t>
      </w:r>
      <w:r>
        <w:rPr>
          <w:rFonts w:ascii="Verdana" w:hAnsi="Verdana"/>
          <w:sz w:val="20"/>
          <w:szCs w:val="20"/>
          <w:lang w:val="bg-BG"/>
        </w:rPr>
        <w:t xml:space="preserve">ОПНОИР2014-2020 г. </w:t>
      </w:r>
      <w:r w:rsidRPr="00173D95">
        <w:rPr>
          <w:rFonts w:ascii="Verdana" w:hAnsi="Verdana"/>
          <w:sz w:val="20"/>
          <w:szCs w:val="20"/>
          <w:lang w:val="bg-BG"/>
        </w:rPr>
        <w:t>и основни европейски и национални стратегически и нормативни документи</w:t>
      </w:r>
      <w:r>
        <w:rPr>
          <w:rFonts w:ascii="Verdana" w:hAnsi="Verdana"/>
          <w:sz w:val="20"/>
          <w:szCs w:val="20"/>
          <w:lang w:val="bg-BG"/>
        </w:rPr>
        <w:t>.</w:t>
      </w:r>
      <w:r w:rsidR="002D4C3A">
        <w:rPr>
          <w:rFonts w:ascii="Verdana" w:hAnsi="Verdana"/>
          <w:sz w:val="20"/>
          <w:szCs w:val="20"/>
          <w:lang w:val="bg-BG"/>
        </w:rPr>
        <w:t xml:space="preserve"> </w:t>
      </w:r>
      <w:r>
        <w:rPr>
          <w:rFonts w:ascii="Verdana" w:hAnsi="Verdana"/>
          <w:sz w:val="20"/>
          <w:szCs w:val="20"/>
          <w:lang w:val="bg-BG"/>
        </w:rPr>
        <w:t>Направен е</w:t>
      </w:r>
      <w:r w:rsidRPr="00173D95">
        <w:rPr>
          <w:rFonts w:ascii="Verdana" w:hAnsi="Verdana"/>
          <w:sz w:val="20"/>
          <w:szCs w:val="20"/>
          <w:lang w:val="bg-BG"/>
        </w:rPr>
        <w:t xml:space="preserve"> коментар на това доколко </w:t>
      </w:r>
      <w:r>
        <w:rPr>
          <w:rFonts w:ascii="Verdana" w:hAnsi="Verdana"/>
          <w:sz w:val="20"/>
          <w:szCs w:val="20"/>
          <w:lang w:val="bg-BG"/>
        </w:rPr>
        <w:t>програмата</w:t>
      </w:r>
      <w:r w:rsidRPr="00173D95">
        <w:rPr>
          <w:rFonts w:ascii="Verdana" w:hAnsi="Verdana"/>
          <w:sz w:val="20"/>
          <w:szCs w:val="20"/>
          <w:lang w:val="bg-BG"/>
        </w:rPr>
        <w:t xml:space="preserve"> подходящо отразява основните цели и изисквания на националната и европейска стратегическа и нормативна рамка и до каква степен програмата ще допринесе за постигане на целите на</w:t>
      </w:r>
      <w:r>
        <w:rPr>
          <w:rFonts w:ascii="Verdana" w:hAnsi="Verdana"/>
          <w:sz w:val="20"/>
          <w:szCs w:val="20"/>
          <w:lang w:val="bg-BG"/>
        </w:rPr>
        <w:t xml:space="preserve"> стратегията</w:t>
      </w:r>
      <w:r w:rsidR="002D4C3A">
        <w:rPr>
          <w:rFonts w:ascii="Verdana" w:hAnsi="Verdana"/>
          <w:sz w:val="20"/>
          <w:szCs w:val="20"/>
          <w:lang w:val="bg-BG"/>
        </w:rPr>
        <w:t xml:space="preserve"> </w:t>
      </w:r>
      <w:r>
        <w:rPr>
          <w:rFonts w:ascii="Verdana" w:hAnsi="Verdana"/>
          <w:sz w:val="20"/>
          <w:szCs w:val="20"/>
          <w:lang w:val="bg-BG"/>
        </w:rPr>
        <w:t>„</w:t>
      </w:r>
      <w:r w:rsidRPr="00173D95">
        <w:rPr>
          <w:rFonts w:ascii="Verdana" w:hAnsi="Verdana"/>
          <w:sz w:val="20"/>
          <w:szCs w:val="20"/>
          <w:lang w:val="bg-BG"/>
        </w:rPr>
        <w:t>Европа 2020</w:t>
      </w:r>
      <w:r>
        <w:rPr>
          <w:rFonts w:ascii="Verdana" w:hAnsi="Verdana"/>
          <w:sz w:val="20"/>
          <w:szCs w:val="20"/>
          <w:lang w:val="bg-BG"/>
        </w:rPr>
        <w:t>“</w:t>
      </w:r>
      <w:r w:rsidRPr="00173D95">
        <w:rPr>
          <w:rFonts w:ascii="Verdana" w:hAnsi="Verdana"/>
          <w:sz w:val="20"/>
          <w:szCs w:val="20"/>
          <w:lang w:val="bg-BG"/>
        </w:rPr>
        <w:t xml:space="preserve">. Като част от външната съгласуваност е </w:t>
      </w:r>
      <w:r>
        <w:rPr>
          <w:rFonts w:ascii="Verdana" w:hAnsi="Verdana"/>
          <w:sz w:val="20"/>
          <w:szCs w:val="20"/>
          <w:lang w:val="bg-BG"/>
        </w:rPr>
        <w:t>извършен</w:t>
      </w:r>
      <w:r w:rsidRPr="00173D95">
        <w:rPr>
          <w:rFonts w:ascii="Verdana" w:hAnsi="Verdana"/>
          <w:sz w:val="20"/>
          <w:szCs w:val="20"/>
          <w:lang w:val="bg-BG"/>
        </w:rPr>
        <w:t xml:space="preserve"> преглед на изпълнението на предварителните условия, посочени в Приложение 4 към Общия регламент за фондовете по ОСР.</w:t>
      </w:r>
    </w:p>
    <w:tbl>
      <w:tblPr>
        <w:tblW w:w="0" w:type="auto"/>
        <w:tblInd w:w="108" w:type="dxa"/>
        <w:tblBorders>
          <w:top w:val="single" w:sz="4" w:space="0" w:color="auto"/>
          <w:bottom w:val="single" w:sz="4" w:space="0" w:color="auto"/>
        </w:tblBorders>
        <w:tblLook w:val="04A0" w:firstRow="1" w:lastRow="0" w:firstColumn="1" w:lastColumn="0" w:noHBand="0" w:noVBand="1"/>
      </w:tblPr>
      <w:tblGrid>
        <w:gridCol w:w="538"/>
        <w:gridCol w:w="8444"/>
      </w:tblGrid>
      <w:tr w:rsidR="00DF1209" w:rsidRPr="00B45B4F" w:rsidTr="00D04CA2">
        <w:tc>
          <w:tcPr>
            <w:tcW w:w="538" w:type="dxa"/>
            <w:vAlign w:val="center"/>
          </w:tcPr>
          <w:p w:rsidR="00DF1209" w:rsidRPr="00B45B4F" w:rsidRDefault="00DF1209" w:rsidP="0015412F">
            <w:pPr>
              <w:pStyle w:val="BodyText"/>
              <w:spacing w:after="0" w:line="276" w:lineRule="auto"/>
              <w:jc w:val="center"/>
              <w:rPr>
                <w:rFonts w:ascii="Verdana" w:hAnsi="Verdana"/>
                <w:b/>
                <w:color w:val="548DD4"/>
                <w:sz w:val="36"/>
                <w:szCs w:val="36"/>
              </w:rPr>
            </w:pPr>
            <w:r w:rsidRPr="00B45B4F">
              <w:rPr>
                <w:rFonts w:ascii="Verdana" w:hAnsi="Verdana"/>
                <w:b/>
                <w:color w:val="548DD4"/>
                <w:sz w:val="36"/>
                <w:szCs w:val="36"/>
              </w:rPr>
              <w:t>?</w:t>
            </w:r>
          </w:p>
        </w:tc>
        <w:tc>
          <w:tcPr>
            <w:tcW w:w="8444" w:type="dxa"/>
            <w:shd w:val="clear" w:color="auto" w:fill="B8CCE4"/>
          </w:tcPr>
          <w:p w:rsidR="00DF1209" w:rsidRPr="009872C0" w:rsidRDefault="00DF1209" w:rsidP="00711B2D">
            <w:pPr>
              <w:suppressAutoHyphens/>
              <w:spacing w:before="60" w:after="60" w:line="240" w:lineRule="auto"/>
              <w:ind w:left="113"/>
              <w:jc w:val="both"/>
              <w:rPr>
                <w:rFonts w:ascii="Verdana" w:hAnsi="Verdana" w:cs="TimesNewRomanPSMT"/>
                <w:sz w:val="20"/>
                <w:szCs w:val="20"/>
                <w:lang w:val="bg-BG" w:eastAsia="bg-BG"/>
              </w:rPr>
            </w:pPr>
            <w:r w:rsidRPr="009872C0">
              <w:rPr>
                <w:rFonts w:ascii="Verdana" w:hAnsi="Verdana"/>
                <w:sz w:val="20"/>
                <w:szCs w:val="20"/>
                <w:lang w:val="bg-BG"/>
              </w:rPr>
              <w:t xml:space="preserve">Съгласуваност с Европейската стратегическа рамка </w:t>
            </w:r>
            <w:r w:rsidR="00711B2D" w:rsidRPr="009872C0">
              <w:rPr>
                <w:rFonts w:ascii="Verdana" w:hAnsi="Verdana"/>
                <w:sz w:val="20"/>
                <w:szCs w:val="20"/>
                <w:lang w:val="bg-BG"/>
              </w:rPr>
              <w:t>– п</w:t>
            </w:r>
            <w:r w:rsidRPr="009872C0">
              <w:rPr>
                <w:rFonts w:ascii="Verdana" w:hAnsi="Verdana" w:cs="TimesNewRomanPSMT"/>
                <w:sz w:val="20"/>
                <w:szCs w:val="20"/>
                <w:lang w:val="bg-BG" w:eastAsia="bg-BG"/>
              </w:rPr>
              <w:t xml:space="preserve">ринос към </w:t>
            </w:r>
            <w:r w:rsidR="00711B2D" w:rsidRPr="009872C0">
              <w:rPr>
                <w:rFonts w:ascii="Verdana" w:hAnsi="Verdana" w:cs="TimesNewRomanPSMT"/>
                <w:sz w:val="20"/>
                <w:szCs w:val="20"/>
                <w:lang w:val="bg-BG" w:eastAsia="bg-BG"/>
              </w:rPr>
              <w:t>С</w:t>
            </w:r>
            <w:r w:rsidRPr="009872C0">
              <w:rPr>
                <w:rFonts w:ascii="Verdana" w:hAnsi="Verdana" w:cs="TimesNewRomanPSMT"/>
                <w:sz w:val="20"/>
                <w:szCs w:val="20"/>
                <w:lang w:val="bg-BG" w:eastAsia="bg-BG"/>
              </w:rPr>
              <w:t xml:space="preserve">тратегията на </w:t>
            </w:r>
            <w:r w:rsidR="00711B2D" w:rsidRPr="009872C0">
              <w:rPr>
                <w:rFonts w:ascii="Verdana" w:hAnsi="Verdana" w:cs="TimesNewRomanPSMT"/>
                <w:sz w:val="20"/>
                <w:szCs w:val="20"/>
                <w:lang w:val="bg-BG" w:eastAsia="bg-BG"/>
              </w:rPr>
              <w:t>ЕС</w:t>
            </w:r>
            <w:r w:rsidRPr="009872C0">
              <w:rPr>
                <w:rFonts w:ascii="Verdana" w:hAnsi="Verdana" w:cs="TimesNewRomanPSMT"/>
                <w:sz w:val="20"/>
                <w:szCs w:val="20"/>
                <w:lang w:val="bg-BG" w:eastAsia="bg-BG"/>
              </w:rPr>
              <w:t xml:space="preserve"> за интелигентен, устойчив и приобщаващ растеж</w:t>
            </w:r>
          </w:p>
        </w:tc>
      </w:tr>
    </w:tbl>
    <w:p w:rsidR="00DF1209" w:rsidRPr="00B45B4F" w:rsidRDefault="00DF1209" w:rsidP="00DF1209">
      <w:pPr>
        <w:keepNext/>
        <w:pBdr>
          <w:bottom w:val="single" w:sz="4" w:space="1" w:color="0070C0"/>
        </w:pBdr>
        <w:spacing w:before="360" w:after="120"/>
        <w:jc w:val="both"/>
        <w:rPr>
          <w:rFonts w:ascii="Verdana" w:hAnsi="Verdana"/>
          <w:color w:val="0070C0"/>
          <w:sz w:val="20"/>
          <w:szCs w:val="20"/>
          <w:lang w:val="bg-BG" w:eastAsia="cs-CZ"/>
        </w:rPr>
      </w:pPr>
      <w:r w:rsidRPr="00B45B4F">
        <w:rPr>
          <w:rFonts w:ascii="Verdana" w:hAnsi="Verdana"/>
          <w:color w:val="0070C0"/>
          <w:sz w:val="20"/>
          <w:szCs w:val="20"/>
          <w:lang w:val="bg-BG" w:eastAsia="cs-CZ"/>
        </w:rPr>
        <w:t>Европа 2020 и 7-те водещи инициативи за реализация на стратегията</w:t>
      </w:r>
    </w:p>
    <w:p w:rsidR="00D630D7" w:rsidRPr="00B45B4F" w:rsidRDefault="00D630D7" w:rsidP="00D630D7">
      <w:pPr>
        <w:pStyle w:val="BodyText"/>
        <w:widowControl w:val="0"/>
        <w:spacing w:line="276" w:lineRule="auto"/>
        <w:jc w:val="both"/>
        <w:rPr>
          <w:rFonts w:ascii="Verdana" w:hAnsi="Verdana"/>
          <w:sz w:val="20"/>
          <w:szCs w:val="20"/>
          <w:lang w:eastAsia="en-US"/>
        </w:rPr>
      </w:pPr>
      <w:r w:rsidRPr="00B45B4F">
        <w:rPr>
          <w:rFonts w:ascii="Verdana" w:hAnsi="Verdana"/>
          <w:sz w:val="20"/>
          <w:szCs w:val="20"/>
          <w:lang w:eastAsia="en-US"/>
        </w:rPr>
        <w:t xml:space="preserve">Основният принос на ОПНОИР </w:t>
      </w:r>
      <w:r w:rsidR="005106CE" w:rsidRPr="00B45B4F">
        <w:rPr>
          <w:rFonts w:ascii="Verdana" w:hAnsi="Verdana"/>
          <w:sz w:val="20"/>
          <w:szCs w:val="20"/>
          <w:lang w:eastAsia="en-US"/>
        </w:rPr>
        <w:t>2014–2020</w:t>
      </w:r>
      <w:r w:rsidRPr="00B45B4F">
        <w:rPr>
          <w:rFonts w:ascii="Verdana" w:hAnsi="Verdana"/>
          <w:sz w:val="20"/>
          <w:szCs w:val="20"/>
          <w:lang w:eastAsia="en-US"/>
        </w:rPr>
        <w:t xml:space="preserve"> г. към стратегията </w:t>
      </w:r>
      <w:r w:rsidR="005106CE" w:rsidRPr="00B45B4F">
        <w:rPr>
          <w:rFonts w:ascii="Verdana" w:hAnsi="Verdana"/>
          <w:sz w:val="20"/>
          <w:szCs w:val="20"/>
          <w:lang w:eastAsia="en-US"/>
        </w:rPr>
        <w:t>„</w:t>
      </w:r>
      <w:r w:rsidRPr="00B45B4F">
        <w:rPr>
          <w:rFonts w:ascii="Verdana" w:hAnsi="Verdana"/>
          <w:sz w:val="20"/>
          <w:szCs w:val="20"/>
          <w:lang w:eastAsia="en-US"/>
        </w:rPr>
        <w:t>Европа 2020</w:t>
      </w:r>
      <w:r w:rsidR="005106CE" w:rsidRPr="00B45B4F">
        <w:rPr>
          <w:rFonts w:ascii="Verdana" w:hAnsi="Verdana"/>
          <w:sz w:val="20"/>
          <w:szCs w:val="20"/>
          <w:lang w:eastAsia="en-US"/>
        </w:rPr>
        <w:t>“</w:t>
      </w:r>
      <w:r w:rsidRPr="00B45B4F">
        <w:rPr>
          <w:rFonts w:ascii="Verdana" w:hAnsi="Verdana"/>
          <w:sz w:val="20"/>
          <w:szCs w:val="20"/>
          <w:lang w:eastAsia="en-US"/>
        </w:rPr>
        <w:t xml:space="preserve"> се очаква да бъде по отношение на постигане на 2</w:t>
      </w:r>
      <w:r w:rsidR="009004E3" w:rsidRPr="00B45B4F">
        <w:rPr>
          <w:rFonts w:ascii="Verdana" w:hAnsi="Verdana"/>
          <w:sz w:val="20"/>
          <w:szCs w:val="20"/>
          <w:lang w:eastAsia="en-US"/>
        </w:rPr>
        <w:t>-</w:t>
      </w:r>
      <w:r w:rsidRPr="00B45B4F">
        <w:rPr>
          <w:rFonts w:ascii="Verdana" w:hAnsi="Verdana"/>
          <w:sz w:val="20"/>
          <w:szCs w:val="20"/>
          <w:lang w:eastAsia="en-US"/>
        </w:rPr>
        <w:t>ра и 4</w:t>
      </w:r>
      <w:r w:rsidR="009004E3" w:rsidRPr="00B45B4F">
        <w:rPr>
          <w:rFonts w:ascii="Verdana" w:hAnsi="Verdana"/>
          <w:sz w:val="20"/>
          <w:szCs w:val="20"/>
          <w:lang w:eastAsia="en-US"/>
        </w:rPr>
        <w:t>-</w:t>
      </w:r>
      <w:r w:rsidRPr="00B45B4F">
        <w:rPr>
          <w:rFonts w:ascii="Verdana" w:hAnsi="Verdana"/>
          <w:sz w:val="20"/>
          <w:szCs w:val="20"/>
          <w:lang w:eastAsia="en-US"/>
        </w:rPr>
        <w:t>та цел на стратегията, а именно:</w:t>
      </w:r>
    </w:p>
    <w:p w:rsidR="00D630D7" w:rsidRPr="00B45B4F" w:rsidRDefault="00D630D7" w:rsidP="00D630D7">
      <w:pPr>
        <w:pStyle w:val="BodyText"/>
        <w:widowControl w:val="0"/>
        <w:spacing w:line="276" w:lineRule="auto"/>
        <w:jc w:val="both"/>
        <w:rPr>
          <w:rFonts w:ascii="Verdana" w:hAnsi="Verdana"/>
          <w:sz w:val="20"/>
          <w:szCs w:val="20"/>
          <w:lang w:eastAsia="en-US"/>
        </w:rPr>
      </w:pPr>
      <w:r w:rsidRPr="00B45B4F">
        <w:rPr>
          <w:rFonts w:ascii="Verdana" w:hAnsi="Verdana"/>
          <w:sz w:val="20"/>
          <w:szCs w:val="20"/>
          <w:lang w:eastAsia="en-US"/>
        </w:rPr>
        <w:t xml:space="preserve">Цел 2 - </w:t>
      </w:r>
      <w:r w:rsidR="00A81203" w:rsidRPr="00B45B4F">
        <w:rPr>
          <w:rFonts w:ascii="Verdana" w:hAnsi="Verdana"/>
          <w:i/>
          <w:sz w:val="20"/>
          <w:szCs w:val="20"/>
          <w:lang w:eastAsia="en-US"/>
        </w:rPr>
        <w:t>И</w:t>
      </w:r>
      <w:r w:rsidRPr="00B45B4F">
        <w:rPr>
          <w:rFonts w:ascii="Verdana" w:hAnsi="Verdana"/>
          <w:i/>
          <w:sz w:val="20"/>
          <w:szCs w:val="20"/>
          <w:lang w:eastAsia="en-US"/>
        </w:rPr>
        <w:t>нвестиране на 3% (1,5% цел за България) от БВП в научноизследователска и развойна дейност (НИРД)</w:t>
      </w:r>
      <w:r w:rsidRPr="00B45B4F">
        <w:rPr>
          <w:rFonts w:ascii="Verdana" w:hAnsi="Verdana"/>
          <w:sz w:val="20"/>
          <w:szCs w:val="20"/>
          <w:lang w:eastAsia="en-US"/>
        </w:rPr>
        <w:t>.</w:t>
      </w:r>
      <w:r w:rsidR="00D03C4F" w:rsidRPr="00B45B4F">
        <w:rPr>
          <w:rFonts w:ascii="Verdana" w:hAnsi="Verdana"/>
          <w:sz w:val="20"/>
          <w:szCs w:val="20"/>
          <w:lang w:eastAsia="en-US"/>
        </w:rPr>
        <w:t xml:space="preserve"> За постигане на целта ОПНОИР предвижда средствата по програмата да се използват като допълваща инвестиция към „бюджетното портфолио” на изследователския сектор в България. Предвиждат се и мерки за подобряване на научната инфраструктура и развитие на иновационния потенциал и връзките между науката и бизнеса</w:t>
      </w:r>
      <w:r w:rsidR="00A81203" w:rsidRPr="00B45B4F">
        <w:rPr>
          <w:rFonts w:ascii="Verdana" w:hAnsi="Verdana"/>
          <w:sz w:val="20"/>
          <w:szCs w:val="20"/>
          <w:lang w:eastAsia="en-US"/>
        </w:rPr>
        <w:t>,</w:t>
      </w:r>
      <w:r w:rsidR="00D03C4F" w:rsidRPr="00B45B4F">
        <w:rPr>
          <w:rFonts w:ascii="Verdana" w:hAnsi="Verdana"/>
          <w:sz w:val="20"/>
          <w:szCs w:val="20"/>
          <w:lang w:eastAsia="en-US"/>
        </w:rPr>
        <w:t xml:space="preserve"> с което да се получи </w:t>
      </w:r>
      <w:proofErr w:type="spellStart"/>
      <w:r w:rsidR="00D03C4F" w:rsidRPr="00B45B4F">
        <w:rPr>
          <w:rFonts w:ascii="Verdana" w:hAnsi="Verdana"/>
          <w:sz w:val="20"/>
          <w:szCs w:val="20"/>
          <w:lang w:eastAsia="en-US"/>
        </w:rPr>
        <w:t>синергичен</w:t>
      </w:r>
      <w:proofErr w:type="spellEnd"/>
      <w:r w:rsidR="00D03C4F" w:rsidRPr="00B45B4F">
        <w:rPr>
          <w:rFonts w:ascii="Verdana" w:hAnsi="Verdana"/>
          <w:sz w:val="20"/>
          <w:szCs w:val="20"/>
          <w:lang w:eastAsia="en-US"/>
        </w:rPr>
        <w:t xml:space="preserve"> ефект по отношение на развитие на НИРД в страната.</w:t>
      </w:r>
    </w:p>
    <w:p w:rsidR="00D03C4F" w:rsidRPr="00B45B4F" w:rsidRDefault="00D630D7" w:rsidP="00D630D7">
      <w:pPr>
        <w:pStyle w:val="BodyText"/>
        <w:widowControl w:val="0"/>
        <w:spacing w:line="276" w:lineRule="auto"/>
        <w:jc w:val="both"/>
        <w:rPr>
          <w:rFonts w:ascii="Verdana" w:hAnsi="Verdana"/>
          <w:sz w:val="20"/>
          <w:szCs w:val="20"/>
          <w:lang w:eastAsia="en-US"/>
        </w:rPr>
      </w:pPr>
      <w:r w:rsidRPr="00B45B4F">
        <w:rPr>
          <w:rFonts w:ascii="Verdana" w:hAnsi="Verdana"/>
          <w:sz w:val="20"/>
          <w:szCs w:val="20"/>
          <w:lang w:eastAsia="en-US"/>
        </w:rPr>
        <w:t>Цел 4</w:t>
      </w:r>
      <w:r w:rsidR="00D03C4F" w:rsidRPr="00B45B4F">
        <w:rPr>
          <w:rFonts w:ascii="Verdana" w:hAnsi="Verdana"/>
          <w:sz w:val="20"/>
          <w:szCs w:val="20"/>
          <w:lang w:eastAsia="en-US"/>
        </w:rPr>
        <w:t>:</w:t>
      </w:r>
    </w:p>
    <w:p w:rsidR="00D630D7" w:rsidRPr="00B45B4F" w:rsidRDefault="00D03C4F" w:rsidP="006861B0">
      <w:pPr>
        <w:pStyle w:val="BodyText"/>
        <w:widowControl w:val="0"/>
        <w:numPr>
          <w:ilvl w:val="0"/>
          <w:numId w:val="12"/>
        </w:numPr>
        <w:spacing w:line="276" w:lineRule="auto"/>
        <w:jc w:val="both"/>
        <w:rPr>
          <w:rFonts w:ascii="Verdana" w:hAnsi="Verdana"/>
          <w:sz w:val="20"/>
          <w:szCs w:val="20"/>
          <w:lang w:eastAsia="en-US"/>
        </w:rPr>
      </w:pPr>
      <w:r w:rsidRPr="00B45B4F">
        <w:rPr>
          <w:rFonts w:ascii="Verdana" w:hAnsi="Verdana"/>
          <w:i/>
          <w:sz w:val="20"/>
          <w:szCs w:val="20"/>
          <w:lang w:eastAsia="en-US"/>
        </w:rPr>
        <w:t>Намаляване на 10% (11% цел за България) на преждевременно напусналите училище</w:t>
      </w:r>
      <w:r w:rsidRPr="00B45B4F">
        <w:rPr>
          <w:rFonts w:ascii="Verdana" w:hAnsi="Verdana"/>
          <w:sz w:val="20"/>
          <w:szCs w:val="20"/>
          <w:lang w:eastAsia="en-US"/>
        </w:rPr>
        <w:t xml:space="preserve">. </w:t>
      </w:r>
      <w:r w:rsidR="008E7543" w:rsidRPr="00B45B4F">
        <w:rPr>
          <w:rFonts w:ascii="Verdana" w:hAnsi="Verdana"/>
          <w:sz w:val="20"/>
          <w:szCs w:val="20"/>
          <w:lang w:eastAsia="en-US"/>
        </w:rPr>
        <w:t>ОПНОИР</w:t>
      </w:r>
      <w:r w:rsidR="001D5BCF" w:rsidRPr="00B45B4F">
        <w:rPr>
          <w:rFonts w:ascii="Verdana" w:hAnsi="Verdana"/>
          <w:sz w:val="20"/>
          <w:szCs w:val="20"/>
          <w:lang w:eastAsia="en-US"/>
        </w:rPr>
        <w:t xml:space="preserve"> предвижда мерки </w:t>
      </w:r>
      <w:r w:rsidR="008E7543" w:rsidRPr="00B45B4F">
        <w:rPr>
          <w:rFonts w:ascii="Verdana" w:hAnsi="Verdana"/>
          <w:sz w:val="20"/>
          <w:szCs w:val="20"/>
          <w:lang w:eastAsia="en-US"/>
        </w:rPr>
        <w:t xml:space="preserve">за превенция на ранното отпадане от училище, </w:t>
      </w:r>
      <w:r w:rsidR="001D5BCF" w:rsidRPr="00B45B4F">
        <w:rPr>
          <w:rFonts w:ascii="Verdana" w:hAnsi="Verdana"/>
          <w:sz w:val="20"/>
          <w:szCs w:val="20"/>
          <w:lang w:eastAsia="en-US"/>
        </w:rPr>
        <w:t>за подобряване на достъпа до образование на деца със специални образователни потребности (СОП), включително деца от етнически малцинства</w:t>
      </w:r>
      <w:r w:rsidR="008E7543" w:rsidRPr="00B45B4F">
        <w:rPr>
          <w:rFonts w:ascii="Verdana" w:hAnsi="Verdana"/>
          <w:sz w:val="20"/>
          <w:szCs w:val="20"/>
          <w:lang w:eastAsia="en-US"/>
        </w:rPr>
        <w:t>. П</w:t>
      </w:r>
      <w:r w:rsidR="00A81203" w:rsidRPr="00B45B4F">
        <w:rPr>
          <w:rFonts w:ascii="Verdana" w:hAnsi="Verdana"/>
          <w:sz w:val="20"/>
          <w:szCs w:val="20"/>
          <w:lang w:eastAsia="en-US"/>
        </w:rPr>
        <w:t>редвидени</w:t>
      </w:r>
      <w:r w:rsidR="008E7543" w:rsidRPr="00B45B4F">
        <w:rPr>
          <w:rFonts w:ascii="Verdana" w:hAnsi="Verdana"/>
          <w:sz w:val="20"/>
          <w:szCs w:val="20"/>
          <w:lang w:eastAsia="en-US"/>
        </w:rPr>
        <w:t>те</w:t>
      </w:r>
      <w:r w:rsidR="00A81203" w:rsidRPr="00B45B4F">
        <w:rPr>
          <w:rFonts w:ascii="Verdana" w:hAnsi="Verdana"/>
          <w:sz w:val="20"/>
          <w:szCs w:val="20"/>
          <w:lang w:eastAsia="en-US"/>
        </w:rPr>
        <w:t xml:space="preserve"> мерки за повишаване качеството на образованието</w:t>
      </w:r>
      <w:r w:rsidR="008E7543" w:rsidRPr="00B45B4F">
        <w:rPr>
          <w:rFonts w:ascii="Verdana" w:hAnsi="Verdana"/>
          <w:sz w:val="20"/>
          <w:szCs w:val="20"/>
          <w:lang w:eastAsia="en-US"/>
        </w:rPr>
        <w:t xml:space="preserve"> и индивидуален подход към потребностите на учащите с подкрепа и участие на родителите също се разглеждат като ключови за намаляване на преждевременното напускане на училище</w:t>
      </w:r>
      <w:r w:rsidR="00A81203" w:rsidRPr="00B45B4F">
        <w:rPr>
          <w:rFonts w:ascii="Verdana" w:hAnsi="Verdana"/>
          <w:sz w:val="20"/>
          <w:szCs w:val="20"/>
          <w:lang w:eastAsia="en-US"/>
        </w:rPr>
        <w:t>.</w:t>
      </w:r>
    </w:p>
    <w:p w:rsidR="00D03C4F" w:rsidRPr="00B45B4F" w:rsidRDefault="00D03C4F" w:rsidP="006861B0">
      <w:pPr>
        <w:pStyle w:val="BodyText"/>
        <w:widowControl w:val="0"/>
        <w:numPr>
          <w:ilvl w:val="0"/>
          <w:numId w:val="12"/>
        </w:numPr>
        <w:spacing w:line="276" w:lineRule="auto"/>
        <w:jc w:val="both"/>
        <w:rPr>
          <w:rFonts w:ascii="Verdana" w:hAnsi="Verdana"/>
          <w:sz w:val="20"/>
          <w:szCs w:val="20"/>
          <w:lang w:eastAsia="en-US"/>
        </w:rPr>
      </w:pPr>
      <w:r w:rsidRPr="00B45B4F">
        <w:rPr>
          <w:rFonts w:ascii="Verdana" w:hAnsi="Verdana"/>
          <w:i/>
          <w:sz w:val="20"/>
          <w:szCs w:val="20"/>
          <w:lang w:eastAsia="en-US"/>
        </w:rPr>
        <w:t>Увеличаване на 40% (36% цел за България) на дела на 30-34 годишните с завършено висше образование.</w:t>
      </w:r>
      <w:r w:rsidR="002D4C3A">
        <w:rPr>
          <w:rFonts w:ascii="Verdana" w:hAnsi="Verdana"/>
          <w:i/>
          <w:sz w:val="20"/>
          <w:szCs w:val="20"/>
          <w:lang w:eastAsia="en-US"/>
        </w:rPr>
        <w:t xml:space="preserve"> </w:t>
      </w:r>
      <w:r w:rsidR="001D5BCF" w:rsidRPr="00B45B4F">
        <w:rPr>
          <w:rFonts w:ascii="Verdana" w:hAnsi="Verdana"/>
          <w:sz w:val="20"/>
          <w:szCs w:val="20"/>
          <w:lang w:eastAsia="en-US"/>
        </w:rPr>
        <w:t xml:space="preserve">ОПНОИР </w:t>
      </w:r>
      <w:r w:rsidR="005106CE" w:rsidRPr="00B45B4F">
        <w:rPr>
          <w:rFonts w:ascii="Verdana" w:hAnsi="Verdana"/>
          <w:sz w:val="20"/>
          <w:szCs w:val="20"/>
          <w:lang w:eastAsia="en-US"/>
        </w:rPr>
        <w:t>2014–2020</w:t>
      </w:r>
      <w:r w:rsidR="001D5BCF" w:rsidRPr="00B45B4F">
        <w:rPr>
          <w:rFonts w:ascii="Verdana" w:hAnsi="Verdana"/>
          <w:sz w:val="20"/>
          <w:szCs w:val="20"/>
          <w:lang w:eastAsia="en-US"/>
        </w:rPr>
        <w:t xml:space="preserve"> предвижда мерки</w:t>
      </w:r>
      <w:r w:rsidR="002D6D50" w:rsidRPr="00B45B4F">
        <w:rPr>
          <w:rFonts w:ascii="Verdana" w:hAnsi="Verdana"/>
          <w:sz w:val="20"/>
          <w:szCs w:val="20"/>
          <w:lang w:eastAsia="en-US"/>
        </w:rPr>
        <w:t>,</w:t>
      </w:r>
      <w:r w:rsidR="001D5BCF" w:rsidRPr="00B45B4F">
        <w:rPr>
          <w:rFonts w:ascii="Verdana" w:hAnsi="Verdana"/>
          <w:sz w:val="20"/>
          <w:szCs w:val="20"/>
          <w:lang w:eastAsia="en-US"/>
        </w:rPr>
        <w:t xml:space="preserve"> насочени към подобряване на системата на висше образовани чрез преструктуриране и подобряване на управлението, подобряване на образователния продукт и на качеството на образованието и предоставяне на </w:t>
      </w:r>
      <w:r w:rsidR="001D5BCF" w:rsidRPr="00B45B4F">
        <w:rPr>
          <w:rFonts w:ascii="Verdana" w:hAnsi="Verdana"/>
          <w:sz w:val="20"/>
          <w:szCs w:val="20"/>
          <w:lang w:eastAsia="en-US"/>
        </w:rPr>
        <w:lastRenderedPageBreak/>
        <w:t>по-големи възможности за достъп до образование на лица с ограничени финансови възможности и хора с уврежд</w:t>
      </w:r>
      <w:r w:rsidR="008E7543" w:rsidRPr="00B45B4F">
        <w:rPr>
          <w:rFonts w:ascii="Verdana" w:hAnsi="Verdana"/>
          <w:sz w:val="20"/>
          <w:szCs w:val="20"/>
          <w:lang w:eastAsia="en-US"/>
        </w:rPr>
        <w:t>ания. Планираните мерки целят д</w:t>
      </w:r>
      <w:r w:rsidR="001D5BCF" w:rsidRPr="00B45B4F">
        <w:rPr>
          <w:rFonts w:ascii="Verdana" w:hAnsi="Verdana"/>
          <w:sz w:val="20"/>
          <w:szCs w:val="20"/>
          <w:lang w:eastAsia="en-US"/>
        </w:rPr>
        <w:t xml:space="preserve">а повишат привлекателността и престижността на образованието и да подобрят достъпа до системата за уязвими групи. </w:t>
      </w:r>
    </w:p>
    <w:p w:rsidR="00D630D7" w:rsidRPr="00B45B4F" w:rsidRDefault="00D73E59" w:rsidP="00D630D7">
      <w:pPr>
        <w:pStyle w:val="BodyText"/>
        <w:widowControl w:val="0"/>
        <w:spacing w:line="276" w:lineRule="auto"/>
        <w:jc w:val="both"/>
        <w:rPr>
          <w:rFonts w:ascii="Verdana" w:hAnsi="Verdana"/>
          <w:sz w:val="20"/>
          <w:szCs w:val="20"/>
          <w:lang w:eastAsia="en-US"/>
        </w:rPr>
      </w:pPr>
      <w:r w:rsidRPr="00B45B4F">
        <w:rPr>
          <w:rFonts w:ascii="Verdana" w:hAnsi="Verdana"/>
          <w:sz w:val="20"/>
          <w:szCs w:val="20"/>
          <w:lang w:eastAsia="en-US"/>
        </w:rPr>
        <w:t xml:space="preserve">По отношение на седемте водещи инициативи за реализация на </w:t>
      </w:r>
      <w:r w:rsidR="00005648" w:rsidRPr="00B45B4F">
        <w:rPr>
          <w:rFonts w:ascii="Verdana" w:hAnsi="Verdana"/>
          <w:sz w:val="20"/>
          <w:szCs w:val="20"/>
          <w:lang w:eastAsia="en-US"/>
        </w:rPr>
        <w:t>с</w:t>
      </w:r>
      <w:r w:rsidRPr="00B45B4F">
        <w:rPr>
          <w:rFonts w:ascii="Verdana" w:hAnsi="Verdana"/>
          <w:sz w:val="20"/>
          <w:szCs w:val="20"/>
          <w:lang w:eastAsia="en-US"/>
        </w:rPr>
        <w:t>тратегията</w:t>
      </w:r>
      <w:r w:rsidR="000C37BC" w:rsidRPr="00B45B4F">
        <w:rPr>
          <w:rStyle w:val="FootnoteReference"/>
          <w:rFonts w:ascii="Verdana" w:hAnsi="Verdana"/>
          <w:sz w:val="20"/>
          <w:szCs w:val="20"/>
          <w:lang w:eastAsia="en-US"/>
        </w:rPr>
        <w:footnoteReference w:id="3"/>
      </w:r>
      <w:r w:rsidR="000C37BC" w:rsidRPr="00B45B4F">
        <w:rPr>
          <w:rFonts w:ascii="Verdana" w:hAnsi="Verdana"/>
          <w:sz w:val="20"/>
          <w:szCs w:val="20"/>
          <w:lang w:eastAsia="en-US"/>
        </w:rPr>
        <w:t>, ОПНОИР подкрепя дейности в обхвата на следните инициативи:</w:t>
      </w:r>
    </w:p>
    <w:p w:rsidR="000C37BC" w:rsidRPr="00B45B4F" w:rsidRDefault="000C37BC" w:rsidP="006861B0">
      <w:pPr>
        <w:pStyle w:val="BodyText"/>
        <w:widowControl w:val="0"/>
        <w:numPr>
          <w:ilvl w:val="0"/>
          <w:numId w:val="13"/>
        </w:numPr>
        <w:spacing w:line="276" w:lineRule="auto"/>
        <w:jc w:val="both"/>
        <w:rPr>
          <w:rFonts w:ascii="Verdana" w:hAnsi="Verdana"/>
          <w:sz w:val="20"/>
          <w:szCs w:val="20"/>
          <w:lang w:eastAsia="en-US"/>
        </w:rPr>
      </w:pPr>
      <w:r w:rsidRPr="00B45B4F">
        <w:rPr>
          <w:rFonts w:ascii="Verdana" w:hAnsi="Verdana"/>
          <w:i/>
          <w:sz w:val="20"/>
          <w:szCs w:val="20"/>
          <w:lang w:eastAsia="en-US"/>
        </w:rPr>
        <w:t>Програма в областта на цифровите технологии за Европа</w:t>
      </w:r>
      <w:r w:rsidRPr="00B45B4F">
        <w:rPr>
          <w:rFonts w:ascii="Verdana" w:hAnsi="Verdana"/>
          <w:sz w:val="20"/>
          <w:szCs w:val="20"/>
          <w:lang w:eastAsia="en-US"/>
        </w:rPr>
        <w:t xml:space="preserve"> – пети стълб (изследвания и иновации) и шести стълб (подобряване на цифровата грамотност и умения)</w:t>
      </w:r>
      <w:r w:rsidR="002D6D50" w:rsidRPr="00B45B4F">
        <w:rPr>
          <w:rFonts w:ascii="Verdana" w:hAnsi="Verdana"/>
          <w:sz w:val="20"/>
          <w:szCs w:val="20"/>
          <w:lang w:eastAsia="en-US"/>
        </w:rPr>
        <w:t xml:space="preserve"> чрез предвидената подкрепа в областта на научните изследвания и подкрепата за по-широко въвеждане на цифровите технологии в образователния процес</w:t>
      </w:r>
      <w:r w:rsidRPr="00B45B4F">
        <w:rPr>
          <w:rFonts w:ascii="Verdana" w:hAnsi="Verdana"/>
          <w:sz w:val="20"/>
          <w:szCs w:val="20"/>
          <w:lang w:eastAsia="en-US"/>
        </w:rPr>
        <w:t>;</w:t>
      </w:r>
    </w:p>
    <w:p w:rsidR="000C37BC" w:rsidRPr="00B45B4F" w:rsidRDefault="004303C0" w:rsidP="006861B0">
      <w:pPr>
        <w:pStyle w:val="BodyText"/>
        <w:widowControl w:val="0"/>
        <w:numPr>
          <w:ilvl w:val="0"/>
          <w:numId w:val="13"/>
        </w:numPr>
        <w:spacing w:line="276" w:lineRule="auto"/>
        <w:jc w:val="both"/>
        <w:rPr>
          <w:rFonts w:ascii="Verdana" w:hAnsi="Verdana"/>
          <w:sz w:val="20"/>
          <w:szCs w:val="20"/>
          <w:lang w:eastAsia="en-US"/>
        </w:rPr>
      </w:pPr>
      <w:r w:rsidRPr="00B45B4F">
        <w:rPr>
          <w:rFonts w:ascii="Verdana" w:hAnsi="Verdana"/>
          <w:i/>
          <w:sz w:val="20"/>
          <w:szCs w:val="20"/>
          <w:lang w:eastAsia="en-US"/>
        </w:rPr>
        <w:t>Съюз за иновации</w:t>
      </w:r>
      <w:r w:rsidR="00F648FE" w:rsidRPr="00B45B4F">
        <w:rPr>
          <w:rFonts w:ascii="Verdana" w:hAnsi="Verdana"/>
          <w:sz w:val="20"/>
          <w:szCs w:val="20"/>
          <w:lang w:eastAsia="en-US"/>
        </w:rPr>
        <w:t xml:space="preserve"> – по отношение на насърчаването на иновациите и връзката наука-бизнес</w:t>
      </w:r>
      <w:r w:rsidRPr="00B45B4F">
        <w:rPr>
          <w:rFonts w:ascii="Verdana" w:hAnsi="Verdana"/>
          <w:sz w:val="20"/>
          <w:szCs w:val="20"/>
          <w:lang w:eastAsia="en-US"/>
        </w:rPr>
        <w:t>;</w:t>
      </w:r>
    </w:p>
    <w:p w:rsidR="004303C0" w:rsidRPr="00B45B4F" w:rsidRDefault="004303C0" w:rsidP="006861B0">
      <w:pPr>
        <w:pStyle w:val="BodyText"/>
        <w:widowControl w:val="0"/>
        <w:numPr>
          <w:ilvl w:val="0"/>
          <w:numId w:val="13"/>
        </w:numPr>
        <w:spacing w:line="276" w:lineRule="auto"/>
        <w:jc w:val="both"/>
        <w:rPr>
          <w:rFonts w:ascii="Verdana" w:hAnsi="Verdana"/>
          <w:sz w:val="20"/>
          <w:szCs w:val="20"/>
          <w:lang w:eastAsia="en-US"/>
        </w:rPr>
      </w:pPr>
      <w:r w:rsidRPr="00B45B4F">
        <w:rPr>
          <w:rFonts w:ascii="Verdana" w:hAnsi="Verdana"/>
          <w:i/>
          <w:sz w:val="20"/>
          <w:szCs w:val="20"/>
          <w:lang w:eastAsia="en-US"/>
        </w:rPr>
        <w:t>Младежта в движение</w:t>
      </w:r>
      <w:r w:rsidRPr="00B45B4F">
        <w:rPr>
          <w:rFonts w:ascii="Verdana" w:hAnsi="Verdana"/>
          <w:sz w:val="20"/>
          <w:szCs w:val="20"/>
          <w:lang w:eastAsia="en-US"/>
        </w:rPr>
        <w:t xml:space="preserve"> – по отношение на подкрепата за студенти и млади преподаватели;</w:t>
      </w:r>
    </w:p>
    <w:p w:rsidR="00F648FE" w:rsidRPr="00B45B4F" w:rsidRDefault="00F648FE" w:rsidP="006861B0">
      <w:pPr>
        <w:pStyle w:val="BodyText"/>
        <w:widowControl w:val="0"/>
        <w:numPr>
          <w:ilvl w:val="0"/>
          <w:numId w:val="13"/>
        </w:numPr>
        <w:spacing w:line="276" w:lineRule="auto"/>
        <w:jc w:val="both"/>
        <w:rPr>
          <w:rFonts w:ascii="Verdana" w:hAnsi="Verdana"/>
          <w:sz w:val="20"/>
          <w:szCs w:val="20"/>
          <w:lang w:eastAsia="en-US"/>
        </w:rPr>
      </w:pPr>
      <w:r w:rsidRPr="00B45B4F">
        <w:rPr>
          <w:rFonts w:ascii="Verdana" w:hAnsi="Verdana"/>
          <w:i/>
          <w:sz w:val="20"/>
          <w:szCs w:val="20"/>
          <w:lang w:eastAsia="en-US"/>
        </w:rPr>
        <w:t>Програма за нови умения и работни места</w:t>
      </w:r>
      <w:r w:rsidRPr="00B45B4F">
        <w:rPr>
          <w:rFonts w:ascii="Verdana" w:hAnsi="Verdana"/>
          <w:sz w:val="20"/>
          <w:szCs w:val="20"/>
          <w:lang w:eastAsia="en-US"/>
        </w:rPr>
        <w:t xml:space="preserve"> – по отношение на промяна и адаптация на учебни програми и съдържание към промените в средата за трудова реализация и предизвикателствата на глобалното общество и разширяване на възможностите за практическо обучение и развитие на условията за учене през целия живот.</w:t>
      </w:r>
    </w:p>
    <w:p w:rsidR="00824396" w:rsidRPr="00B45B4F" w:rsidRDefault="00824396" w:rsidP="006861B0">
      <w:pPr>
        <w:pStyle w:val="BodyText"/>
        <w:widowControl w:val="0"/>
        <w:numPr>
          <w:ilvl w:val="0"/>
          <w:numId w:val="13"/>
        </w:numPr>
        <w:spacing w:line="276" w:lineRule="auto"/>
        <w:jc w:val="both"/>
        <w:rPr>
          <w:rFonts w:ascii="Verdana" w:hAnsi="Verdana"/>
          <w:sz w:val="20"/>
          <w:szCs w:val="20"/>
          <w:lang w:eastAsia="en-US"/>
        </w:rPr>
      </w:pPr>
      <w:r w:rsidRPr="00B45B4F">
        <w:rPr>
          <w:rFonts w:ascii="Verdana" w:hAnsi="Verdana"/>
          <w:i/>
          <w:sz w:val="20"/>
          <w:szCs w:val="20"/>
          <w:lang w:eastAsia="en-US"/>
        </w:rPr>
        <w:t xml:space="preserve">Европейска платформа срещу бедността </w:t>
      </w:r>
      <w:r w:rsidRPr="00B45B4F">
        <w:rPr>
          <w:rFonts w:ascii="Verdana" w:hAnsi="Verdana"/>
          <w:sz w:val="20"/>
          <w:szCs w:val="20"/>
          <w:lang w:eastAsia="en-US"/>
        </w:rPr>
        <w:t>– по отношение на провеждане на политики в областта на образованието и младежта.</w:t>
      </w:r>
    </w:p>
    <w:p w:rsidR="004303C0" w:rsidRPr="00B45B4F" w:rsidRDefault="004303C0" w:rsidP="00824396">
      <w:pPr>
        <w:pStyle w:val="BodyText"/>
        <w:widowControl w:val="0"/>
        <w:spacing w:line="276" w:lineRule="auto"/>
        <w:jc w:val="both"/>
        <w:rPr>
          <w:rFonts w:ascii="Verdana" w:hAnsi="Verdana"/>
          <w:sz w:val="20"/>
          <w:szCs w:val="20"/>
          <w:lang w:eastAsia="en-US"/>
        </w:rPr>
      </w:pPr>
      <w:r w:rsidRPr="00B45B4F">
        <w:rPr>
          <w:rFonts w:ascii="Verdana" w:hAnsi="Verdana"/>
          <w:sz w:val="20"/>
          <w:szCs w:val="20"/>
          <w:lang w:eastAsia="en-US"/>
        </w:rPr>
        <w:t xml:space="preserve">С останалите </w:t>
      </w:r>
      <w:r w:rsidR="00824396" w:rsidRPr="00B45B4F">
        <w:rPr>
          <w:rFonts w:ascii="Verdana" w:hAnsi="Verdana"/>
          <w:sz w:val="20"/>
          <w:szCs w:val="20"/>
          <w:lang w:eastAsia="en-US"/>
        </w:rPr>
        <w:t>две</w:t>
      </w:r>
      <w:r w:rsidR="00011E4D">
        <w:rPr>
          <w:rFonts w:ascii="Verdana" w:hAnsi="Verdana"/>
          <w:sz w:val="20"/>
          <w:szCs w:val="20"/>
          <w:lang w:eastAsia="en-US"/>
        </w:rPr>
        <w:t xml:space="preserve"> </w:t>
      </w:r>
      <w:r w:rsidRPr="00B45B4F">
        <w:rPr>
          <w:rFonts w:ascii="Verdana" w:hAnsi="Verdana"/>
          <w:sz w:val="20"/>
          <w:szCs w:val="20"/>
          <w:lang w:eastAsia="en-US"/>
        </w:rPr>
        <w:t xml:space="preserve">инициативи </w:t>
      </w:r>
      <w:r w:rsidR="008E7543" w:rsidRPr="00B45B4F">
        <w:rPr>
          <w:rFonts w:ascii="Verdana" w:hAnsi="Verdana"/>
          <w:sz w:val="20"/>
          <w:szCs w:val="20"/>
          <w:lang w:eastAsia="en-US"/>
        </w:rPr>
        <w:t xml:space="preserve">(Европа за ефективно използване на ресурсите, Индустриална политика за ерата на глобализацията) </w:t>
      </w:r>
      <w:r w:rsidRPr="00B45B4F">
        <w:rPr>
          <w:rFonts w:ascii="Verdana" w:hAnsi="Verdana"/>
          <w:sz w:val="20"/>
          <w:szCs w:val="20"/>
          <w:lang w:eastAsia="en-US"/>
        </w:rPr>
        <w:t xml:space="preserve">програмата има индиректна връзка що се касае до </w:t>
      </w:r>
      <w:r w:rsidR="00005648" w:rsidRPr="00B45B4F">
        <w:rPr>
          <w:rFonts w:ascii="Verdana" w:hAnsi="Verdana"/>
          <w:sz w:val="20"/>
          <w:szCs w:val="20"/>
          <w:lang w:eastAsia="en-US"/>
        </w:rPr>
        <w:t xml:space="preserve">осигуряването на </w:t>
      </w:r>
      <w:r w:rsidRPr="00B45B4F">
        <w:rPr>
          <w:rFonts w:ascii="Verdana" w:hAnsi="Verdana"/>
          <w:sz w:val="20"/>
          <w:szCs w:val="20"/>
          <w:lang w:eastAsia="en-US"/>
        </w:rPr>
        <w:t xml:space="preserve">възможност за финансиране на изследвания в областите </w:t>
      </w:r>
      <w:r w:rsidR="00F648FE" w:rsidRPr="00B45B4F">
        <w:rPr>
          <w:rFonts w:ascii="Verdana" w:hAnsi="Verdana"/>
          <w:sz w:val="20"/>
          <w:szCs w:val="20"/>
          <w:lang w:eastAsia="en-US"/>
        </w:rPr>
        <w:t xml:space="preserve">на инициативите. </w:t>
      </w:r>
    </w:p>
    <w:p w:rsidR="00BD55F7" w:rsidRPr="00B45B4F" w:rsidRDefault="00BD55F7" w:rsidP="00824396">
      <w:pPr>
        <w:pStyle w:val="BodyText"/>
        <w:widowControl w:val="0"/>
        <w:spacing w:line="276" w:lineRule="auto"/>
        <w:jc w:val="both"/>
        <w:rPr>
          <w:rFonts w:ascii="Verdana" w:hAnsi="Verdana"/>
          <w:sz w:val="20"/>
          <w:szCs w:val="20"/>
          <w:lang w:eastAsia="en-US"/>
        </w:rPr>
      </w:pPr>
      <w:r w:rsidRPr="00B45B4F">
        <w:rPr>
          <w:rFonts w:ascii="Verdana" w:hAnsi="Verdana"/>
          <w:sz w:val="20"/>
          <w:szCs w:val="20"/>
          <w:lang w:eastAsia="en-US"/>
        </w:rPr>
        <w:t>Текст</w:t>
      </w:r>
      <w:r w:rsidR="00824396" w:rsidRPr="00B45B4F">
        <w:rPr>
          <w:rFonts w:ascii="Verdana" w:hAnsi="Verdana"/>
          <w:sz w:val="20"/>
          <w:szCs w:val="20"/>
          <w:lang w:eastAsia="en-US"/>
        </w:rPr>
        <w:t>ът</w:t>
      </w:r>
      <w:r w:rsidRPr="00B45B4F">
        <w:rPr>
          <w:rFonts w:ascii="Verdana" w:hAnsi="Verdana"/>
          <w:sz w:val="20"/>
          <w:szCs w:val="20"/>
          <w:lang w:eastAsia="en-US"/>
        </w:rPr>
        <w:t xml:space="preserve"> на </w:t>
      </w:r>
      <w:r w:rsidR="00824396" w:rsidRPr="00B45B4F">
        <w:rPr>
          <w:rFonts w:ascii="Verdana" w:hAnsi="Verdana"/>
          <w:sz w:val="20"/>
          <w:szCs w:val="20"/>
          <w:lang w:eastAsia="en-US"/>
        </w:rPr>
        <w:t>ОПНОИР</w:t>
      </w:r>
      <w:r w:rsidR="005106CE" w:rsidRPr="00B45B4F">
        <w:rPr>
          <w:rFonts w:ascii="Verdana" w:hAnsi="Verdana"/>
          <w:sz w:val="20"/>
          <w:szCs w:val="20"/>
          <w:lang w:eastAsia="en-US"/>
        </w:rPr>
        <w:t>2014–2020</w:t>
      </w:r>
      <w:r w:rsidRPr="00B45B4F">
        <w:rPr>
          <w:rFonts w:ascii="Verdana" w:hAnsi="Verdana"/>
          <w:sz w:val="20"/>
          <w:szCs w:val="20"/>
          <w:lang w:eastAsia="en-US"/>
        </w:rPr>
        <w:t xml:space="preserve">се позовава на стратегията </w:t>
      </w:r>
      <w:r w:rsidR="005106CE" w:rsidRPr="00B45B4F">
        <w:rPr>
          <w:rFonts w:ascii="Verdana" w:hAnsi="Verdana"/>
          <w:sz w:val="20"/>
          <w:szCs w:val="20"/>
          <w:lang w:eastAsia="en-US"/>
        </w:rPr>
        <w:t>„</w:t>
      </w:r>
      <w:r w:rsidRPr="00B45B4F">
        <w:rPr>
          <w:rFonts w:ascii="Verdana" w:hAnsi="Verdana"/>
          <w:sz w:val="20"/>
          <w:szCs w:val="20"/>
          <w:lang w:eastAsia="en-US"/>
        </w:rPr>
        <w:t>Европа 2020</w:t>
      </w:r>
      <w:r w:rsidR="005106CE" w:rsidRPr="00B45B4F">
        <w:rPr>
          <w:rFonts w:ascii="Verdana" w:hAnsi="Verdana"/>
          <w:sz w:val="20"/>
          <w:szCs w:val="20"/>
          <w:lang w:eastAsia="en-US"/>
        </w:rPr>
        <w:t>“</w:t>
      </w:r>
      <w:r w:rsidRPr="00B45B4F">
        <w:rPr>
          <w:rFonts w:ascii="Verdana" w:hAnsi="Verdana"/>
          <w:sz w:val="20"/>
          <w:szCs w:val="20"/>
          <w:lang w:eastAsia="en-US"/>
        </w:rPr>
        <w:t xml:space="preserve"> и водещите инициативи за нейното прилагане</w:t>
      </w:r>
      <w:r w:rsidR="00824396" w:rsidRPr="00B45B4F">
        <w:rPr>
          <w:rFonts w:ascii="Verdana" w:hAnsi="Verdana"/>
          <w:sz w:val="20"/>
          <w:szCs w:val="20"/>
          <w:lang w:eastAsia="en-US"/>
        </w:rPr>
        <w:t>.</w:t>
      </w:r>
    </w:p>
    <w:p w:rsidR="00DF1209" w:rsidRPr="00B45B4F" w:rsidRDefault="00DF1209" w:rsidP="00DF1209">
      <w:pPr>
        <w:keepNext/>
        <w:pBdr>
          <w:bottom w:val="single" w:sz="4" w:space="1" w:color="0070C0"/>
        </w:pBdr>
        <w:spacing w:before="360" w:after="120"/>
        <w:jc w:val="both"/>
        <w:rPr>
          <w:rFonts w:ascii="Verdana" w:hAnsi="Verdana"/>
          <w:color w:val="0070C0"/>
          <w:sz w:val="20"/>
          <w:szCs w:val="20"/>
          <w:lang w:val="bg-BG" w:eastAsia="cs-CZ"/>
        </w:rPr>
      </w:pPr>
      <w:r w:rsidRPr="00B45B4F">
        <w:rPr>
          <w:rFonts w:ascii="Verdana" w:hAnsi="Verdana"/>
          <w:color w:val="0070C0"/>
          <w:sz w:val="20"/>
          <w:szCs w:val="20"/>
          <w:lang w:val="bg-BG" w:eastAsia="cs-CZ"/>
        </w:rPr>
        <w:t>Териториален дневен ред 2020;</w:t>
      </w:r>
    </w:p>
    <w:p w:rsidR="004C4B7D" w:rsidRPr="00B45B4F" w:rsidRDefault="004C4B7D" w:rsidP="004C4B7D">
      <w:pPr>
        <w:autoSpaceDE w:val="0"/>
        <w:autoSpaceDN w:val="0"/>
        <w:adjustRightInd w:val="0"/>
        <w:spacing w:after="120"/>
        <w:jc w:val="both"/>
        <w:rPr>
          <w:rFonts w:ascii="Verdana" w:eastAsiaTheme="minorHAnsi" w:hAnsi="Verdana"/>
          <w:sz w:val="20"/>
          <w:szCs w:val="20"/>
          <w:lang w:val="bg-BG"/>
        </w:rPr>
      </w:pPr>
      <w:r w:rsidRPr="00B45B4F">
        <w:rPr>
          <w:rFonts w:ascii="Verdana" w:eastAsiaTheme="minorHAnsi" w:hAnsi="Verdana"/>
          <w:color w:val="000000"/>
          <w:sz w:val="20"/>
          <w:szCs w:val="20"/>
          <w:lang w:val="bg-BG"/>
        </w:rPr>
        <w:t>“Териториален дневен ред на Европейския съюз 2020”, поставя като основна цел постигане на „</w:t>
      </w:r>
      <w:r w:rsidRPr="00B45B4F">
        <w:rPr>
          <w:rFonts w:ascii="Verdana" w:eastAsiaTheme="minorHAnsi" w:hAnsi="Verdana"/>
          <w:i/>
          <w:color w:val="000000"/>
          <w:sz w:val="20"/>
          <w:szCs w:val="20"/>
          <w:lang w:val="bg-BG"/>
        </w:rPr>
        <w:t>териториално сближаване за по-хармонизирани и балансирани условия в Европа</w:t>
      </w:r>
      <w:r w:rsidRPr="00B45B4F">
        <w:rPr>
          <w:rFonts w:ascii="Verdana" w:eastAsiaTheme="minorHAnsi" w:hAnsi="Verdana"/>
          <w:color w:val="000000"/>
          <w:sz w:val="20"/>
          <w:szCs w:val="20"/>
          <w:lang w:val="bg-BG"/>
        </w:rPr>
        <w:t xml:space="preserve">”. </w:t>
      </w:r>
      <w:r w:rsidRPr="00B45B4F">
        <w:rPr>
          <w:rFonts w:ascii="Verdana" w:eastAsiaTheme="minorHAnsi" w:hAnsi="Verdana"/>
          <w:sz w:val="20"/>
          <w:szCs w:val="20"/>
          <w:lang w:val="bg-BG"/>
        </w:rPr>
        <w:t xml:space="preserve">Препоръчва се териториално сближаване на общоевропейско ниво, трансгранично и транснационално, междурегионално в дадена страна и вътрешно-регионално в отделните райони. Предвижда се въвеждане на принципите на </w:t>
      </w:r>
      <w:r w:rsidRPr="00B45B4F">
        <w:rPr>
          <w:rFonts w:ascii="Verdana" w:eastAsiaTheme="minorHAnsi" w:hAnsi="Verdana"/>
          <w:i/>
          <w:iCs/>
          <w:sz w:val="20"/>
          <w:szCs w:val="20"/>
          <w:lang w:val="bg-BG"/>
        </w:rPr>
        <w:t xml:space="preserve">териториалното сближаване </w:t>
      </w:r>
      <w:r w:rsidRPr="00B45B4F">
        <w:rPr>
          <w:rFonts w:ascii="Verdana" w:eastAsiaTheme="minorHAnsi" w:hAnsi="Verdana"/>
          <w:sz w:val="20"/>
          <w:szCs w:val="20"/>
          <w:lang w:val="bg-BG"/>
        </w:rPr>
        <w:t>в националните интег</w:t>
      </w:r>
      <w:r>
        <w:rPr>
          <w:rFonts w:ascii="Verdana" w:eastAsiaTheme="minorHAnsi" w:hAnsi="Verdana"/>
          <w:sz w:val="20"/>
          <w:szCs w:val="20"/>
          <w:lang w:val="bg-BG"/>
        </w:rPr>
        <w:t xml:space="preserve">рирани политики за развитие и </w:t>
      </w:r>
      <w:r w:rsidRPr="00B45B4F">
        <w:rPr>
          <w:rFonts w:ascii="Verdana" w:eastAsiaTheme="minorHAnsi" w:hAnsi="Verdana"/>
          <w:sz w:val="20"/>
          <w:szCs w:val="20"/>
          <w:lang w:val="bg-BG"/>
        </w:rPr>
        <w:t>по отношение на пространственото планиране.</w:t>
      </w:r>
    </w:p>
    <w:p w:rsidR="004C4B7D" w:rsidRPr="00B45B4F" w:rsidRDefault="004C4B7D" w:rsidP="004C4B7D">
      <w:pPr>
        <w:autoSpaceDE w:val="0"/>
        <w:autoSpaceDN w:val="0"/>
        <w:adjustRightInd w:val="0"/>
        <w:spacing w:after="120"/>
        <w:jc w:val="both"/>
        <w:rPr>
          <w:rFonts w:ascii="Verdana" w:hAnsi="Verdana"/>
          <w:sz w:val="20"/>
          <w:szCs w:val="20"/>
          <w:lang w:val="bg-BG"/>
        </w:rPr>
      </w:pPr>
      <w:r w:rsidRPr="00B45B4F">
        <w:rPr>
          <w:rFonts w:ascii="Verdana" w:hAnsi="Verdana"/>
          <w:sz w:val="20"/>
          <w:szCs w:val="20"/>
          <w:lang w:val="bg-BG"/>
        </w:rPr>
        <w:lastRenderedPageBreak/>
        <w:t xml:space="preserve">Раздел 4 на ОПНОИР 2014–2020 г. разглежда </w:t>
      </w:r>
      <w:bookmarkStart w:id="48" w:name="_Toc351464414"/>
      <w:bookmarkStart w:id="49" w:name="_Toc352768462"/>
      <w:r w:rsidRPr="00B45B4F">
        <w:rPr>
          <w:rFonts w:ascii="Verdana" w:hAnsi="Verdana"/>
          <w:sz w:val="20"/>
          <w:szCs w:val="20"/>
          <w:lang w:val="bg-BG"/>
        </w:rPr>
        <w:t>Интегриран подход за териториално развитие</w:t>
      </w:r>
      <w:bookmarkEnd w:id="48"/>
      <w:bookmarkEnd w:id="49"/>
      <w:r w:rsidRPr="00B45B4F">
        <w:rPr>
          <w:rFonts w:ascii="Verdana" w:hAnsi="Verdana"/>
          <w:sz w:val="20"/>
          <w:szCs w:val="20"/>
          <w:lang w:val="bg-BG"/>
        </w:rPr>
        <w:t xml:space="preserve">, в който във версията на програмата от </w:t>
      </w:r>
      <w:r>
        <w:rPr>
          <w:rFonts w:ascii="Verdana" w:hAnsi="Verdana"/>
          <w:sz w:val="20"/>
          <w:szCs w:val="20"/>
          <w:lang w:val="bg-BG"/>
        </w:rPr>
        <w:t>май</w:t>
      </w:r>
      <w:r w:rsidRPr="00B45B4F">
        <w:rPr>
          <w:rFonts w:ascii="Verdana" w:hAnsi="Verdana"/>
          <w:sz w:val="20"/>
          <w:szCs w:val="20"/>
          <w:lang w:val="bg-BG"/>
        </w:rPr>
        <w:t xml:space="preserve"> 2014 е отбелязано, че програмата ще финансира участие в проекти по приоритетна ос 7, посветена на развитие на общество основано на знанието на Дунавската стратегия. </w:t>
      </w:r>
      <w:r>
        <w:rPr>
          <w:rFonts w:ascii="Verdana" w:hAnsi="Verdana"/>
          <w:sz w:val="20"/>
          <w:szCs w:val="20"/>
          <w:lang w:val="bg-BG"/>
        </w:rPr>
        <w:t>Ч</w:t>
      </w:r>
      <w:r w:rsidRPr="00B45B4F">
        <w:rPr>
          <w:rFonts w:ascii="Verdana" w:hAnsi="Verdana"/>
          <w:sz w:val="20"/>
          <w:szCs w:val="20"/>
          <w:lang w:val="bg-BG"/>
        </w:rPr>
        <w:t>астта за интегрираните териториални инвестиции</w:t>
      </w:r>
      <w:r>
        <w:rPr>
          <w:rFonts w:ascii="Verdana" w:hAnsi="Verdana"/>
          <w:sz w:val="20"/>
          <w:szCs w:val="20"/>
          <w:lang w:val="bg-BG"/>
        </w:rPr>
        <w:t xml:space="preserve"> преповтаря текстовете от Споразумението за партньорство като посочва, че предвидените мерки за инфраструктура в областта на образованието ще бъдат допълнение от меки мерки, финансирани по линия на ОПНОИР</w:t>
      </w:r>
      <w:r w:rsidRPr="00B45B4F">
        <w:rPr>
          <w:rFonts w:ascii="Verdana" w:hAnsi="Verdana"/>
          <w:sz w:val="20"/>
          <w:szCs w:val="20"/>
          <w:lang w:val="bg-BG"/>
        </w:rPr>
        <w:t xml:space="preserve">. </w:t>
      </w:r>
    </w:p>
    <w:p w:rsidR="004C4B7D" w:rsidRPr="00B45B4F" w:rsidRDefault="004C4B7D" w:rsidP="004C4B7D">
      <w:pPr>
        <w:autoSpaceDE w:val="0"/>
        <w:autoSpaceDN w:val="0"/>
        <w:adjustRightInd w:val="0"/>
        <w:spacing w:after="120"/>
        <w:jc w:val="both"/>
        <w:rPr>
          <w:rFonts w:ascii="Verdana" w:hAnsi="Verdana"/>
          <w:sz w:val="20"/>
          <w:szCs w:val="20"/>
          <w:lang w:val="bg-BG"/>
        </w:rPr>
      </w:pPr>
      <w:r w:rsidRPr="00B45B4F">
        <w:rPr>
          <w:rFonts w:ascii="Verdana" w:hAnsi="Verdana"/>
          <w:sz w:val="20"/>
          <w:szCs w:val="20"/>
          <w:lang w:val="bg-BG"/>
        </w:rPr>
        <w:t>Програмата в недостатъчна степен адресира териториалните аспекти, що се отнася до проблемите с разликите в качеството на образованието в малките и големите населени места и териториалната концентрация на деца от етническите малцинства.</w:t>
      </w:r>
    </w:p>
    <w:p w:rsidR="00DF1209" w:rsidRPr="00B45B4F" w:rsidRDefault="00DF1209" w:rsidP="00DF1209">
      <w:pPr>
        <w:keepNext/>
        <w:pBdr>
          <w:bottom w:val="single" w:sz="4" w:space="1" w:color="0070C0"/>
        </w:pBdr>
        <w:spacing w:before="360" w:after="120"/>
        <w:jc w:val="both"/>
        <w:rPr>
          <w:rFonts w:ascii="Verdana" w:hAnsi="Verdana"/>
          <w:color w:val="0070C0"/>
          <w:sz w:val="20"/>
          <w:szCs w:val="20"/>
          <w:lang w:val="bg-BG" w:eastAsia="cs-CZ"/>
        </w:rPr>
      </w:pPr>
      <w:r w:rsidRPr="00B45B4F">
        <w:rPr>
          <w:rFonts w:ascii="Verdana" w:hAnsi="Verdana"/>
          <w:color w:val="0070C0"/>
          <w:sz w:val="20"/>
          <w:szCs w:val="20"/>
          <w:lang w:val="bg-BG" w:eastAsia="cs-CZ"/>
        </w:rPr>
        <w:t>Стратегия на ЕС за Дунавския регион</w:t>
      </w:r>
    </w:p>
    <w:p w:rsidR="00CC0CBA" w:rsidRPr="00B45B4F" w:rsidRDefault="00814461" w:rsidP="00DF1209">
      <w:pPr>
        <w:pStyle w:val="BodyText"/>
        <w:widowControl w:val="0"/>
        <w:spacing w:line="276" w:lineRule="auto"/>
        <w:jc w:val="both"/>
        <w:rPr>
          <w:rFonts w:ascii="Verdana" w:hAnsi="Verdana"/>
          <w:sz w:val="20"/>
          <w:szCs w:val="20"/>
          <w:lang w:eastAsia="en-US"/>
        </w:rPr>
      </w:pPr>
      <w:r w:rsidRPr="00B45B4F">
        <w:rPr>
          <w:rFonts w:ascii="Verdana" w:hAnsi="Verdana"/>
          <w:sz w:val="20"/>
          <w:szCs w:val="20"/>
          <w:lang w:eastAsia="en-US"/>
        </w:rPr>
        <w:t xml:space="preserve">ОПНОИР </w:t>
      </w:r>
      <w:r w:rsidR="005106CE" w:rsidRPr="00B45B4F">
        <w:rPr>
          <w:rFonts w:ascii="Verdana" w:hAnsi="Verdana"/>
          <w:sz w:val="20"/>
          <w:szCs w:val="20"/>
          <w:lang w:eastAsia="en-US"/>
        </w:rPr>
        <w:t>2014–2020</w:t>
      </w:r>
      <w:r w:rsidRPr="00B45B4F">
        <w:rPr>
          <w:rFonts w:ascii="Verdana" w:hAnsi="Verdana"/>
          <w:sz w:val="20"/>
          <w:szCs w:val="20"/>
          <w:lang w:eastAsia="en-US"/>
        </w:rPr>
        <w:t xml:space="preserve"> г. адресира Приоритетна ос 7 </w:t>
      </w:r>
      <w:r w:rsidR="000C0940" w:rsidRPr="00B45B4F">
        <w:rPr>
          <w:rFonts w:ascii="Verdana" w:hAnsi="Verdana"/>
          <w:sz w:val="20"/>
          <w:szCs w:val="20"/>
          <w:lang w:eastAsia="en-US"/>
        </w:rPr>
        <w:t>„</w:t>
      </w:r>
      <w:r w:rsidRPr="00B45B4F">
        <w:rPr>
          <w:rFonts w:ascii="Verdana" w:hAnsi="Verdana"/>
          <w:sz w:val="20"/>
          <w:szCs w:val="20"/>
          <w:lang w:eastAsia="en-US"/>
        </w:rPr>
        <w:t>Общество на знанието</w:t>
      </w:r>
      <w:r w:rsidR="000C0940" w:rsidRPr="00B45B4F">
        <w:rPr>
          <w:rFonts w:ascii="Verdana" w:hAnsi="Verdana"/>
          <w:sz w:val="20"/>
          <w:szCs w:val="20"/>
          <w:lang w:eastAsia="en-US"/>
        </w:rPr>
        <w:t>“ - изследвания, образование и информационни и комуникационни технологии на Дунавската стратегия</w:t>
      </w:r>
      <w:r w:rsidRPr="00B45B4F">
        <w:rPr>
          <w:rFonts w:ascii="Verdana" w:hAnsi="Verdana"/>
          <w:sz w:val="20"/>
          <w:szCs w:val="20"/>
          <w:lang w:eastAsia="en-US"/>
        </w:rPr>
        <w:t>.</w:t>
      </w:r>
      <w:r w:rsidR="00CC0CBA" w:rsidRPr="00B45B4F">
        <w:rPr>
          <w:rFonts w:ascii="Verdana" w:hAnsi="Verdana"/>
          <w:sz w:val="20"/>
          <w:szCs w:val="20"/>
          <w:lang w:eastAsia="en-US"/>
        </w:rPr>
        <w:t xml:space="preserve"> Програмата ще подкрепи осъществяване на транснационални проекти </w:t>
      </w:r>
      <w:r w:rsidR="00ED5A89" w:rsidRPr="00B45B4F">
        <w:rPr>
          <w:rFonts w:ascii="Verdana" w:hAnsi="Verdana"/>
          <w:sz w:val="20"/>
          <w:szCs w:val="20"/>
          <w:lang w:eastAsia="en-US"/>
        </w:rPr>
        <w:t>със</w:t>
      </w:r>
      <w:r w:rsidR="00CC0CBA" w:rsidRPr="00B45B4F">
        <w:rPr>
          <w:rFonts w:ascii="Verdana" w:hAnsi="Verdana"/>
          <w:sz w:val="20"/>
          <w:szCs w:val="20"/>
          <w:lang w:eastAsia="en-US"/>
        </w:rPr>
        <w:t xml:space="preserve"> страните от Дунавския регион в тези сфери.</w:t>
      </w:r>
    </w:p>
    <w:p w:rsidR="00CC0CBA" w:rsidRPr="00B45B4F" w:rsidRDefault="00CC0CBA" w:rsidP="00CC0CBA">
      <w:pPr>
        <w:keepNext/>
        <w:pBdr>
          <w:bottom w:val="single" w:sz="4" w:space="1" w:color="0070C0"/>
        </w:pBdr>
        <w:spacing w:before="360" w:after="120"/>
        <w:jc w:val="both"/>
        <w:rPr>
          <w:rFonts w:ascii="Verdana" w:hAnsi="Verdana"/>
          <w:color w:val="0070C0"/>
          <w:sz w:val="20"/>
          <w:szCs w:val="20"/>
          <w:lang w:val="bg-BG" w:eastAsia="cs-CZ"/>
        </w:rPr>
      </w:pPr>
      <w:r w:rsidRPr="00B45B4F">
        <w:rPr>
          <w:rFonts w:ascii="Verdana" w:hAnsi="Verdana"/>
          <w:color w:val="0070C0"/>
          <w:sz w:val="20"/>
          <w:szCs w:val="20"/>
          <w:lang w:val="bg-BG" w:eastAsia="cs-CZ"/>
        </w:rPr>
        <w:t>Хоризонт 2020</w:t>
      </w:r>
    </w:p>
    <w:p w:rsidR="00CC0CBA" w:rsidRPr="00B45B4F" w:rsidRDefault="000C0940" w:rsidP="000C0940">
      <w:pPr>
        <w:pStyle w:val="BodyText"/>
        <w:widowControl w:val="0"/>
        <w:spacing w:line="276" w:lineRule="auto"/>
        <w:jc w:val="both"/>
        <w:rPr>
          <w:rFonts w:ascii="Verdana" w:hAnsi="Verdana"/>
          <w:sz w:val="20"/>
          <w:szCs w:val="20"/>
          <w:lang w:eastAsia="en-US"/>
        </w:rPr>
      </w:pPr>
      <w:r w:rsidRPr="00B45B4F">
        <w:rPr>
          <w:rFonts w:ascii="Verdana" w:hAnsi="Verdana"/>
          <w:sz w:val="20"/>
          <w:szCs w:val="20"/>
          <w:lang w:eastAsia="en-US"/>
        </w:rPr>
        <w:t xml:space="preserve">„Хоризонт 2020“ ще наследи програмите на ЕС в областта на научните изследвания и иновации, действащи в периода </w:t>
      </w:r>
      <w:r w:rsidR="005106CE" w:rsidRPr="00B45B4F">
        <w:rPr>
          <w:rFonts w:ascii="Verdana" w:hAnsi="Verdana"/>
          <w:sz w:val="20"/>
          <w:szCs w:val="20"/>
          <w:lang w:eastAsia="en-US"/>
        </w:rPr>
        <w:t>2007–2013</w:t>
      </w:r>
      <w:r w:rsidRPr="00B45B4F">
        <w:rPr>
          <w:rFonts w:ascii="Verdana" w:hAnsi="Verdana"/>
          <w:sz w:val="20"/>
          <w:szCs w:val="20"/>
          <w:lang w:eastAsia="en-US"/>
        </w:rPr>
        <w:t xml:space="preserve"> като ще обедини всички съществуващи форми на финансиране на научни </w:t>
      </w:r>
      <w:r w:rsidR="00990493" w:rsidRPr="00B45B4F">
        <w:rPr>
          <w:rFonts w:ascii="Verdana" w:hAnsi="Verdana"/>
          <w:sz w:val="20"/>
          <w:szCs w:val="20"/>
          <w:lang w:eastAsia="en-US"/>
        </w:rPr>
        <w:t>изследвания и иновации,</w:t>
      </w:r>
      <w:r w:rsidRPr="00B45B4F">
        <w:rPr>
          <w:rFonts w:ascii="Verdana" w:hAnsi="Verdana"/>
          <w:sz w:val="20"/>
          <w:szCs w:val="20"/>
          <w:lang w:eastAsia="en-US"/>
        </w:rPr>
        <w:t xml:space="preserve"> включително </w:t>
      </w:r>
      <w:r w:rsidR="00ED5A89" w:rsidRPr="00B45B4F">
        <w:rPr>
          <w:rFonts w:ascii="Verdana" w:hAnsi="Verdana"/>
          <w:sz w:val="20"/>
          <w:szCs w:val="20"/>
          <w:lang w:eastAsia="en-US"/>
        </w:rPr>
        <w:t>„</w:t>
      </w:r>
      <w:r w:rsidRPr="00B45B4F">
        <w:rPr>
          <w:rFonts w:ascii="Verdana" w:hAnsi="Verdana"/>
          <w:sz w:val="20"/>
          <w:szCs w:val="20"/>
          <w:lang w:eastAsia="en-US"/>
        </w:rPr>
        <w:t>Рамковата програма за научни изследвания</w:t>
      </w:r>
      <w:r w:rsidR="00ED5A89" w:rsidRPr="00B45B4F">
        <w:rPr>
          <w:rFonts w:ascii="Verdana" w:hAnsi="Verdana"/>
          <w:sz w:val="20"/>
          <w:szCs w:val="20"/>
          <w:lang w:eastAsia="en-US"/>
        </w:rPr>
        <w:t>“</w:t>
      </w:r>
      <w:r w:rsidRPr="00B45B4F">
        <w:rPr>
          <w:rFonts w:ascii="Verdana" w:hAnsi="Verdana"/>
          <w:sz w:val="20"/>
          <w:szCs w:val="20"/>
          <w:lang w:eastAsia="en-US"/>
        </w:rPr>
        <w:t xml:space="preserve">, дейностите, свързани с иновации, от </w:t>
      </w:r>
      <w:r w:rsidR="00ED5A89" w:rsidRPr="00B45B4F">
        <w:rPr>
          <w:rFonts w:ascii="Verdana" w:hAnsi="Verdana"/>
          <w:sz w:val="20"/>
          <w:szCs w:val="20"/>
          <w:lang w:eastAsia="en-US"/>
        </w:rPr>
        <w:t>„</w:t>
      </w:r>
      <w:r w:rsidRPr="00B45B4F">
        <w:rPr>
          <w:rFonts w:ascii="Verdana" w:hAnsi="Verdana"/>
          <w:sz w:val="20"/>
          <w:szCs w:val="20"/>
          <w:lang w:eastAsia="en-US"/>
        </w:rPr>
        <w:t>Рамковата програма за конкурентоспособност и иновации</w:t>
      </w:r>
      <w:r w:rsidR="00ED5A89" w:rsidRPr="00B45B4F">
        <w:rPr>
          <w:rFonts w:ascii="Verdana" w:hAnsi="Verdana"/>
          <w:sz w:val="20"/>
          <w:szCs w:val="20"/>
          <w:lang w:eastAsia="en-US"/>
        </w:rPr>
        <w:t>“</w:t>
      </w:r>
      <w:r w:rsidRPr="00B45B4F">
        <w:rPr>
          <w:rFonts w:ascii="Verdana" w:hAnsi="Verdana"/>
          <w:sz w:val="20"/>
          <w:szCs w:val="20"/>
          <w:lang w:eastAsia="en-US"/>
        </w:rPr>
        <w:t xml:space="preserve">, както и </w:t>
      </w:r>
      <w:r w:rsidR="00ED5A89" w:rsidRPr="00B45B4F">
        <w:rPr>
          <w:rFonts w:ascii="Verdana" w:hAnsi="Verdana"/>
          <w:sz w:val="20"/>
          <w:szCs w:val="20"/>
          <w:lang w:eastAsia="en-US"/>
        </w:rPr>
        <w:t>„</w:t>
      </w:r>
      <w:r w:rsidRPr="00B45B4F">
        <w:rPr>
          <w:rFonts w:ascii="Verdana" w:hAnsi="Verdana"/>
          <w:sz w:val="20"/>
          <w:szCs w:val="20"/>
          <w:lang w:eastAsia="en-US"/>
        </w:rPr>
        <w:t>Европейския институт за иновации и технологии</w:t>
      </w:r>
      <w:r w:rsidR="00ED5A89" w:rsidRPr="00B45B4F">
        <w:rPr>
          <w:rFonts w:ascii="Verdana" w:hAnsi="Verdana"/>
          <w:sz w:val="20"/>
          <w:szCs w:val="20"/>
          <w:lang w:eastAsia="en-US"/>
        </w:rPr>
        <w:t>“</w:t>
      </w:r>
      <w:r w:rsidRPr="00B45B4F">
        <w:rPr>
          <w:rFonts w:ascii="Verdana" w:hAnsi="Verdana"/>
          <w:sz w:val="20"/>
          <w:szCs w:val="20"/>
          <w:lang w:eastAsia="en-US"/>
        </w:rPr>
        <w:t>. Подкрепата ще бъде насочена към три приоритета:</w:t>
      </w:r>
    </w:p>
    <w:p w:rsidR="000C0940" w:rsidRPr="00B45B4F" w:rsidRDefault="000C0940" w:rsidP="006861B0">
      <w:pPr>
        <w:pStyle w:val="BodyText"/>
        <w:widowControl w:val="0"/>
        <w:numPr>
          <w:ilvl w:val="0"/>
          <w:numId w:val="14"/>
        </w:numPr>
        <w:spacing w:line="276" w:lineRule="auto"/>
        <w:jc w:val="both"/>
        <w:rPr>
          <w:rFonts w:ascii="Verdana" w:hAnsi="Verdana"/>
          <w:sz w:val="20"/>
          <w:szCs w:val="20"/>
          <w:lang w:eastAsia="en-US"/>
        </w:rPr>
      </w:pPr>
      <w:r w:rsidRPr="00B45B4F">
        <w:rPr>
          <w:rFonts w:ascii="Verdana" w:hAnsi="Verdana"/>
          <w:i/>
          <w:sz w:val="20"/>
          <w:szCs w:val="20"/>
          <w:lang w:eastAsia="en-US"/>
        </w:rPr>
        <w:t>Високи постижения в научната област</w:t>
      </w:r>
      <w:r w:rsidRPr="00B45B4F">
        <w:rPr>
          <w:rFonts w:ascii="Verdana" w:hAnsi="Verdana"/>
          <w:sz w:val="20"/>
          <w:szCs w:val="20"/>
          <w:lang w:eastAsia="en-US"/>
        </w:rPr>
        <w:t xml:space="preserve"> – подкрепа за научни изследвания, възможности за обучение и професионално развитие, подкрепа за европейски научно-изследователски инфраструктури от висока класа</w:t>
      </w:r>
      <w:r w:rsidR="003C35E4" w:rsidRPr="00B45B4F">
        <w:rPr>
          <w:rFonts w:ascii="Verdana" w:hAnsi="Verdana"/>
          <w:sz w:val="20"/>
          <w:szCs w:val="20"/>
          <w:lang w:eastAsia="en-US"/>
        </w:rPr>
        <w:t>;</w:t>
      </w:r>
    </w:p>
    <w:p w:rsidR="000C0940" w:rsidRPr="00B45B4F" w:rsidRDefault="000C0940" w:rsidP="006861B0">
      <w:pPr>
        <w:pStyle w:val="BodyText"/>
        <w:widowControl w:val="0"/>
        <w:numPr>
          <w:ilvl w:val="0"/>
          <w:numId w:val="14"/>
        </w:numPr>
        <w:spacing w:line="276" w:lineRule="auto"/>
        <w:jc w:val="both"/>
        <w:rPr>
          <w:rFonts w:ascii="Verdana" w:hAnsi="Verdana"/>
          <w:sz w:val="20"/>
          <w:szCs w:val="20"/>
          <w:lang w:eastAsia="en-US"/>
        </w:rPr>
      </w:pPr>
      <w:r w:rsidRPr="00B45B4F">
        <w:rPr>
          <w:rFonts w:ascii="Verdana" w:hAnsi="Verdana"/>
          <w:i/>
          <w:sz w:val="20"/>
          <w:szCs w:val="20"/>
          <w:lang w:eastAsia="en-US"/>
        </w:rPr>
        <w:t xml:space="preserve">Водещи позиции в промишлеността </w:t>
      </w:r>
      <w:r w:rsidR="00990493" w:rsidRPr="00B45B4F">
        <w:rPr>
          <w:rFonts w:ascii="Verdana" w:hAnsi="Verdana"/>
          <w:i/>
          <w:sz w:val="20"/>
          <w:szCs w:val="20"/>
          <w:lang w:eastAsia="en-US"/>
        </w:rPr>
        <w:t xml:space="preserve">– </w:t>
      </w:r>
      <w:r w:rsidR="003C35E4" w:rsidRPr="00B45B4F">
        <w:rPr>
          <w:rFonts w:ascii="Verdana" w:hAnsi="Verdana"/>
          <w:sz w:val="20"/>
          <w:szCs w:val="20"/>
          <w:lang w:eastAsia="en-US"/>
        </w:rPr>
        <w:t>инвестиции в ключови промишлени технологии, подкрепа за иновации в МСП и достъп до рисково финансиране;</w:t>
      </w:r>
    </w:p>
    <w:p w:rsidR="00CC0CBA" w:rsidRPr="00B45B4F" w:rsidRDefault="003C35E4" w:rsidP="006861B0">
      <w:pPr>
        <w:pStyle w:val="BodyText"/>
        <w:widowControl w:val="0"/>
        <w:numPr>
          <w:ilvl w:val="0"/>
          <w:numId w:val="14"/>
        </w:numPr>
        <w:spacing w:line="276" w:lineRule="auto"/>
        <w:jc w:val="both"/>
        <w:rPr>
          <w:rFonts w:ascii="Verdana" w:hAnsi="Verdana"/>
          <w:sz w:val="20"/>
          <w:szCs w:val="20"/>
          <w:lang w:eastAsia="en-US"/>
        </w:rPr>
      </w:pPr>
      <w:r w:rsidRPr="00B45B4F">
        <w:rPr>
          <w:rFonts w:ascii="Verdana" w:hAnsi="Verdana"/>
          <w:i/>
          <w:sz w:val="20"/>
          <w:szCs w:val="20"/>
          <w:lang w:eastAsia="en-US"/>
        </w:rPr>
        <w:t xml:space="preserve">Справяне с обществените предизвикателства – </w:t>
      </w:r>
      <w:r w:rsidR="00D16A2C" w:rsidRPr="00B45B4F">
        <w:rPr>
          <w:rFonts w:ascii="Verdana" w:hAnsi="Verdana"/>
          <w:sz w:val="20"/>
          <w:szCs w:val="20"/>
          <w:lang w:eastAsia="en-US"/>
        </w:rPr>
        <w:t>п</w:t>
      </w:r>
      <w:r w:rsidRPr="00B45B4F">
        <w:rPr>
          <w:rFonts w:ascii="Verdana" w:hAnsi="Verdana"/>
          <w:sz w:val="20"/>
          <w:szCs w:val="20"/>
          <w:lang w:eastAsia="en-US"/>
        </w:rPr>
        <w:t xml:space="preserve">редоставяне </w:t>
      </w:r>
      <w:r w:rsidR="008F54B4" w:rsidRPr="00B45B4F">
        <w:rPr>
          <w:rFonts w:ascii="Verdana" w:hAnsi="Verdana"/>
          <w:sz w:val="20"/>
          <w:szCs w:val="20"/>
          <w:lang w:eastAsia="en-US"/>
        </w:rPr>
        <w:t xml:space="preserve">на финансиране на комплексни </w:t>
      </w:r>
      <w:r w:rsidRPr="00B45B4F">
        <w:rPr>
          <w:rFonts w:ascii="Verdana" w:hAnsi="Verdana"/>
          <w:sz w:val="20"/>
          <w:szCs w:val="20"/>
          <w:lang w:eastAsia="en-US"/>
        </w:rPr>
        <w:t xml:space="preserve">подходи от научните изследвания до пазарната реализация в следните области: здравеопазване, демографски промени и благосъстояние;  продоволствена сигурност, устойчиво земеделие, морски изследвания и </w:t>
      </w:r>
      <w:proofErr w:type="spellStart"/>
      <w:r w:rsidRPr="00B45B4F">
        <w:rPr>
          <w:rFonts w:ascii="Verdana" w:hAnsi="Verdana"/>
          <w:sz w:val="20"/>
          <w:szCs w:val="20"/>
          <w:lang w:eastAsia="en-US"/>
        </w:rPr>
        <w:t>биоикономика</w:t>
      </w:r>
      <w:proofErr w:type="spellEnd"/>
      <w:r w:rsidRPr="00B45B4F">
        <w:rPr>
          <w:rFonts w:ascii="Verdana" w:hAnsi="Verdana"/>
          <w:sz w:val="20"/>
          <w:szCs w:val="20"/>
          <w:lang w:eastAsia="en-US"/>
        </w:rPr>
        <w:t>; сигурна, чиста и ефективна енергия;  интелигентен, екологосъобразен и интегриран транспорт; действия във връзка с изменението на климата, ефективно използване на ресурсите и суровините; приобщаващи, новаторски и сигурни общества.</w:t>
      </w:r>
    </w:p>
    <w:p w:rsidR="001B6D3B" w:rsidRPr="00B45B4F" w:rsidRDefault="001B6D3B" w:rsidP="001B6D3B">
      <w:pPr>
        <w:pStyle w:val="BodyText"/>
        <w:widowControl w:val="0"/>
        <w:spacing w:line="276" w:lineRule="auto"/>
        <w:jc w:val="both"/>
        <w:rPr>
          <w:rFonts w:ascii="Verdana" w:hAnsi="Verdana"/>
          <w:sz w:val="20"/>
          <w:szCs w:val="20"/>
          <w:lang w:eastAsia="en-US"/>
        </w:rPr>
      </w:pPr>
      <w:r w:rsidRPr="00B45B4F">
        <w:rPr>
          <w:rFonts w:ascii="Verdana" w:hAnsi="Verdana"/>
          <w:sz w:val="20"/>
          <w:szCs w:val="20"/>
          <w:lang w:eastAsia="en-US"/>
        </w:rPr>
        <w:t xml:space="preserve">В раздел 8 на ОРНОИР </w:t>
      </w:r>
      <w:r w:rsidR="005106CE" w:rsidRPr="00B45B4F">
        <w:rPr>
          <w:rFonts w:ascii="Verdana" w:hAnsi="Verdana"/>
          <w:sz w:val="20"/>
          <w:szCs w:val="20"/>
          <w:lang w:eastAsia="en-US"/>
        </w:rPr>
        <w:t>2014–2020</w:t>
      </w:r>
      <w:r w:rsidRPr="00B45B4F">
        <w:rPr>
          <w:rFonts w:ascii="Verdana" w:hAnsi="Verdana"/>
          <w:sz w:val="20"/>
          <w:szCs w:val="20"/>
          <w:lang w:eastAsia="en-US"/>
        </w:rPr>
        <w:t xml:space="preserve"> г. е описано допълването и разграничаването между двете </w:t>
      </w:r>
      <w:r w:rsidR="00022CD9" w:rsidRPr="00B45B4F">
        <w:rPr>
          <w:rFonts w:ascii="Verdana" w:hAnsi="Verdana"/>
          <w:sz w:val="20"/>
          <w:szCs w:val="20"/>
          <w:lang w:eastAsia="en-US"/>
        </w:rPr>
        <w:t>програми както следва:</w:t>
      </w:r>
    </w:p>
    <w:tbl>
      <w:tblPr>
        <w:tblStyle w:val="TableGrid"/>
        <w:tblW w:w="0" w:type="auto"/>
        <w:tblInd w:w="108" w:type="dxa"/>
        <w:tblBorders>
          <w:top w:val="single" w:sz="4" w:space="0" w:color="17365D" w:themeColor="text2" w:themeShade="BF"/>
          <w:left w:val="single" w:sz="4" w:space="0" w:color="17365D" w:themeColor="text2" w:themeShade="BF"/>
          <w:bottom w:val="single" w:sz="4" w:space="0" w:color="17365D" w:themeColor="text2" w:themeShade="BF"/>
          <w:right w:val="single" w:sz="4" w:space="0" w:color="17365D" w:themeColor="text2" w:themeShade="BF"/>
          <w:insideH w:val="single" w:sz="4" w:space="0" w:color="17365D" w:themeColor="text2" w:themeShade="BF"/>
          <w:insideV w:val="single" w:sz="4" w:space="0" w:color="17365D" w:themeColor="text2" w:themeShade="BF"/>
        </w:tblBorders>
        <w:tblLook w:val="04A0" w:firstRow="1" w:lastRow="0" w:firstColumn="1" w:lastColumn="0" w:noHBand="0" w:noVBand="1"/>
      </w:tblPr>
      <w:tblGrid>
        <w:gridCol w:w="5040"/>
        <w:gridCol w:w="4050"/>
      </w:tblGrid>
      <w:tr w:rsidR="00022CD9" w:rsidRPr="00B45B4F" w:rsidTr="00FB78CA">
        <w:trPr>
          <w:trHeight w:val="455"/>
        </w:trPr>
        <w:tc>
          <w:tcPr>
            <w:tcW w:w="5040" w:type="dxa"/>
            <w:shd w:val="clear" w:color="auto" w:fill="548DD4" w:themeFill="text2" w:themeFillTint="99"/>
            <w:vAlign w:val="center"/>
          </w:tcPr>
          <w:p w:rsidR="00022CD9" w:rsidRPr="00B45B4F" w:rsidRDefault="00022CD9" w:rsidP="00FB7F9E">
            <w:pPr>
              <w:pStyle w:val="BodyText"/>
              <w:widowControl w:val="0"/>
              <w:spacing w:after="0" w:line="276" w:lineRule="auto"/>
              <w:jc w:val="center"/>
              <w:rPr>
                <w:rFonts w:ascii="Verdana" w:hAnsi="Verdana"/>
                <w:b/>
                <w:color w:val="FFFFFF" w:themeColor="background1"/>
                <w:sz w:val="20"/>
                <w:szCs w:val="20"/>
                <w:lang w:eastAsia="en-US"/>
              </w:rPr>
            </w:pPr>
            <w:r w:rsidRPr="00B45B4F">
              <w:rPr>
                <w:rFonts w:ascii="Verdana" w:hAnsi="Verdana"/>
                <w:b/>
                <w:color w:val="FFFFFF" w:themeColor="background1"/>
                <w:sz w:val="20"/>
                <w:szCs w:val="20"/>
                <w:lang w:eastAsia="en-US"/>
              </w:rPr>
              <w:t>Допълване</w:t>
            </w:r>
          </w:p>
        </w:tc>
        <w:tc>
          <w:tcPr>
            <w:tcW w:w="4050" w:type="dxa"/>
            <w:shd w:val="clear" w:color="auto" w:fill="548DD4" w:themeFill="text2" w:themeFillTint="99"/>
            <w:vAlign w:val="center"/>
          </w:tcPr>
          <w:p w:rsidR="00022CD9" w:rsidRPr="00B45B4F" w:rsidRDefault="00022CD9" w:rsidP="00FB7F9E">
            <w:pPr>
              <w:pStyle w:val="BodyText"/>
              <w:widowControl w:val="0"/>
              <w:spacing w:after="0" w:line="276" w:lineRule="auto"/>
              <w:jc w:val="center"/>
              <w:rPr>
                <w:rFonts w:ascii="Verdana" w:hAnsi="Verdana"/>
                <w:b/>
                <w:color w:val="FFFFFF" w:themeColor="background1"/>
                <w:sz w:val="20"/>
                <w:szCs w:val="20"/>
                <w:lang w:eastAsia="en-US"/>
              </w:rPr>
            </w:pPr>
            <w:r w:rsidRPr="00B45B4F">
              <w:rPr>
                <w:rFonts w:ascii="Verdana" w:hAnsi="Verdana"/>
                <w:b/>
                <w:color w:val="FFFFFF" w:themeColor="background1"/>
                <w:sz w:val="20"/>
                <w:szCs w:val="20"/>
                <w:lang w:eastAsia="en-US"/>
              </w:rPr>
              <w:t>Разграничаване</w:t>
            </w:r>
          </w:p>
        </w:tc>
      </w:tr>
      <w:tr w:rsidR="00022CD9" w:rsidRPr="00B45B4F" w:rsidTr="00FB78CA">
        <w:tc>
          <w:tcPr>
            <w:tcW w:w="5040" w:type="dxa"/>
          </w:tcPr>
          <w:p w:rsidR="00022CD9" w:rsidRPr="00B45B4F" w:rsidRDefault="00022CD9" w:rsidP="001B6329">
            <w:pPr>
              <w:pStyle w:val="BodyText"/>
              <w:widowControl w:val="0"/>
              <w:spacing w:line="276" w:lineRule="auto"/>
              <w:jc w:val="both"/>
              <w:rPr>
                <w:rFonts w:ascii="Verdana" w:hAnsi="Verdana"/>
                <w:sz w:val="20"/>
                <w:szCs w:val="20"/>
                <w:lang w:eastAsia="en-US"/>
              </w:rPr>
            </w:pPr>
            <w:r w:rsidRPr="00B45B4F">
              <w:rPr>
                <w:rFonts w:ascii="Verdana" w:hAnsi="Verdana"/>
                <w:sz w:val="20"/>
                <w:szCs w:val="20"/>
                <w:lang w:eastAsia="en-US"/>
              </w:rPr>
              <w:t xml:space="preserve">ОПНОИР ще подкрепи модернизирането на </w:t>
            </w:r>
            <w:r w:rsidRPr="00B45B4F">
              <w:rPr>
                <w:rFonts w:ascii="Verdana" w:hAnsi="Verdana"/>
                <w:sz w:val="20"/>
                <w:szCs w:val="20"/>
                <w:lang w:eastAsia="en-US"/>
              </w:rPr>
              <w:lastRenderedPageBreak/>
              <w:t xml:space="preserve">научната инфраструктура в България, което ще даде по-добри възможности за участие в проектите по </w:t>
            </w:r>
            <w:r w:rsidR="005106CE" w:rsidRPr="00B45B4F">
              <w:rPr>
                <w:rFonts w:ascii="Verdana" w:hAnsi="Verdana"/>
                <w:sz w:val="20"/>
                <w:szCs w:val="20"/>
                <w:lang w:eastAsia="en-US"/>
              </w:rPr>
              <w:t>„Хоризонт 2020“</w:t>
            </w:r>
            <w:r w:rsidR="008F54B4" w:rsidRPr="00B45B4F">
              <w:rPr>
                <w:rFonts w:ascii="Verdana" w:hAnsi="Verdana"/>
                <w:sz w:val="20"/>
                <w:szCs w:val="20"/>
                <w:lang w:eastAsia="en-US"/>
              </w:rPr>
              <w:t>.</w:t>
            </w:r>
            <w:r w:rsidR="005444FA">
              <w:rPr>
                <w:rFonts w:ascii="Verdana" w:hAnsi="Verdana"/>
                <w:sz w:val="20"/>
                <w:szCs w:val="20"/>
                <w:lang w:eastAsia="en-US"/>
              </w:rPr>
              <w:t xml:space="preserve"> Посочено е, че предвидената подкрепа за изследователските центрове ще способства мобилността на учени и привличане на учени от други държави.</w:t>
            </w:r>
          </w:p>
          <w:p w:rsidR="00BE11E8" w:rsidRPr="00B45B4F" w:rsidRDefault="00BE11E8" w:rsidP="001B6329">
            <w:pPr>
              <w:pStyle w:val="BodyText"/>
              <w:widowControl w:val="0"/>
              <w:spacing w:line="276" w:lineRule="auto"/>
              <w:jc w:val="both"/>
              <w:rPr>
                <w:rFonts w:ascii="Verdana" w:hAnsi="Verdana"/>
                <w:sz w:val="20"/>
                <w:szCs w:val="20"/>
                <w:lang w:eastAsia="en-US"/>
              </w:rPr>
            </w:pPr>
            <w:r w:rsidRPr="00B45B4F">
              <w:rPr>
                <w:rFonts w:ascii="Verdana" w:hAnsi="Verdana"/>
                <w:sz w:val="20"/>
                <w:szCs w:val="20"/>
                <w:lang w:eastAsia="en-US"/>
              </w:rPr>
              <w:t>Посочено е допълване в областта на провеждане на научни изследвания.</w:t>
            </w:r>
          </w:p>
          <w:p w:rsidR="008F54B4" w:rsidRPr="00B45B4F" w:rsidRDefault="008F54B4" w:rsidP="001B6329">
            <w:pPr>
              <w:pStyle w:val="BodyText"/>
              <w:widowControl w:val="0"/>
              <w:spacing w:line="276" w:lineRule="auto"/>
              <w:jc w:val="both"/>
              <w:rPr>
                <w:rFonts w:ascii="Verdana" w:hAnsi="Verdana"/>
                <w:sz w:val="20"/>
                <w:szCs w:val="20"/>
                <w:lang w:eastAsia="en-US"/>
              </w:rPr>
            </w:pPr>
            <w:r w:rsidRPr="00B45B4F">
              <w:rPr>
                <w:rFonts w:ascii="Verdana" w:hAnsi="Verdana"/>
                <w:sz w:val="20"/>
                <w:szCs w:val="20"/>
                <w:lang w:eastAsia="en-US"/>
              </w:rPr>
              <w:t xml:space="preserve">Предполага се, че предоставяната по </w:t>
            </w:r>
            <w:r w:rsidR="005106CE" w:rsidRPr="00B45B4F">
              <w:rPr>
                <w:rFonts w:ascii="Verdana" w:hAnsi="Verdana"/>
                <w:sz w:val="20"/>
                <w:szCs w:val="20"/>
                <w:lang w:eastAsia="en-US"/>
              </w:rPr>
              <w:t>„Хоризонт 2020“</w:t>
            </w:r>
            <w:r w:rsidRPr="00B45B4F">
              <w:rPr>
                <w:rFonts w:ascii="Verdana" w:hAnsi="Verdana"/>
                <w:sz w:val="20"/>
                <w:szCs w:val="20"/>
                <w:lang w:eastAsia="en-US"/>
              </w:rPr>
              <w:t xml:space="preserve"> възможност за достъп до рисково финансиране за МСП ще повиши възможностите за участие на дейности, подкрепяни по оперативната програма.</w:t>
            </w:r>
          </w:p>
          <w:p w:rsidR="00BE11E8" w:rsidRDefault="008F54B4" w:rsidP="001B6329">
            <w:pPr>
              <w:pStyle w:val="BodyText"/>
              <w:widowControl w:val="0"/>
              <w:spacing w:line="276" w:lineRule="auto"/>
              <w:jc w:val="both"/>
              <w:rPr>
                <w:rFonts w:ascii="Verdana" w:hAnsi="Verdana"/>
                <w:sz w:val="20"/>
                <w:szCs w:val="20"/>
                <w:lang w:eastAsia="en-US"/>
              </w:rPr>
            </w:pPr>
            <w:proofErr w:type="spellStart"/>
            <w:r w:rsidRPr="00B45B4F">
              <w:rPr>
                <w:rFonts w:ascii="Verdana" w:hAnsi="Verdana"/>
                <w:sz w:val="20"/>
                <w:szCs w:val="20"/>
                <w:lang w:eastAsia="en-US"/>
              </w:rPr>
              <w:t>Синергичен</w:t>
            </w:r>
            <w:proofErr w:type="spellEnd"/>
            <w:r w:rsidRPr="00B45B4F">
              <w:rPr>
                <w:rFonts w:ascii="Verdana" w:hAnsi="Verdana"/>
                <w:sz w:val="20"/>
                <w:szCs w:val="20"/>
                <w:lang w:eastAsia="en-US"/>
              </w:rPr>
              <w:t xml:space="preserve"> ефект се очаква и по отношение на третия приоритет на </w:t>
            </w:r>
            <w:r w:rsidR="005106CE" w:rsidRPr="00B45B4F">
              <w:rPr>
                <w:rFonts w:ascii="Verdana" w:hAnsi="Verdana"/>
                <w:sz w:val="20"/>
                <w:szCs w:val="20"/>
                <w:lang w:eastAsia="en-US"/>
              </w:rPr>
              <w:t>„Хоризонт 2020“</w:t>
            </w:r>
            <w:r w:rsidRPr="00B45B4F">
              <w:rPr>
                <w:rFonts w:ascii="Verdana" w:hAnsi="Verdana"/>
                <w:sz w:val="20"/>
                <w:szCs w:val="20"/>
                <w:lang w:eastAsia="en-US"/>
              </w:rPr>
              <w:t>, където подкрепата по оперативната програма се очаква както цяло да има допълваща роля към по-комплексни изследвания в приоритетните области на европейско ниво.</w:t>
            </w:r>
          </w:p>
          <w:p w:rsidR="005444FA" w:rsidRPr="00B45B4F" w:rsidRDefault="00AE1F44" w:rsidP="00AE1F44">
            <w:pPr>
              <w:pStyle w:val="BodyText"/>
              <w:widowControl w:val="0"/>
              <w:spacing w:line="276" w:lineRule="auto"/>
              <w:jc w:val="both"/>
              <w:rPr>
                <w:rFonts w:ascii="Verdana" w:hAnsi="Verdana"/>
                <w:sz w:val="20"/>
                <w:szCs w:val="20"/>
                <w:lang w:eastAsia="en-US"/>
              </w:rPr>
            </w:pPr>
            <w:r>
              <w:rPr>
                <w:rFonts w:ascii="Verdana" w:hAnsi="Verdana"/>
                <w:sz w:val="20"/>
                <w:szCs w:val="20"/>
                <w:lang w:eastAsia="en-US"/>
              </w:rPr>
              <w:t>Предвидена е възможност за допълване на финансирането по Хоризонт 2020 чрез ОПНОИР.</w:t>
            </w:r>
          </w:p>
        </w:tc>
        <w:tc>
          <w:tcPr>
            <w:tcW w:w="4050" w:type="dxa"/>
          </w:tcPr>
          <w:p w:rsidR="00022CD9" w:rsidRPr="00B45B4F" w:rsidRDefault="005106CE" w:rsidP="001B6329">
            <w:pPr>
              <w:pStyle w:val="BodyText"/>
              <w:widowControl w:val="0"/>
              <w:spacing w:line="276" w:lineRule="auto"/>
              <w:jc w:val="both"/>
              <w:rPr>
                <w:rFonts w:ascii="Verdana" w:hAnsi="Verdana"/>
                <w:sz w:val="20"/>
                <w:szCs w:val="20"/>
                <w:lang w:eastAsia="en-US"/>
              </w:rPr>
            </w:pPr>
            <w:r w:rsidRPr="00B45B4F">
              <w:rPr>
                <w:rFonts w:ascii="Verdana" w:hAnsi="Verdana"/>
                <w:sz w:val="20"/>
                <w:szCs w:val="20"/>
                <w:lang w:eastAsia="en-US"/>
              </w:rPr>
              <w:lastRenderedPageBreak/>
              <w:t>„Хоризонт 2020“</w:t>
            </w:r>
            <w:r w:rsidR="003F5535" w:rsidRPr="00B45B4F">
              <w:rPr>
                <w:rFonts w:ascii="Verdana" w:hAnsi="Verdana"/>
                <w:sz w:val="20"/>
                <w:szCs w:val="20"/>
                <w:lang w:eastAsia="en-US"/>
              </w:rPr>
              <w:t xml:space="preserve">и ОПНОИР </w:t>
            </w:r>
            <w:r w:rsidR="00022CD9" w:rsidRPr="00B45B4F">
              <w:rPr>
                <w:rFonts w:ascii="Verdana" w:hAnsi="Verdana"/>
                <w:sz w:val="20"/>
                <w:szCs w:val="20"/>
                <w:lang w:eastAsia="en-US"/>
              </w:rPr>
              <w:lastRenderedPageBreak/>
              <w:t>предоставя</w:t>
            </w:r>
            <w:r w:rsidR="003F5535" w:rsidRPr="00B45B4F">
              <w:rPr>
                <w:rFonts w:ascii="Verdana" w:hAnsi="Verdana"/>
                <w:sz w:val="20"/>
                <w:szCs w:val="20"/>
                <w:lang w:eastAsia="en-US"/>
              </w:rPr>
              <w:t>т</w:t>
            </w:r>
            <w:r w:rsidR="00022CD9" w:rsidRPr="00B45B4F">
              <w:rPr>
                <w:rFonts w:ascii="Verdana" w:hAnsi="Verdana"/>
                <w:sz w:val="20"/>
                <w:szCs w:val="20"/>
                <w:lang w:eastAsia="en-US"/>
              </w:rPr>
              <w:t xml:space="preserve"> финансиране за научно-изследователска инфраструктура. </w:t>
            </w:r>
            <w:r w:rsidR="00910375" w:rsidRPr="00B45B4F">
              <w:rPr>
                <w:rFonts w:ascii="Verdana" w:hAnsi="Verdana"/>
                <w:sz w:val="20"/>
                <w:szCs w:val="20"/>
                <w:lang w:eastAsia="en-US"/>
              </w:rPr>
              <w:t>Разграничаването</w:t>
            </w:r>
            <w:r w:rsidR="00022CD9" w:rsidRPr="00B45B4F">
              <w:rPr>
                <w:rFonts w:ascii="Verdana" w:hAnsi="Verdana"/>
                <w:sz w:val="20"/>
                <w:szCs w:val="20"/>
                <w:lang w:eastAsia="en-US"/>
              </w:rPr>
              <w:t xml:space="preserve"> между програмите е в мащабите: ОПНОИР ще финансира такава инфраструктура на територията на страната от национално значение, а </w:t>
            </w:r>
            <w:r w:rsidRPr="00B45B4F">
              <w:rPr>
                <w:rFonts w:ascii="Verdana" w:hAnsi="Verdana"/>
                <w:sz w:val="20"/>
                <w:szCs w:val="20"/>
                <w:lang w:eastAsia="en-US"/>
              </w:rPr>
              <w:t>„Хоризонт 2020“</w:t>
            </w:r>
            <w:r w:rsidR="00022CD9" w:rsidRPr="00B45B4F">
              <w:rPr>
                <w:rFonts w:ascii="Verdana" w:hAnsi="Verdana"/>
                <w:sz w:val="20"/>
                <w:szCs w:val="20"/>
                <w:lang w:eastAsia="en-US"/>
              </w:rPr>
              <w:t xml:space="preserve"> европейски инфраструктури от висока класа.</w:t>
            </w:r>
          </w:p>
          <w:p w:rsidR="00022CD9" w:rsidRPr="00B45B4F" w:rsidRDefault="00022CD9" w:rsidP="001B6329">
            <w:pPr>
              <w:pStyle w:val="BodyText"/>
              <w:widowControl w:val="0"/>
              <w:spacing w:line="276" w:lineRule="auto"/>
              <w:jc w:val="both"/>
              <w:rPr>
                <w:rFonts w:ascii="Verdana" w:hAnsi="Verdana"/>
                <w:sz w:val="20"/>
                <w:szCs w:val="20"/>
                <w:lang w:eastAsia="en-US"/>
              </w:rPr>
            </w:pPr>
            <w:r w:rsidRPr="00B45B4F">
              <w:rPr>
                <w:rFonts w:ascii="Verdana" w:hAnsi="Verdana"/>
                <w:sz w:val="20"/>
                <w:szCs w:val="20"/>
                <w:lang w:eastAsia="en-US"/>
              </w:rPr>
              <w:t xml:space="preserve">И двете програми предвиждат </w:t>
            </w:r>
            <w:r w:rsidR="008F54B4" w:rsidRPr="00B45B4F">
              <w:rPr>
                <w:rFonts w:ascii="Verdana" w:hAnsi="Verdana"/>
                <w:sz w:val="20"/>
                <w:szCs w:val="20"/>
                <w:lang w:eastAsia="en-US"/>
              </w:rPr>
              <w:t xml:space="preserve">подкрепа за приложни научни изследвания и иновации в МСП. Предвижда се разграничаването да става на ниво проекти (бенефициенти, целеви групи и дейности). </w:t>
            </w:r>
          </w:p>
        </w:tc>
      </w:tr>
    </w:tbl>
    <w:p w:rsidR="00BE11E8" w:rsidRPr="00B45B4F" w:rsidRDefault="00BE11E8" w:rsidP="00BE11E8">
      <w:pPr>
        <w:pStyle w:val="BodyText"/>
        <w:widowControl w:val="0"/>
        <w:spacing w:line="276" w:lineRule="auto"/>
        <w:jc w:val="both"/>
        <w:rPr>
          <w:rFonts w:ascii="Verdana" w:hAnsi="Verdana"/>
          <w:sz w:val="20"/>
          <w:szCs w:val="20"/>
          <w:lang w:eastAsia="en-US"/>
        </w:rPr>
      </w:pPr>
    </w:p>
    <w:p w:rsidR="00CC0CBA" w:rsidRPr="00B45B4F" w:rsidRDefault="00CC0CBA" w:rsidP="00CC0CBA">
      <w:pPr>
        <w:keepNext/>
        <w:pBdr>
          <w:bottom w:val="single" w:sz="4" w:space="1" w:color="0070C0"/>
        </w:pBdr>
        <w:spacing w:before="360" w:after="120"/>
        <w:jc w:val="both"/>
        <w:rPr>
          <w:rFonts w:ascii="Verdana" w:hAnsi="Verdana"/>
          <w:color w:val="0070C0"/>
          <w:sz w:val="20"/>
          <w:szCs w:val="20"/>
          <w:lang w:val="bg-BG" w:eastAsia="cs-CZ"/>
        </w:rPr>
      </w:pPr>
      <w:r w:rsidRPr="00B45B4F">
        <w:rPr>
          <w:rFonts w:ascii="Verdana" w:hAnsi="Verdana"/>
          <w:color w:val="0070C0"/>
          <w:sz w:val="20"/>
          <w:szCs w:val="20"/>
          <w:lang w:val="bg-BG" w:eastAsia="cs-CZ"/>
        </w:rPr>
        <w:t xml:space="preserve">Програма на ЕС за </w:t>
      </w:r>
      <w:r w:rsidR="00ED5A89" w:rsidRPr="00B45B4F">
        <w:rPr>
          <w:rFonts w:ascii="Verdana" w:hAnsi="Verdana"/>
          <w:color w:val="0070C0"/>
          <w:sz w:val="20"/>
          <w:szCs w:val="20"/>
          <w:lang w:val="bg-BG" w:eastAsia="cs-CZ"/>
        </w:rPr>
        <w:t>заетост и социални</w:t>
      </w:r>
      <w:r w:rsidRPr="00B45B4F">
        <w:rPr>
          <w:rFonts w:ascii="Verdana" w:hAnsi="Verdana"/>
          <w:color w:val="0070C0"/>
          <w:sz w:val="20"/>
          <w:szCs w:val="20"/>
          <w:lang w:val="bg-BG" w:eastAsia="cs-CZ"/>
        </w:rPr>
        <w:t xml:space="preserve"> иновации</w:t>
      </w:r>
    </w:p>
    <w:p w:rsidR="00910375" w:rsidRPr="00B45B4F" w:rsidRDefault="00910375" w:rsidP="00910375">
      <w:pPr>
        <w:tabs>
          <w:tab w:val="left" w:pos="0"/>
          <w:tab w:val="right" w:pos="9214"/>
        </w:tabs>
        <w:spacing w:before="120" w:after="120"/>
        <w:jc w:val="both"/>
        <w:rPr>
          <w:rFonts w:ascii="Verdana" w:hAnsi="Verdana" w:cs="Calibri"/>
          <w:color w:val="000000"/>
          <w:sz w:val="20"/>
          <w:szCs w:val="20"/>
          <w:lang w:val="bg-BG"/>
        </w:rPr>
      </w:pPr>
      <w:r w:rsidRPr="00B45B4F">
        <w:rPr>
          <w:rFonts w:ascii="Verdana" w:hAnsi="Verdana" w:cs="Calibri"/>
          <w:color w:val="000000"/>
          <w:sz w:val="20"/>
          <w:szCs w:val="20"/>
          <w:lang w:val="bg-BG"/>
        </w:rPr>
        <w:t xml:space="preserve">Програмата на ЕС за заетост и социални иновации има три основни направления, както следва: </w:t>
      </w:r>
    </w:p>
    <w:p w:rsidR="00910375" w:rsidRPr="00B45B4F" w:rsidRDefault="00910375" w:rsidP="006861B0">
      <w:pPr>
        <w:pStyle w:val="ListParagraph"/>
        <w:numPr>
          <w:ilvl w:val="0"/>
          <w:numId w:val="15"/>
        </w:numPr>
        <w:tabs>
          <w:tab w:val="left" w:pos="0"/>
          <w:tab w:val="right" w:pos="9214"/>
        </w:tabs>
        <w:spacing w:before="120" w:after="120"/>
        <w:jc w:val="both"/>
        <w:rPr>
          <w:rFonts w:ascii="Verdana" w:hAnsi="Verdana" w:cs="Calibri"/>
          <w:color w:val="000000"/>
          <w:sz w:val="20"/>
          <w:szCs w:val="20"/>
          <w:lang w:val="bg-BG"/>
        </w:rPr>
      </w:pPr>
      <w:r w:rsidRPr="00B45B4F">
        <w:rPr>
          <w:rFonts w:ascii="Verdana" w:hAnsi="Verdana" w:cs="Calibri"/>
          <w:i/>
          <w:color w:val="000000"/>
          <w:sz w:val="20"/>
          <w:szCs w:val="20"/>
          <w:lang w:val="bg-BG"/>
        </w:rPr>
        <w:t>Ос „Прогрес”</w:t>
      </w:r>
      <w:r w:rsidRPr="00B45B4F">
        <w:rPr>
          <w:rFonts w:ascii="Verdana" w:hAnsi="Verdana" w:cs="Calibri"/>
          <w:color w:val="000000"/>
          <w:sz w:val="20"/>
          <w:szCs w:val="20"/>
          <w:lang w:val="bg-BG"/>
        </w:rPr>
        <w:t xml:space="preserve"> ще финансира анализи, проучвания и обмен на опит в сферата на политиките по заетостта, социалните въпроси и условията на труд, включително за висши училища и научноизследователски институти. </w:t>
      </w:r>
    </w:p>
    <w:p w:rsidR="00910375" w:rsidRPr="00B45B4F" w:rsidRDefault="00910375" w:rsidP="006861B0">
      <w:pPr>
        <w:pStyle w:val="ListParagraph"/>
        <w:numPr>
          <w:ilvl w:val="0"/>
          <w:numId w:val="15"/>
        </w:numPr>
        <w:tabs>
          <w:tab w:val="left" w:pos="0"/>
          <w:tab w:val="right" w:pos="9214"/>
        </w:tabs>
        <w:spacing w:before="120" w:after="120"/>
        <w:jc w:val="both"/>
        <w:rPr>
          <w:rFonts w:ascii="Verdana" w:hAnsi="Verdana" w:cs="Calibri"/>
          <w:color w:val="000000"/>
          <w:sz w:val="20"/>
          <w:szCs w:val="20"/>
          <w:lang w:val="bg-BG"/>
        </w:rPr>
      </w:pPr>
      <w:r w:rsidRPr="00B45B4F">
        <w:rPr>
          <w:rFonts w:ascii="Verdana" w:hAnsi="Verdana" w:cs="Calibri"/>
          <w:i/>
          <w:color w:val="000000"/>
          <w:sz w:val="20"/>
          <w:szCs w:val="20"/>
          <w:lang w:val="bg-BG"/>
        </w:rPr>
        <w:t>Ос „EURES”</w:t>
      </w:r>
      <w:r w:rsidRPr="00B45B4F">
        <w:rPr>
          <w:rFonts w:ascii="Verdana" w:hAnsi="Verdana" w:cs="Calibri"/>
          <w:color w:val="000000"/>
          <w:sz w:val="20"/>
          <w:szCs w:val="20"/>
          <w:lang w:val="bg-BG"/>
        </w:rPr>
        <w:t xml:space="preserve"> ще продължи подкрепата за европейската м</w:t>
      </w:r>
      <w:r w:rsidR="003654A9" w:rsidRPr="00B45B4F">
        <w:rPr>
          <w:rFonts w:ascii="Verdana" w:hAnsi="Verdana" w:cs="Calibri"/>
          <w:color w:val="000000"/>
          <w:sz w:val="20"/>
          <w:szCs w:val="20"/>
          <w:lang w:val="bg-BG"/>
        </w:rPr>
        <w:t>режа на посредническите услуги за професионална мобилност.</w:t>
      </w:r>
    </w:p>
    <w:p w:rsidR="00910375" w:rsidRPr="00B45B4F" w:rsidRDefault="00910375" w:rsidP="006861B0">
      <w:pPr>
        <w:pStyle w:val="ListParagraph"/>
        <w:numPr>
          <w:ilvl w:val="0"/>
          <w:numId w:val="15"/>
        </w:numPr>
        <w:tabs>
          <w:tab w:val="left" w:pos="0"/>
          <w:tab w:val="right" w:pos="9214"/>
        </w:tabs>
        <w:spacing w:before="120" w:after="120"/>
        <w:jc w:val="both"/>
        <w:rPr>
          <w:rFonts w:ascii="Verdana" w:hAnsi="Verdana" w:cs="Calibri"/>
          <w:color w:val="000000"/>
          <w:sz w:val="20"/>
          <w:szCs w:val="20"/>
          <w:lang w:val="bg-BG"/>
        </w:rPr>
      </w:pPr>
      <w:r w:rsidRPr="00B45B4F">
        <w:rPr>
          <w:rFonts w:ascii="Verdana" w:hAnsi="Verdana" w:cs="Calibri"/>
          <w:i/>
          <w:color w:val="000000"/>
          <w:sz w:val="20"/>
          <w:szCs w:val="20"/>
          <w:lang w:val="bg-BG"/>
        </w:rPr>
        <w:t>Ос „</w:t>
      </w:r>
      <w:proofErr w:type="spellStart"/>
      <w:r w:rsidRPr="00B45B4F">
        <w:rPr>
          <w:rFonts w:ascii="Verdana" w:hAnsi="Verdana" w:cs="Calibri"/>
          <w:i/>
          <w:color w:val="000000"/>
          <w:sz w:val="20"/>
          <w:szCs w:val="20"/>
          <w:lang w:val="bg-BG"/>
        </w:rPr>
        <w:t>Микрофинансиране</w:t>
      </w:r>
      <w:proofErr w:type="spellEnd"/>
      <w:r w:rsidRPr="00B45B4F">
        <w:rPr>
          <w:rFonts w:ascii="Verdana" w:hAnsi="Verdana" w:cs="Calibri"/>
          <w:i/>
          <w:color w:val="000000"/>
          <w:sz w:val="20"/>
          <w:szCs w:val="20"/>
          <w:lang w:val="bg-BG"/>
        </w:rPr>
        <w:t xml:space="preserve"> и социално предприемачество”</w:t>
      </w:r>
      <w:r w:rsidRPr="00B45B4F">
        <w:rPr>
          <w:rFonts w:ascii="Verdana" w:hAnsi="Verdana" w:cs="Calibri"/>
          <w:color w:val="000000"/>
          <w:sz w:val="20"/>
          <w:szCs w:val="20"/>
          <w:lang w:val="bg-BG"/>
        </w:rPr>
        <w:t xml:space="preserve"> ще осигури достъп до </w:t>
      </w:r>
      <w:proofErr w:type="spellStart"/>
      <w:r w:rsidRPr="00B45B4F">
        <w:rPr>
          <w:rFonts w:ascii="Verdana" w:hAnsi="Verdana" w:cs="Calibri"/>
          <w:color w:val="000000"/>
          <w:sz w:val="20"/>
          <w:szCs w:val="20"/>
          <w:lang w:val="bg-BG"/>
        </w:rPr>
        <w:t>микрофинансиране</w:t>
      </w:r>
      <w:proofErr w:type="spellEnd"/>
      <w:r w:rsidRPr="00B45B4F">
        <w:rPr>
          <w:rFonts w:ascii="Verdana" w:hAnsi="Verdana" w:cs="Calibri"/>
          <w:color w:val="000000"/>
          <w:sz w:val="20"/>
          <w:szCs w:val="20"/>
          <w:lang w:val="bg-BG"/>
        </w:rPr>
        <w:t xml:space="preserve"> за започване на собствен бизнес на безработни и заети лица, на </w:t>
      </w:r>
      <w:proofErr w:type="spellStart"/>
      <w:r w:rsidRPr="00B45B4F">
        <w:rPr>
          <w:rFonts w:ascii="Verdana" w:hAnsi="Verdana" w:cs="Calibri"/>
          <w:color w:val="000000"/>
          <w:sz w:val="20"/>
          <w:szCs w:val="20"/>
          <w:lang w:val="bg-BG"/>
        </w:rPr>
        <w:t>микропредприятия</w:t>
      </w:r>
      <w:proofErr w:type="spellEnd"/>
      <w:r w:rsidRPr="00B45B4F">
        <w:rPr>
          <w:rFonts w:ascii="Verdana" w:hAnsi="Verdana" w:cs="Calibri"/>
          <w:color w:val="000000"/>
          <w:sz w:val="20"/>
          <w:szCs w:val="20"/>
          <w:lang w:val="bg-BG"/>
        </w:rPr>
        <w:t xml:space="preserve"> и на социални предприятия.  </w:t>
      </w:r>
    </w:p>
    <w:p w:rsidR="00910375" w:rsidRPr="00B45B4F" w:rsidRDefault="00910375" w:rsidP="00910375">
      <w:pPr>
        <w:tabs>
          <w:tab w:val="left" w:pos="0"/>
          <w:tab w:val="right" w:pos="9214"/>
        </w:tabs>
        <w:spacing w:before="120" w:after="120"/>
        <w:jc w:val="both"/>
        <w:rPr>
          <w:rFonts w:ascii="Verdana" w:hAnsi="Verdana" w:cs="Calibri"/>
          <w:color w:val="000000"/>
          <w:sz w:val="20"/>
          <w:szCs w:val="20"/>
          <w:lang w:val="bg-BG"/>
        </w:rPr>
      </w:pPr>
      <w:r w:rsidRPr="00B45B4F">
        <w:rPr>
          <w:rFonts w:ascii="Verdana" w:hAnsi="Verdana" w:cs="Calibri"/>
          <w:color w:val="000000"/>
          <w:sz w:val="20"/>
          <w:szCs w:val="20"/>
          <w:lang w:val="bg-BG"/>
        </w:rPr>
        <w:t xml:space="preserve">В Раздел 8. на ОПНОИР </w:t>
      </w:r>
      <w:r w:rsidR="005106CE" w:rsidRPr="00B45B4F">
        <w:rPr>
          <w:rFonts w:ascii="Verdana" w:hAnsi="Verdana" w:cs="Calibri"/>
          <w:color w:val="000000"/>
          <w:sz w:val="20"/>
          <w:szCs w:val="20"/>
          <w:lang w:val="bg-BG"/>
        </w:rPr>
        <w:t>2014–2020</w:t>
      </w:r>
      <w:r w:rsidRPr="00B45B4F">
        <w:rPr>
          <w:rFonts w:ascii="Verdana" w:hAnsi="Verdana" w:cs="Calibri"/>
          <w:color w:val="000000"/>
          <w:sz w:val="20"/>
          <w:szCs w:val="20"/>
          <w:lang w:val="bg-BG"/>
        </w:rPr>
        <w:t xml:space="preserve"> е посочена координацията с програмата по отношение на механизмите за недопускане на двойно финансиране и за допълване</w:t>
      </w:r>
      <w:r w:rsidR="003F5535" w:rsidRPr="00B45B4F">
        <w:rPr>
          <w:rFonts w:ascii="Verdana" w:hAnsi="Verdana" w:cs="Calibri"/>
          <w:color w:val="000000"/>
          <w:sz w:val="20"/>
          <w:szCs w:val="20"/>
          <w:lang w:val="bg-BG"/>
        </w:rPr>
        <w:t>. Посочено е следното допълване и разграничаване:</w:t>
      </w:r>
    </w:p>
    <w:p w:rsidR="00953567" w:rsidRPr="00B45B4F" w:rsidRDefault="00953567" w:rsidP="00910375">
      <w:pPr>
        <w:tabs>
          <w:tab w:val="left" w:pos="0"/>
          <w:tab w:val="right" w:pos="9214"/>
        </w:tabs>
        <w:spacing w:before="120" w:after="120"/>
        <w:jc w:val="both"/>
        <w:rPr>
          <w:rFonts w:ascii="Verdana" w:hAnsi="Verdana" w:cs="Calibri"/>
          <w:color w:val="000000"/>
          <w:sz w:val="20"/>
          <w:szCs w:val="20"/>
          <w:lang w:val="bg-BG"/>
        </w:rPr>
      </w:pPr>
    </w:p>
    <w:tbl>
      <w:tblPr>
        <w:tblStyle w:val="TableGrid"/>
        <w:tblW w:w="0" w:type="auto"/>
        <w:tblInd w:w="108" w:type="dxa"/>
        <w:tblBorders>
          <w:top w:val="single" w:sz="4" w:space="0" w:color="17365D" w:themeColor="text2" w:themeShade="BF"/>
          <w:left w:val="single" w:sz="4" w:space="0" w:color="17365D" w:themeColor="text2" w:themeShade="BF"/>
          <w:bottom w:val="single" w:sz="4" w:space="0" w:color="17365D" w:themeColor="text2" w:themeShade="BF"/>
          <w:right w:val="single" w:sz="4" w:space="0" w:color="17365D" w:themeColor="text2" w:themeShade="BF"/>
          <w:insideH w:val="single" w:sz="4" w:space="0" w:color="17365D" w:themeColor="text2" w:themeShade="BF"/>
          <w:insideV w:val="single" w:sz="4" w:space="0" w:color="17365D" w:themeColor="text2" w:themeShade="BF"/>
        </w:tblBorders>
        <w:tblLook w:val="04A0" w:firstRow="1" w:lastRow="0" w:firstColumn="1" w:lastColumn="0" w:noHBand="0" w:noVBand="1"/>
      </w:tblPr>
      <w:tblGrid>
        <w:gridCol w:w="6030"/>
        <w:gridCol w:w="3060"/>
      </w:tblGrid>
      <w:tr w:rsidR="003F5535" w:rsidRPr="00B45B4F" w:rsidTr="00FB78CA">
        <w:trPr>
          <w:trHeight w:val="575"/>
        </w:trPr>
        <w:tc>
          <w:tcPr>
            <w:tcW w:w="6030" w:type="dxa"/>
            <w:shd w:val="clear" w:color="auto" w:fill="548DD4" w:themeFill="text2" w:themeFillTint="99"/>
            <w:vAlign w:val="center"/>
          </w:tcPr>
          <w:p w:rsidR="003F5535" w:rsidRPr="00B45B4F" w:rsidRDefault="003F5535" w:rsidP="007070F0">
            <w:pPr>
              <w:pStyle w:val="BodyText"/>
              <w:widowControl w:val="0"/>
              <w:spacing w:after="0" w:line="276" w:lineRule="auto"/>
              <w:jc w:val="center"/>
              <w:rPr>
                <w:rFonts w:ascii="Verdana" w:hAnsi="Verdana"/>
                <w:b/>
                <w:color w:val="FFFFFF" w:themeColor="background1"/>
                <w:sz w:val="20"/>
                <w:szCs w:val="20"/>
                <w:lang w:eastAsia="en-US"/>
              </w:rPr>
            </w:pPr>
            <w:r w:rsidRPr="00B45B4F">
              <w:rPr>
                <w:rFonts w:ascii="Verdana" w:hAnsi="Verdana"/>
                <w:b/>
                <w:color w:val="FFFFFF" w:themeColor="background1"/>
                <w:sz w:val="20"/>
                <w:szCs w:val="20"/>
                <w:lang w:eastAsia="en-US"/>
              </w:rPr>
              <w:lastRenderedPageBreak/>
              <w:t>Допълване</w:t>
            </w:r>
          </w:p>
        </w:tc>
        <w:tc>
          <w:tcPr>
            <w:tcW w:w="3060" w:type="dxa"/>
            <w:shd w:val="clear" w:color="auto" w:fill="548DD4" w:themeFill="text2" w:themeFillTint="99"/>
            <w:vAlign w:val="center"/>
          </w:tcPr>
          <w:p w:rsidR="003F5535" w:rsidRPr="00B45B4F" w:rsidRDefault="003F5535" w:rsidP="007070F0">
            <w:pPr>
              <w:pStyle w:val="BodyText"/>
              <w:widowControl w:val="0"/>
              <w:spacing w:after="0" w:line="276" w:lineRule="auto"/>
              <w:jc w:val="center"/>
              <w:rPr>
                <w:rFonts w:ascii="Verdana" w:hAnsi="Verdana"/>
                <w:b/>
                <w:color w:val="FFFFFF" w:themeColor="background1"/>
                <w:sz w:val="20"/>
                <w:szCs w:val="20"/>
                <w:lang w:eastAsia="en-US"/>
              </w:rPr>
            </w:pPr>
            <w:r w:rsidRPr="00B45B4F">
              <w:rPr>
                <w:rFonts w:ascii="Verdana" w:hAnsi="Verdana"/>
                <w:b/>
                <w:color w:val="FFFFFF" w:themeColor="background1"/>
                <w:sz w:val="20"/>
                <w:szCs w:val="20"/>
                <w:lang w:eastAsia="en-US"/>
              </w:rPr>
              <w:t>Разграничаване</w:t>
            </w:r>
          </w:p>
        </w:tc>
      </w:tr>
      <w:tr w:rsidR="003F5535" w:rsidRPr="00B45B4F" w:rsidTr="00FB78CA">
        <w:tc>
          <w:tcPr>
            <w:tcW w:w="6030" w:type="dxa"/>
          </w:tcPr>
          <w:p w:rsidR="003F5535" w:rsidRPr="00B45B4F" w:rsidRDefault="003F5535" w:rsidP="001B6329">
            <w:pPr>
              <w:pStyle w:val="BodyText"/>
              <w:widowControl w:val="0"/>
              <w:spacing w:line="276" w:lineRule="auto"/>
              <w:jc w:val="both"/>
              <w:rPr>
                <w:rFonts w:ascii="Verdana" w:hAnsi="Verdana"/>
                <w:sz w:val="20"/>
                <w:szCs w:val="20"/>
                <w:lang w:eastAsia="en-US"/>
              </w:rPr>
            </w:pPr>
            <w:r w:rsidRPr="00B45B4F">
              <w:rPr>
                <w:rFonts w:ascii="Verdana" w:hAnsi="Verdana"/>
                <w:sz w:val="20"/>
                <w:szCs w:val="20"/>
                <w:lang w:eastAsia="en-US"/>
              </w:rPr>
              <w:t>Ос „Прогрес“ предоставя възможности за финансиране на изследвания с европейско значение. Подобни изследвания на национално ниво потенциално могат да бъдат финансирани по оперативната програма.</w:t>
            </w:r>
          </w:p>
          <w:p w:rsidR="00BE11E8" w:rsidRPr="00B45B4F" w:rsidRDefault="00BB7686" w:rsidP="001B6329">
            <w:pPr>
              <w:pStyle w:val="BodyText"/>
              <w:widowControl w:val="0"/>
              <w:spacing w:line="276" w:lineRule="auto"/>
              <w:jc w:val="both"/>
              <w:rPr>
                <w:rFonts w:ascii="Verdana" w:hAnsi="Verdana" w:cs="Calibri"/>
                <w:color w:val="000000"/>
                <w:sz w:val="20"/>
                <w:szCs w:val="20"/>
              </w:rPr>
            </w:pPr>
            <w:r w:rsidRPr="00B45B4F">
              <w:rPr>
                <w:rFonts w:ascii="Verdana" w:hAnsi="Verdana"/>
                <w:sz w:val="20"/>
                <w:szCs w:val="20"/>
                <w:lang w:eastAsia="en-US"/>
              </w:rPr>
              <w:t xml:space="preserve">Допълване по отношение на мобилност на изследователи и научни работници с </w:t>
            </w:r>
            <w:r w:rsidRPr="00B45B4F">
              <w:rPr>
                <w:rFonts w:ascii="Verdana" w:hAnsi="Verdana" w:cs="Calibri"/>
                <w:color w:val="000000"/>
                <w:sz w:val="20"/>
                <w:szCs w:val="20"/>
              </w:rPr>
              <w:t>ос „EURES”.</w:t>
            </w:r>
          </w:p>
          <w:p w:rsidR="00BB7686" w:rsidRPr="00B45B4F" w:rsidRDefault="00BB7686" w:rsidP="001B6329">
            <w:pPr>
              <w:pStyle w:val="BodyText"/>
              <w:widowControl w:val="0"/>
              <w:spacing w:line="276" w:lineRule="auto"/>
              <w:jc w:val="both"/>
              <w:rPr>
                <w:rFonts w:ascii="Verdana" w:hAnsi="Verdana"/>
                <w:sz w:val="20"/>
                <w:szCs w:val="20"/>
                <w:lang w:eastAsia="en-US"/>
              </w:rPr>
            </w:pPr>
            <w:r w:rsidRPr="00B45B4F">
              <w:rPr>
                <w:rFonts w:ascii="Verdana" w:hAnsi="Verdana"/>
                <w:sz w:val="20"/>
                <w:szCs w:val="20"/>
                <w:lang w:eastAsia="en-US"/>
              </w:rPr>
              <w:t xml:space="preserve">Допълване по отношение на </w:t>
            </w:r>
            <w:r w:rsidRPr="00B45B4F">
              <w:rPr>
                <w:rFonts w:ascii="Verdana" w:hAnsi="Verdana" w:cs="Calibri"/>
                <w:color w:val="000000"/>
                <w:sz w:val="20"/>
                <w:szCs w:val="20"/>
              </w:rPr>
              <w:t>ос „</w:t>
            </w:r>
            <w:proofErr w:type="spellStart"/>
            <w:r w:rsidRPr="00B45B4F">
              <w:rPr>
                <w:rFonts w:ascii="Verdana" w:hAnsi="Verdana" w:cs="Calibri"/>
                <w:color w:val="000000"/>
                <w:sz w:val="20"/>
                <w:szCs w:val="20"/>
              </w:rPr>
              <w:t>Микрофинансиране</w:t>
            </w:r>
            <w:proofErr w:type="spellEnd"/>
            <w:r w:rsidRPr="00B45B4F">
              <w:rPr>
                <w:rFonts w:ascii="Verdana" w:hAnsi="Verdana" w:cs="Calibri"/>
                <w:color w:val="000000"/>
                <w:sz w:val="20"/>
                <w:szCs w:val="20"/>
              </w:rPr>
              <w:t xml:space="preserve"> и социално предприемачество” е възможно в рамките на кредитиране на предприятия на преподаватели и студенти.</w:t>
            </w:r>
          </w:p>
        </w:tc>
        <w:tc>
          <w:tcPr>
            <w:tcW w:w="3060" w:type="dxa"/>
          </w:tcPr>
          <w:p w:rsidR="003F5535" w:rsidRPr="00B45B4F" w:rsidRDefault="00BB7686" w:rsidP="001B6329">
            <w:pPr>
              <w:pStyle w:val="BodyText"/>
              <w:widowControl w:val="0"/>
              <w:spacing w:line="276" w:lineRule="auto"/>
              <w:jc w:val="both"/>
              <w:rPr>
                <w:rFonts w:ascii="Verdana" w:hAnsi="Verdana"/>
                <w:sz w:val="20"/>
                <w:szCs w:val="20"/>
                <w:lang w:eastAsia="en-US"/>
              </w:rPr>
            </w:pPr>
            <w:r w:rsidRPr="00B45B4F">
              <w:rPr>
                <w:rFonts w:ascii="Verdana" w:hAnsi="Verdana"/>
                <w:sz w:val="20"/>
                <w:szCs w:val="20"/>
                <w:lang w:eastAsia="en-US"/>
              </w:rPr>
              <w:t>Не съществува потенциал за застъпване между програмите.</w:t>
            </w:r>
          </w:p>
        </w:tc>
      </w:tr>
    </w:tbl>
    <w:p w:rsidR="00CC0CBA" w:rsidRPr="00B45B4F" w:rsidRDefault="00CC0CBA" w:rsidP="00CC0CBA">
      <w:pPr>
        <w:keepNext/>
        <w:pBdr>
          <w:bottom w:val="single" w:sz="4" w:space="1" w:color="0070C0"/>
        </w:pBdr>
        <w:spacing w:before="360" w:after="120"/>
        <w:jc w:val="both"/>
        <w:rPr>
          <w:rFonts w:ascii="Verdana" w:hAnsi="Verdana"/>
          <w:color w:val="0070C0"/>
          <w:sz w:val="20"/>
          <w:szCs w:val="20"/>
          <w:lang w:val="bg-BG" w:eastAsia="cs-CZ"/>
        </w:rPr>
      </w:pPr>
      <w:r w:rsidRPr="00B45B4F">
        <w:rPr>
          <w:rFonts w:ascii="Verdana" w:hAnsi="Verdana"/>
          <w:color w:val="0070C0"/>
          <w:sz w:val="20"/>
          <w:szCs w:val="20"/>
          <w:lang w:val="bg-BG" w:eastAsia="cs-CZ"/>
        </w:rPr>
        <w:t>Програма „Еразъм за всички”</w:t>
      </w:r>
    </w:p>
    <w:p w:rsidR="00CC0CBA" w:rsidRPr="00B45B4F" w:rsidRDefault="003A4426" w:rsidP="003530F5">
      <w:pPr>
        <w:tabs>
          <w:tab w:val="left" w:pos="0"/>
          <w:tab w:val="right" w:pos="9214"/>
        </w:tabs>
        <w:spacing w:before="120" w:after="120"/>
        <w:jc w:val="both"/>
        <w:rPr>
          <w:rFonts w:ascii="Verdana" w:hAnsi="Verdana" w:cs="Calibri"/>
          <w:color w:val="000000"/>
          <w:sz w:val="20"/>
          <w:szCs w:val="20"/>
          <w:lang w:val="bg-BG"/>
        </w:rPr>
      </w:pPr>
      <w:r w:rsidRPr="00B45B4F">
        <w:rPr>
          <w:rFonts w:ascii="Verdana" w:hAnsi="Verdana" w:cs="Calibri"/>
          <w:color w:val="000000"/>
          <w:sz w:val="20"/>
          <w:szCs w:val="20"/>
          <w:lang w:val="bg-BG"/>
        </w:rPr>
        <w:t xml:space="preserve">Програма „Еразъм за всички </w:t>
      </w:r>
      <w:r w:rsidR="005106CE" w:rsidRPr="00B45B4F">
        <w:rPr>
          <w:rFonts w:ascii="Verdana" w:hAnsi="Verdana" w:cs="Calibri"/>
          <w:color w:val="000000"/>
          <w:sz w:val="20"/>
          <w:szCs w:val="20"/>
          <w:lang w:val="bg-BG"/>
        </w:rPr>
        <w:t>2014–2020</w:t>
      </w:r>
      <w:r w:rsidRPr="00B45B4F">
        <w:rPr>
          <w:rFonts w:ascii="Verdana" w:hAnsi="Verdana" w:cs="Calibri"/>
          <w:color w:val="000000"/>
          <w:sz w:val="20"/>
          <w:szCs w:val="20"/>
          <w:lang w:val="bg-BG"/>
        </w:rPr>
        <w:t xml:space="preserve"> ще наследи </w:t>
      </w:r>
      <w:r w:rsidR="00C632BC" w:rsidRPr="00B45B4F">
        <w:rPr>
          <w:rFonts w:ascii="Verdana" w:hAnsi="Verdana" w:cs="Calibri"/>
          <w:color w:val="000000"/>
          <w:sz w:val="20"/>
          <w:szCs w:val="20"/>
          <w:lang w:val="bg-BG"/>
        </w:rPr>
        <w:t>редица</w:t>
      </w:r>
      <w:r w:rsidR="002D4C3A">
        <w:rPr>
          <w:rFonts w:ascii="Verdana" w:hAnsi="Verdana" w:cs="Calibri"/>
          <w:color w:val="000000"/>
          <w:sz w:val="20"/>
          <w:szCs w:val="20"/>
          <w:lang w:val="bg-BG"/>
        </w:rPr>
        <w:t xml:space="preserve"> </w:t>
      </w:r>
      <w:r w:rsidR="00C632BC" w:rsidRPr="00B45B4F">
        <w:rPr>
          <w:rFonts w:ascii="Verdana" w:hAnsi="Verdana" w:cs="Calibri"/>
          <w:color w:val="000000"/>
          <w:sz w:val="20"/>
          <w:szCs w:val="20"/>
          <w:lang w:val="bg-BG"/>
        </w:rPr>
        <w:t>програми</w:t>
      </w:r>
      <w:r w:rsidRPr="00B45B4F">
        <w:rPr>
          <w:rFonts w:ascii="Verdana" w:hAnsi="Verdana" w:cs="Calibri"/>
          <w:color w:val="000000"/>
          <w:sz w:val="20"/>
          <w:szCs w:val="20"/>
          <w:lang w:val="bg-BG"/>
        </w:rPr>
        <w:t xml:space="preserve"> на ЕС от програмния период </w:t>
      </w:r>
      <w:r w:rsidR="005106CE" w:rsidRPr="00B45B4F">
        <w:rPr>
          <w:rFonts w:ascii="Verdana" w:hAnsi="Verdana" w:cs="Calibri"/>
          <w:color w:val="000000"/>
          <w:sz w:val="20"/>
          <w:szCs w:val="20"/>
          <w:lang w:val="bg-BG"/>
        </w:rPr>
        <w:t>2007–2013</w:t>
      </w:r>
      <w:r w:rsidRPr="00B45B4F">
        <w:rPr>
          <w:rFonts w:ascii="Verdana" w:hAnsi="Verdana" w:cs="Calibri"/>
          <w:color w:val="000000"/>
          <w:sz w:val="20"/>
          <w:szCs w:val="20"/>
          <w:lang w:val="bg-BG"/>
        </w:rPr>
        <w:t xml:space="preserve"> в областта на образованието и обучението, младежка политика и спорт. По програмата ще бъде предоставена подкрепа за мобилност с учебна цел, </w:t>
      </w:r>
      <w:r w:rsidR="00895B4E" w:rsidRPr="00B45B4F">
        <w:rPr>
          <w:rFonts w:ascii="Verdana" w:hAnsi="Verdana" w:cs="Calibri"/>
          <w:color w:val="000000"/>
          <w:sz w:val="20"/>
          <w:szCs w:val="20"/>
          <w:lang w:val="bg-BG"/>
        </w:rPr>
        <w:t xml:space="preserve">сътрудничество </w:t>
      </w:r>
      <w:r w:rsidRPr="00B45B4F">
        <w:rPr>
          <w:rFonts w:ascii="Verdana" w:hAnsi="Verdana" w:cs="Calibri"/>
          <w:color w:val="000000"/>
          <w:sz w:val="20"/>
          <w:szCs w:val="20"/>
          <w:lang w:val="bg-BG"/>
        </w:rPr>
        <w:t xml:space="preserve">и реформиране на политики. </w:t>
      </w:r>
      <w:r w:rsidR="00895B4E" w:rsidRPr="00B45B4F">
        <w:rPr>
          <w:rFonts w:ascii="Verdana" w:hAnsi="Verdana" w:cs="Calibri"/>
          <w:color w:val="000000"/>
          <w:sz w:val="20"/>
          <w:szCs w:val="20"/>
          <w:lang w:val="bg-BG"/>
        </w:rPr>
        <w:t xml:space="preserve">Чрез схема за гарантиране на студентски заеми ще се даде възможност за подкрепа на студенти, които искат да получат магистърска степен в друга държава-членка. </w:t>
      </w:r>
    </w:p>
    <w:p w:rsidR="003A4426" w:rsidRPr="00B45B4F" w:rsidRDefault="003A4426" w:rsidP="003A4426">
      <w:pPr>
        <w:tabs>
          <w:tab w:val="left" w:pos="0"/>
          <w:tab w:val="right" w:pos="9214"/>
        </w:tabs>
        <w:spacing w:before="120" w:after="120"/>
        <w:jc w:val="both"/>
        <w:rPr>
          <w:rFonts w:ascii="Verdana" w:hAnsi="Verdana" w:cs="Calibri"/>
          <w:color w:val="000000"/>
          <w:sz w:val="20"/>
          <w:szCs w:val="20"/>
          <w:lang w:val="bg-BG"/>
        </w:rPr>
      </w:pPr>
      <w:r w:rsidRPr="00B45B4F">
        <w:rPr>
          <w:rFonts w:ascii="Verdana" w:hAnsi="Verdana" w:cs="Calibri"/>
          <w:color w:val="000000"/>
          <w:sz w:val="20"/>
          <w:szCs w:val="20"/>
          <w:lang w:val="bg-BG"/>
        </w:rPr>
        <w:t xml:space="preserve">В Раздел 8. на ОПНОИР </w:t>
      </w:r>
      <w:r w:rsidR="005106CE" w:rsidRPr="00B45B4F">
        <w:rPr>
          <w:rFonts w:ascii="Verdana" w:hAnsi="Verdana" w:cs="Calibri"/>
          <w:color w:val="000000"/>
          <w:sz w:val="20"/>
          <w:szCs w:val="20"/>
          <w:lang w:val="bg-BG"/>
        </w:rPr>
        <w:t>2014–2020</w:t>
      </w:r>
      <w:r w:rsidRPr="00B45B4F">
        <w:rPr>
          <w:rFonts w:ascii="Verdana" w:hAnsi="Verdana" w:cs="Calibri"/>
          <w:color w:val="000000"/>
          <w:sz w:val="20"/>
          <w:szCs w:val="20"/>
          <w:lang w:val="bg-BG"/>
        </w:rPr>
        <w:t xml:space="preserve"> е посочено следното допълване и разграничаване с програмата „Еразъм за всички</w:t>
      </w:r>
      <w:r w:rsidR="00677838" w:rsidRPr="00B45B4F">
        <w:rPr>
          <w:rFonts w:ascii="Verdana" w:hAnsi="Verdana" w:cs="Calibri"/>
          <w:color w:val="000000"/>
          <w:sz w:val="20"/>
          <w:szCs w:val="20"/>
          <w:lang w:val="bg-BG"/>
        </w:rPr>
        <w:t>“</w:t>
      </w:r>
      <w:r w:rsidRPr="00B45B4F">
        <w:rPr>
          <w:rFonts w:ascii="Verdana" w:hAnsi="Verdana" w:cs="Calibri"/>
          <w:color w:val="000000"/>
          <w:sz w:val="20"/>
          <w:szCs w:val="20"/>
          <w:lang w:val="bg-BG"/>
        </w:rPr>
        <w:t>:</w:t>
      </w:r>
    </w:p>
    <w:tbl>
      <w:tblPr>
        <w:tblStyle w:val="TableGrid"/>
        <w:tblW w:w="0" w:type="auto"/>
        <w:tblInd w:w="108" w:type="dxa"/>
        <w:tblBorders>
          <w:top w:val="single" w:sz="4" w:space="0" w:color="17365D" w:themeColor="text2" w:themeShade="BF"/>
          <w:left w:val="single" w:sz="4" w:space="0" w:color="17365D" w:themeColor="text2" w:themeShade="BF"/>
          <w:bottom w:val="single" w:sz="4" w:space="0" w:color="17365D" w:themeColor="text2" w:themeShade="BF"/>
          <w:right w:val="single" w:sz="4" w:space="0" w:color="17365D" w:themeColor="text2" w:themeShade="BF"/>
          <w:insideH w:val="single" w:sz="4" w:space="0" w:color="17365D" w:themeColor="text2" w:themeShade="BF"/>
          <w:insideV w:val="single" w:sz="4" w:space="0" w:color="17365D" w:themeColor="text2" w:themeShade="BF"/>
        </w:tblBorders>
        <w:tblLook w:val="04A0" w:firstRow="1" w:lastRow="0" w:firstColumn="1" w:lastColumn="0" w:noHBand="0" w:noVBand="1"/>
      </w:tblPr>
      <w:tblGrid>
        <w:gridCol w:w="6030"/>
        <w:gridCol w:w="3060"/>
      </w:tblGrid>
      <w:tr w:rsidR="00895B4E" w:rsidRPr="00B45B4F" w:rsidTr="00FB78CA">
        <w:tc>
          <w:tcPr>
            <w:tcW w:w="6030" w:type="dxa"/>
            <w:shd w:val="clear" w:color="auto" w:fill="548DD4" w:themeFill="text2" w:themeFillTint="99"/>
          </w:tcPr>
          <w:p w:rsidR="00895B4E" w:rsidRPr="00B45B4F" w:rsidRDefault="00895B4E" w:rsidP="007070F0">
            <w:pPr>
              <w:pStyle w:val="BodyText"/>
              <w:widowControl w:val="0"/>
              <w:spacing w:before="120" w:line="276" w:lineRule="auto"/>
              <w:jc w:val="center"/>
              <w:rPr>
                <w:rFonts w:ascii="Verdana" w:hAnsi="Verdana"/>
                <w:b/>
                <w:color w:val="FFFFFF" w:themeColor="background1"/>
                <w:sz w:val="20"/>
                <w:szCs w:val="20"/>
                <w:lang w:eastAsia="en-US"/>
              </w:rPr>
            </w:pPr>
            <w:r w:rsidRPr="00B45B4F">
              <w:rPr>
                <w:rFonts w:ascii="Verdana" w:hAnsi="Verdana"/>
                <w:b/>
                <w:color w:val="FFFFFF" w:themeColor="background1"/>
                <w:sz w:val="20"/>
                <w:szCs w:val="20"/>
                <w:lang w:eastAsia="en-US"/>
              </w:rPr>
              <w:t>Допълване</w:t>
            </w:r>
          </w:p>
        </w:tc>
        <w:tc>
          <w:tcPr>
            <w:tcW w:w="3060" w:type="dxa"/>
            <w:shd w:val="clear" w:color="auto" w:fill="548DD4" w:themeFill="text2" w:themeFillTint="99"/>
          </w:tcPr>
          <w:p w:rsidR="00895B4E" w:rsidRPr="00B45B4F" w:rsidRDefault="00895B4E" w:rsidP="007070F0">
            <w:pPr>
              <w:pStyle w:val="BodyText"/>
              <w:widowControl w:val="0"/>
              <w:spacing w:before="120" w:line="276" w:lineRule="auto"/>
              <w:jc w:val="center"/>
              <w:rPr>
                <w:rFonts w:ascii="Verdana" w:hAnsi="Verdana"/>
                <w:b/>
                <w:color w:val="FFFFFF" w:themeColor="background1"/>
                <w:sz w:val="20"/>
                <w:szCs w:val="20"/>
                <w:lang w:eastAsia="en-US"/>
              </w:rPr>
            </w:pPr>
            <w:r w:rsidRPr="00B45B4F">
              <w:rPr>
                <w:rFonts w:ascii="Verdana" w:hAnsi="Verdana"/>
                <w:b/>
                <w:color w:val="FFFFFF" w:themeColor="background1"/>
                <w:sz w:val="20"/>
                <w:szCs w:val="20"/>
                <w:lang w:eastAsia="en-US"/>
              </w:rPr>
              <w:t>Разграничаване</w:t>
            </w:r>
          </w:p>
        </w:tc>
      </w:tr>
      <w:tr w:rsidR="00895B4E" w:rsidRPr="00B45B4F" w:rsidTr="00FB78CA">
        <w:tc>
          <w:tcPr>
            <w:tcW w:w="6030" w:type="dxa"/>
          </w:tcPr>
          <w:p w:rsidR="00C632BC" w:rsidRPr="00B45B4F" w:rsidRDefault="00895B4E" w:rsidP="001D6D36">
            <w:pPr>
              <w:pStyle w:val="BodyText"/>
              <w:widowControl w:val="0"/>
              <w:spacing w:line="276" w:lineRule="auto"/>
              <w:jc w:val="both"/>
              <w:rPr>
                <w:rFonts w:ascii="Verdana" w:hAnsi="Verdana"/>
                <w:sz w:val="20"/>
                <w:szCs w:val="20"/>
                <w:lang w:eastAsia="en-US"/>
              </w:rPr>
            </w:pPr>
            <w:r w:rsidRPr="00B45B4F">
              <w:rPr>
                <w:rFonts w:ascii="Verdana" w:hAnsi="Verdana"/>
                <w:sz w:val="20"/>
                <w:szCs w:val="20"/>
                <w:lang w:eastAsia="en-US"/>
              </w:rPr>
              <w:t xml:space="preserve">Очаква се подкрепата по оперативната програма да </w:t>
            </w:r>
            <w:r w:rsidR="001D6D36" w:rsidRPr="00B45B4F">
              <w:rPr>
                <w:rFonts w:ascii="Verdana" w:hAnsi="Verdana"/>
                <w:sz w:val="20"/>
                <w:szCs w:val="20"/>
                <w:lang w:eastAsia="en-US"/>
              </w:rPr>
              <w:t xml:space="preserve">укрепи капацитета на българските потенциални бенефициенти на „Еразъм за всички“ </w:t>
            </w:r>
            <w:r w:rsidR="00677838" w:rsidRPr="00B45B4F">
              <w:rPr>
                <w:rFonts w:ascii="Verdana" w:hAnsi="Verdana"/>
                <w:sz w:val="20"/>
                <w:szCs w:val="20"/>
                <w:lang w:eastAsia="en-US"/>
              </w:rPr>
              <w:t xml:space="preserve">за участие </w:t>
            </w:r>
            <w:r w:rsidR="001D6D36" w:rsidRPr="00B45B4F">
              <w:rPr>
                <w:rFonts w:ascii="Verdana" w:hAnsi="Verdana"/>
                <w:sz w:val="20"/>
                <w:szCs w:val="20"/>
                <w:lang w:eastAsia="en-US"/>
              </w:rPr>
              <w:t xml:space="preserve">в европейската програма, включително чрез инвестициите в инфраструктура. </w:t>
            </w:r>
          </w:p>
          <w:p w:rsidR="00895B4E" w:rsidRPr="00B45B4F" w:rsidRDefault="001D6D36" w:rsidP="00677838">
            <w:pPr>
              <w:pStyle w:val="BodyText"/>
              <w:widowControl w:val="0"/>
              <w:spacing w:line="276" w:lineRule="auto"/>
              <w:jc w:val="both"/>
              <w:rPr>
                <w:rFonts w:ascii="Verdana" w:hAnsi="Verdana"/>
                <w:sz w:val="20"/>
                <w:szCs w:val="20"/>
                <w:lang w:eastAsia="en-US"/>
              </w:rPr>
            </w:pPr>
            <w:r w:rsidRPr="00B45B4F">
              <w:rPr>
                <w:rFonts w:ascii="Verdana" w:hAnsi="Verdana"/>
                <w:sz w:val="20"/>
                <w:szCs w:val="20"/>
                <w:lang w:eastAsia="en-US"/>
              </w:rPr>
              <w:t>Посочено е, че</w:t>
            </w:r>
            <w:r w:rsidR="002D4C3A">
              <w:rPr>
                <w:rFonts w:ascii="Verdana" w:hAnsi="Verdana"/>
                <w:sz w:val="20"/>
                <w:szCs w:val="20"/>
                <w:lang w:eastAsia="en-US"/>
              </w:rPr>
              <w:t xml:space="preserve"> </w:t>
            </w:r>
            <w:r w:rsidR="00677838" w:rsidRPr="00B45B4F">
              <w:rPr>
                <w:rFonts w:ascii="Verdana" w:hAnsi="Verdana"/>
                <w:i/>
                <w:sz w:val="20"/>
                <w:szCs w:val="20"/>
                <w:lang w:eastAsia="en-US"/>
              </w:rPr>
              <w:t>„</w:t>
            </w:r>
            <w:r w:rsidRPr="00B45B4F">
              <w:rPr>
                <w:rFonts w:ascii="Verdana" w:hAnsi="Verdana"/>
                <w:i/>
                <w:sz w:val="20"/>
                <w:szCs w:val="20"/>
                <w:lang w:eastAsia="en-US"/>
              </w:rPr>
              <w:t xml:space="preserve">добри възможности за </w:t>
            </w:r>
            <w:proofErr w:type="spellStart"/>
            <w:r w:rsidRPr="00B45B4F">
              <w:rPr>
                <w:rFonts w:ascii="Verdana" w:hAnsi="Verdana"/>
                <w:i/>
                <w:sz w:val="20"/>
                <w:szCs w:val="20"/>
                <w:lang w:eastAsia="en-US"/>
              </w:rPr>
              <w:t>допълняемост</w:t>
            </w:r>
            <w:proofErr w:type="spellEnd"/>
            <w:r w:rsidRPr="00B45B4F">
              <w:rPr>
                <w:rFonts w:ascii="Verdana" w:hAnsi="Verdana"/>
                <w:i/>
                <w:sz w:val="20"/>
                <w:szCs w:val="20"/>
                <w:lang w:eastAsia="en-US"/>
              </w:rPr>
              <w:t xml:space="preserve"> могат да се очакват и по линия на сътрудничеството за иновации и добри практики, както и по линия на подкрепата за реформиране на политиката в сферите на образованието, обучението и младежта</w:t>
            </w:r>
            <w:r w:rsidR="00677838" w:rsidRPr="00B45B4F">
              <w:rPr>
                <w:rFonts w:ascii="Verdana" w:hAnsi="Verdana"/>
                <w:i/>
                <w:sz w:val="20"/>
                <w:szCs w:val="20"/>
                <w:lang w:eastAsia="en-US"/>
              </w:rPr>
              <w:t>“</w:t>
            </w:r>
            <w:r w:rsidRPr="00B45B4F">
              <w:rPr>
                <w:rFonts w:ascii="Verdana" w:hAnsi="Verdana"/>
                <w:i/>
                <w:sz w:val="20"/>
                <w:szCs w:val="20"/>
                <w:lang w:eastAsia="en-US"/>
              </w:rPr>
              <w:t>.</w:t>
            </w:r>
          </w:p>
        </w:tc>
        <w:tc>
          <w:tcPr>
            <w:tcW w:w="3060" w:type="dxa"/>
          </w:tcPr>
          <w:p w:rsidR="00895B4E" w:rsidRPr="00B45B4F" w:rsidRDefault="001D6D36" w:rsidP="00C632BC">
            <w:pPr>
              <w:pStyle w:val="BodyText"/>
              <w:widowControl w:val="0"/>
              <w:spacing w:line="276" w:lineRule="auto"/>
              <w:jc w:val="both"/>
              <w:rPr>
                <w:rFonts w:ascii="Verdana" w:hAnsi="Verdana"/>
                <w:sz w:val="20"/>
                <w:szCs w:val="20"/>
                <w:lang w:eastAsia="en-US"/>
              </w:rPr>
            </w:pPr>
            <w:r w:rsidRPr="00B45B4F">
              <w:rPr>
                <w:rFonts w:ascii="Verdana" w:hAnsi="Verdana"/>
                <w:sz w:val="20"/>
                <w:szCs w:val="20"/>
                <w:lang w:eastAsia="en-US"/>
              </w:rPr>
              <w:t>И двете програми подкрепят мобилността и поради това е посочено, че е необходимо разграничаване на ниво проект.</w:t>
            </w:r>
            <w:r w:rsidR="00C632BC" w:rsidRPr="00B45B4F">
              <w:rPr>
                <w:rFonts w:ascii="Verdana" w:hAnsi="Verdana"/>
                <w:sz w:val="20"/>
                <w:szCs w:val="20"/>
                <w:lang w:eastAsia="en-US"/>
              </w:rPr>
              <w:t xml:space="preserve"> Очаква се оперативната програма да допълва финансирането по </w:t>
            </w:r>
            <w:r w:rsidR="00EF031E" w:rsidRPr="00B45B4F">
              <w:rPr>
                <w:rFonts w:ascii="Verdana" w:hAnsi="Verdana"/>
                <w:sz w:val="20"/>
                <w:szCs w:val="20"/>
                <w:lang w:eastAsia="en-US"/>
              </w:rPr>
              <w:t xml:space="preserve">програма </w:t>
            </w:r>
            <w:r w:rsidR="00C632BC" w:rsidRPr="00B45B4F">
              <w:rPr>
                <w:rFonts w:ascii="Verdana" w:hAnsi="Verdana"/>
                <w:sz w:val="20"/>
                <w:szCs w:val="20"/>
                <w:lang w:eastAsia="en-US"/>
              </w:rPr>
              <w:t>„Еразъм за всички“.</w:t>
            </w:r>
          </w:p>
        </w:tc>
      </w:tr>
    </w:tbl>
    <w:p w:rsidR="00CC0CBA" w:rsidRPr="00B45B4F" w:rsidRDefault="00CC0CBA" w:rsidP="00DF1209">
      <w:pPr>
        <w:pStyle w:val="BodyText"/>
        <w:widowControl w:val="0"/>
        <w:spacing w:line="276" w:lineRule="auto"/>
        <w:jc w:val="both"/>
        <w:rPr>
          <w:rFonts w:ascii="Verdana" w:hAnsi="Verdana"/>
          <w:sz w:val="20"/>
          <w:szCs w:val="20"/>
          <w:lang w:eastAsia="en-US"/>
        </w:rPr>
      </w:pPr>
    </w:p>
    <w:tbl>
      <w:tblPr>
        <w:tblW w:w="0" w:type="auto"/>
        <w:tblInd w:w="108" w:type="dxa"/>
        <w:tblBorders>
          <w:top w:val="single" w:sz="4" w:space="0" w:color="auto"/>
          <w:bottom w:val="single" w:sz="4" w:space="0" w:color="auto"/>
        </w:tblBorders>
        <w:tblLook w:val="04A0" w:firstRow="1" w:lastRow="0" w:firstColumn="1" w:lastColumn="0" w:noHBand="0" w:noVBand="1"/>
      </w:tblPr>
      <w:tblGrid>
        <w:gridCol w:w="630"/>
        <w:gridCol w:w="8460"/>
      </w:tblGrid>
      <w:tr w:rsidR="00560E14" w:rsidRPr="009872C0" w:rsidTr="001B6329">
        <w:tc>
          <w:tcPr>
            <w:tcW w:w="630" w:type="dxa"/>
            <w:vAlign w:val="center"/>
          </w:tcPr>
          <w:p w:rsidR="00DF1209" w:rsidRPr="009872C0" w:rsidRDefault="00DF1209" w:rsidP="0015412F">
            <w:pPr>
              <w:pStyle w:val="BodyText"/>
              <w:spacing w:after="0" w:line="276" w:lineRule="auto"/>
              <w:jc w:val="center"/>
              <w:rPr>
                <w:rFonts w:ascii="Verdana" w:hAnsi="Verdana"/>
                <w:color w:val="548DD4"/>
                <w:sz w:val="36"/>
                <w:szCs w:val="36"/>
              </w:rPr>
            </w:pPr>
            <w:r w:rsidRPr="009872C0">
              <w:rPr>
                <w:rFonts w:ascii="Verdana" w:hAnsi="Verdana"/>
                <w:color w:val="548DD4"/>
                <w:sz w:val="36"/>
                <w:szCs w:val="36"/>
              </w:rPr>
              <w:t>?</w:t>
            </w:r>
          </w:p>
        </w:tc>
        <w:tc>
          <w:tcPr>
            <w:tcW w:w="8460" w:type="dxa"/>
            <w:shd w:val="clear" w:color="auto" w:fill="B8CCE4"/>
          </w:tcPr>
          <w:p w:rsidR="00DF1209" w:rsidRPr="009872C0" w:rsidRDefault="00DF1209" w:rsidP="006E4A77">
            <w:pPr>
              <w:suppressAutoHyphens/>
              <w:spacing w:before="120" w:after="120" w:line="240" w:lineRule="auto"/>
              <w:ind w:left="115"/>
              <w:jc w:val="both"/>
              <w:rPr>
                <w:rFonts w:ascii="Verdana" w:hAnsi="Verdana" w:cs="TimesNewRomanPSMT"/>
                <w:sz w:val="20"/>
                <w:szCs w:val="20"/>
                <w:lang w:val="bg-BG" w:eastAsia="bg-BG"/>
              </w:rPr>
            </w:pPr>
            <w:r w:rsidRPr="009872C0">
              <w:rPr>
                <w:rFonts w:ascii="Verdana" w:hAnsi="Verdana"/>
                <w:sz w:val="20"/>
                <w:szCs w:val="20"/>
                <w:lang w:val="bg-BG"/>
              </w:rPr>
              <w:t xml:space="preserve">Съгласуваност с Националната стратегическа рамка - </w:t>
            </w:r>
            <w:r w:rsidRPr="009872C0">
              <w:rPr>
                <w:rFonts w:ascii="Verdana" w:hAnsi="Verdana" w:cs="TimesNewRomanPSMT"/>
                <w:sz w:val="20"/>
                <w:szCs w:val="20"/>
                <w:lang w:val="bg-BG" w:eastAsia="bg-BG"/>
              </w:rPr>
              <w:t>Национална програма за развитие България 2020, Националната програма за реформи</w:t>
            </w:r>
          </w:p>
        </w:tc>
      </w:tr>
    </w:tbl>
    <w:p w:rsidR="00DF1209" w:rsidRPr="00B45B4F" w:rsidRDefault="0096127A" w:rsidP="00DF1209">
      <w:pPr>
        <w:keepNext/>
        <w:pBdr>
          <w:bottom w:val="single" w:sz="4" w:space="1" w:color="0070C0"/>
        </w:pBdr>
        <w:spacing w:before="360" w:after="120"/>
        <w:jc w:val="both"/>
        <w:rPr>
          <w:rFonts w:ascii="Verdana" w:hAnsi="Verdana"/>
          <w:color w:val="0070C0"/>
          <w:sz w:val="20"/>
          <w:szCs w:val="20"/>
          <w:lang w:val="bg-BG" w:eastAsia="cs-CZ"/>
        </w:rPr>
      </w:pPr>
      <w:r w:rsidRPr="00B45B4F">
        <w:rPr>
          <w:rFonts w:ascii="Verdana" w:hAnsi="Verdana"/>
          <w:color w:val="0070C0"/>
          <w:sz w:val="20"/>
          <w:szCs w:val="20"/>
          <w:lang w:val="bg-BG" w:eastAsia="cs-CZ"/>
        </w:rPr>
        <w:t>Национална програма за развитие</w:t>
      </w:r>
    </w:p>
    <w:p w:rsidR="00DF1209" w:rsidRPr="00B45B4F" w:rsidRDefault="002963D3" w:rsidP="003530F5">
      <w:pPr>
        <w:pStyle w:val="BodyText"/>
        <w:widowControl w:val="0"/>
        <w:spacing w:line="276" w:lineRule="auto"/>
        <w:jc w:val="both"/>
        <w:rPr>
          <w:rFonts w:ascii="Verdana" w:hAnsi="Verdana"/>
          <w:sz w:val="20"/>
          <w:szCs w:val="20"/>
          <w:lang w:eastAsia="en-US"/>
        </w:rPr>
      </w:pPr>
      <w:r w:rsidRPr="00B45B4F">
        <w:rPr>
          <w:rFonts w:ascii="Verdana" w:hAnsi="Verdana"/>
          <w:sz w:val="20"/>
          <w:szCs w:val="20"/>
          <w:lang w:eastAsia="en-US"/>
        </w:rPr>
        <w:t xml:space="preserve">ОПНОИР </w:t>
      </w:r>
      <w:r w:rsidR="005106CE" w:rsidRPr="00B45B4F">
        <w:rPr>
          <w:rFonts w:ascii="Verdana" w:hAnsi="Verdana"/>
          <w:sz w:val="20"/>
          <w:szCs w:val="20"/>
          <w:lang w:eastAsia="en-US"/>
        </w:rPr>
        <w:t>2014–2020</w:t>
      </w:r>
      <w:r w:rsidRPr="00B45B4F">
        <w:rPr>
          <w:rFonts w:ascii="Verdana" w:hAnsi="Verdana"/>
          <w:sz w:val="20"/>
          <w:szCs w:val="20"/>
          <w:lang w:eastAsia="en-US"/>
        </w:rPr>
        <w:t xml:space="preserve"> адресира повечето от мерки</w:t>
      </w:r>
      <w:r w:rsidR="00EF031E" w:rsidRPr="00B45B4F">
        <w:rPr>
          <w:rFonts w:ascii="Verdana" w:hAnsi="Verdana"/>
          <w:sz w:val="20"/>
          <w:szCs w:val="20"/>
          <w:lang w:eastAsia="en-US"/>
        </w:rPr>
        <w:t>те</w:t>
      </w:r>
      <w:r w:rsidRPr="00B45B4F">
        <w:rPr>
          <w:rFonts w:ascii="Verdana" w:hAnsi="Verdana"/>
          <w:sz w:val="20"/>
          <w:szCs w:val="20"/>
          <w:lang w:eastAsia="en-US"/>
        </w:rPr>
        <w:t xml:space="preserve"> на Приоритет 1.</w:t>
      </w:r>
      <w:r w:rsidRPr="00B45B4F">
        <w:rPr>
          <w:rFonts w:ascii="Verdana" w:hAnsi="Verdana"/>
          <w:i/>
          <w:sz w:val="20"/>
          <w:szCs w:val="20"/>
          <w:lang w:eastAsia="en-US"/>
        </w:rPr>
        <w:t xml:space="preserve">Подобряване на достъпа и повишаване на качеството на образованието и обучението и качествените </w:t>
      </w:r>
      <w:r w:rsidRPr="00B45B4F">
        <w:rPr>
          <w:rFonts w:ascii="Verdana" w:hAnsi="Verdana"/>
          <w:i/>
          <w:sz w:val="20"/>
          <w:szCs w:val="20"/>
          <w:lang w:eastAsia="en-US"/>
        </w:rPr>
        <w:lastRenderedPageBreak/>
        <w:t>характеристики на работната сила</w:t>
      </w:r>
      <w:r w:rsidRPr="00B45B4F">
        <w:rPr>
          <w:rFonts w:ascii="Verdana" w:hAnsi="Verdana"/>
          <w:sz w:val="20"/>
          <w:szCs w:val="20"/>
          <w:lang w:eastAsia="en-US"/>
        </w:rPr>
        <w:t xml:space="preserve"> на Националната програма за развитие, а именно: реформа в образованието, осъвременяване на учебните програми, развитие на система за кариерно ориентиране, подобряване квалификацията на учителите, </w:t>
      </w:r>
      <w:r w:rsidR="00877FF7" w:rsidRPr="00B45B4F">
        <w:rPr>
          <w:rFonts w:ascii="Verdana" w:hAnsi="Verdana"/>
          <w:sz w:val="20"/>
          <w:szCs w:val="20"/>
          <w:lang w:eastAsia="en-US"/>
        </w:rPr>
        <w:t xml:space="preserve">внедряване на ИКТ в образованието, </w:t>
      </w:r>
      <w:r w:rsidRPr="00B45B4F">
        <w:rPr>
          <w:rFonts w:ascii="Verdana" w:hAnsi="Verdana"/>
          <w:sz w:val="20"/>
          <w:szCs w:val="20"/>
          <w:lang w:eastAsia="en-US"/>
        </w:rPr>
        <w:t>превенция на ранното отпадане от училище</w:t>
      </w:r>
      <w:r w:rsidR="00877FF7" w:rsidRPr="00B45B4F">
        <w:rPr>
          <w:rFonts w:ascii="Verdana" w:hAnsi="Verdana"/>
          <w:sz w:val="20"/>
          <w:szCs w:val="20"/>
          <w:lang w:eastAsia="en-US"/>
        </w:rPr>
        <w:t>, подобряване на модела за акредитация на висшите училища и научни организации, създаване на центрове за върхови постижения</w:t>
      </w:r>
      <w:r w:rsidRPr="00B45B4F">
        <w:rPr>
          <w:rFonts w:ascii="Verdana" w:hAnsi="Verdana"/>
          <w:sz w:val="20"/>
          <w:szCs w:val="20"/>
          <w:lang w:eastAsia="en-US"/>
        </w:rPr>
        <w:t>.</w:t>
      </w:r>
    </w:p>
    <w:p w:rsidR="00C9476D" w:rsidRPr="00B45B4F" w:rsidRDefault="00C9476D" w:rsidP="003530F5">
      <w:pPr>
        <w:pStyle w:val="BodyText"/>
        <w:widowControl w:val="0"/>
        <w:spacing w:line="276" w:lineRule="auto"/>
        <w:jc w:val="both"/>
        <w:rPr>
          <w:rFonts w:ascii="Verdana" w:hAnsi="Verdana"/>
          <w:sz w:val="20"/>
          <w:szCs w:val="20"/>
          <w:lang w:eastAsia="en-US"/>
        </w:rPr>
      </w:pPr>
      <w:r w:rsidRPr="00B45B4F">
        <w:rPr>
          <w:rFonts w:ascii="Verdana" w:hAnsi="Verdana"/>
          <w:sz w:val="20"/>
          <w:szCs w:val="20"/>
          <w:lang w:eastAsia="en-US"/>
        </w:rPr>
        <w:t>Програмата инкорпорира и някои от мерките</w:t>
      </w:r>
      <w:r w:rsidR="002D4C3A">
        <w:rPr>
          <w:rFonts w:ascii="Verdana" w:hAnsi="Verdana"/>
          <w:sz w:val="20"/>
          <w:szCs w:val="20"/>
          <w:lang w:eastAsia="en-US"/>
        </w:rPr>
        <w:t xml:space="preserve"> </w:t>
      </w:r>
      <w:r w:rsidR="00B21E0B">
        <w:rPr>
          <w:rFonts w:ascii="Verdana" w:hAnsi="Verdana"/>
          <w:sz w:val="20"/>
          <w:szCs w:val="20"/>
          <w:lang w:eastAsia="en-US"/>
        </w:rPr>
        <w:t>,</w:t>
      </w:r>
      <w:r w:rsidR="00EF031E" w:rsidRPr="00B45B4F">
        <w:rPr>
          <w:rFonts w:ascii="Verdana" w:hAnsi="Verdana"/>
          <w:sz w:val="20"/>
          <w:szCs w:val="20"/>
          <w:lang w:eastAsia="en-US"/>
        </w:rPr>
        <w:t xml:space="preserve">залегнали </w:t>
      </w:r>
      <w:r w:rsidRPr="00B45B4F">
        <w:rPr>
          <w:rFonts w:ascii="Verdana" w:hAnsi="Verdana"/>
          <w:sz w:val="20"/>
          <w:szCs w:val="20"/>
          <w:lang w:eastAsia="en-US"/>
        </w:rPr>
        <w:t xml:space="preserve">в Приоритет 5. </w:t>
      </w:r>
      <w:r w:rsidRPr="00B45B4F">
        <w:rPr>
          <w:rFonts w:ascii="Verdana" w:hAnsi="Verdana"/>
          <w:i/>
          <w:sz w:val="20"/>
          <w:szCs w:val="20"/>
          <w:lang w:eastAsia="en-US"/>
        </w:rPr>
        <w:t xml:space="preserve">Подкрепа на иновационните и инвестиционни дейности за повишаване на конкурентоспособността на икономиката </w:t>
      </w:r>
      <w:r w:rsidRPr="00B45B4F">
        <w:rPr>
          <w:rFonts w:ascii="Verdana" w:hAnsi="Verdana"/>
          <w:sz w:val="20"/>
          <w:szCs w:val="20"/>
          <w:lang w:eastAsia="en-US"/>
        </w:rPr>
        <w:t>като: подкрепа за връзките „наука-образование-бизнес“, подкрепа за докторанти и специалисти при работа с бизнеса.</w:t>
      </w:r>
    </w:p>
    <w:p w:rsidR="00DF1209" w:rsidRPr="00B45B4F" w:rsidRDefault="00DF1209" w:rsidP="00DF1209">
      <w:pPr>
        <w:keepNext/>
        <w:pBdr>
          <w:bottom w:val="single" w:sz="4" w:space="1" w:color="0070C0"/>
        </w:pBdr>
        <w:spacing w:before="360" w:after="120"/>
        <w:jc w:val="both"/>
        <w:rPr>
          <w:rFonts w:ascii="Verdana" w:hAnsi="Verdana"/>
          <w:color w:val="0070C0"/>
          <w:sz w:val="20"/>
          <w:szCs w:val="20"/>
          <w:lang w:val="bg-BG" w:eastAsia="cs-CZ"/>
        </w:rPr>
      </w:pPr>
      <w:r w:rsidRPr="00B45B4F">
        <w:rPr>
          <w:rFonts w:ascii="Verdana" w:hAnsi="Verdana"/>
          <w:color w:val="0070C0"/>
          <w:sz w:val="20"/>
          <w:szCs w:val="20"/>
          <w:lang w:val="bg-BG" w:eastAsia="cs-CZ"/>
        </w:rPr>
        <w:t xml:space="preserve">Национална програма за реформи (2012-2020 г., </w:t>
      </w:r>
      <w:proofErr w:type="spellStart"/>
      <w:r w:rsidRPr="00B45B4F">
        <w:rPr>
          <w:rFonts w:ascii="Verdana" w:hAnsi="Verdana"/>
          <w:color w:val="0070C0"/>
          <w:sz w:val="20"/>
          <w:szCs w:val="20"/>
          <w:lang w:val="bg-BG" w:eastAsia="cs-CZ"/>
        </w:rPr>
        <w:t>Конвергентната</w:t>
      </w:r>
      <w:proofErr w:type="spellEnd"/>
      <w:r w:rsidRPr="00B45B4F">
        <w:rPr>
          <w:rFonts w:ascii="Verdana" w:hAnsi="Verdana"/>
          <w:color w:val="0070C0"/>
          <w:sz w:val="20"/>
          <w:szCs w:val="20"/>
          <w:lang w:val="bg-BG" w:eastAsia="cs-CZ"/>
        </w:rPr>
        <w:t xml:space="preserve"> програма на Република България и препоръки в заключенията на доклада на Европейската комисия за Годишния преглед на растежа (201</w:t>
      </w:r>
      <w:r w:rsidR="000F7884" w:rsidRPr="00B45B4F">
        <w:rPr>
          <w:rFonts w:ascii="Verdana" w:hAnsi="Verdana"/>
          <w:color w:val="0070C0"/>
          <w:sz w:val="20"/>
          <w:szCs w:val="20"/>
          <w:lang w:val="bg-BG" w:eastAsia="cs-CZ"/>
        </w:rPr>
        <w:t>3</w:t>
      </w:r>
      <w:r w:rsidRPr="00B45B4F">
        <w:rPr>
          <w:rFonts w:ascii="Verdana" w:hAnsi="Verdana"/>
          <w:color w:val="0070C0"/>
          <w:sz w:val="20"/>
          <w:szCs w:val="20"/>
          <w:lang w:val="bg-BG" w:eastAsia="cs-CZ"/>
        </w:rPr>
        <w:t xml:space="preserve"> г.</w:t>
      </w:r>
      <w:r w:rsidR="00762D6C">
        <w:rPr>
          <w:rFonts w:ascii="Verdana" w:hAnsi="Verdana"/>
          <w:color w:val="0070C0"/>
          <w:sz w:val="20"/>
          <w:szCs w:val="20"/>
          <w:lang w:val="bg-BG" w:eastAsia="cs-CZ"/>
        </w:rPr>
        <w:t xml:space="preserve"> и 2014</w:t>
      </w:r>
      <w:r w:rsidRPr="00B45B4F">
        <w:rPr>
          <w:rFonts w:ascii="Verdana" w:hAnsi="Verdana"/>
          <w:color w:val="0070C0"/>
          <w:sz w:val="20"/>
          <w:szCs w:val="20"/>
          <w:lang w:val="bg-BG" w:eastAsia="cs-CZ"/>
        </w:rPr>
        <w:t>)</w:t>
      </w:r>
    </w:p>
    <w:p w:rsidR="00DF1209" w:rsidRPr="00B45B4F" w:rsidRDefault="000F7884" w:rsidP="001B6329">
      <w:pPr>
        <w:pStyle w:val="BodyText"/>
        <w:widowControl w:val="0"/>
        <w:spacing w:line="276" w:lineRule="auto"/>
        <w:jc w:val="both"/>
        <w:rPr>
          <w:rFonts w:ascii="Verdana" w:hAnsi="Verdana"/>
          <w:sz w:val="20"/>
          <w:szCs w:val="20"/>
          <w:lang w:eastAsia="en-US"/>
        </w:rPr>
      </w:pPr>
      <w:r w:rsidRPr="00B45B4F">
        <w:rPr>
          <w:rFonts w:ascii="Verdana" w:hAnsi="Verdana"/>
          <w:sz w:val="20"/>
          <w:szCs w:val="20"/>
          <w:lang w:eastAsia="en-US"/>
        </w:rPr>
        <w:t xml:space="preserve">В актуализацията на Националната програма за реформи от 2013 се посочва, че България запазва националните си цели във връзка с целите на стратегията </w:t>
      </w:r>
      <w:r w:rsidR="005106CE" w:rsidRPr="00B45B4F">
        <w:rPr>
          <w:rFonts w:ascii="Verdana" w:hAnsi="Verdana"/>
          <w:sz w:val="20"/>
          <w:szCs w:val="20"/>
          <w:lang w:eastAsia="en-US"/>
        </w:rPr>
        <w:t>„</w:t>
      </w:r>
      <w:r w:rsidRPr="00B45B4F">
        <w:rPr>
          <w:rFonts w:ascii="Verdana" w:hAnsi="Verdana"/>
          <w:sz w:val="20"/>
          <w:szCs w:val="20"/>
          <w:lang w:eastAsia="en-US"/>
        </w:rPr>
        <w:t>Европа 2020</w:t>
      </w:r>
      <w:r w:rsidR="005106CE" w:rsidRPr="00B45B4F">
        <w:rPr>
          <w:rFonts w:ascii="Verdana" w:hAnsi="Verdana"/>
          <w:sz w:val="20"/>
          <w:szCs w:val="20"/>
          <w:lang w:eastAsia="en-US"/>
        </w:rPr>
        <w:t>“</w:t>
      </w:r>
      <w:r w:rsidRPr="00B45B4F">
        <w:rPr>
          <w:rFonts w:ascii="Verdana" w:hAnsi="Verdana"/>
          <w:sz w:val="20"/>
          <w:szCs w:val="20"/>
          <w:lang w:eastAsia="en-US"/>
        </w:rPr>
        <w:t xml:space="preserve">, като предвижда междинна оценка и евентуално преразглеждане на тези цели към средата на периода на стратегия </w:t>
      </w:r>
      <w:r w:rsidR="00E65D1D" w:rsidRPr="00B45B4F">
        <w:rPr>
          <w:rFonts w:ascii="Verdana" w:hAnsi="Verdana" w:cs="Arial"/>
          <w:sz w:val="20"/>
          <w:szCs w:val="20"/>
          <w:lang w:eastAsia="en-US"/>
        </w:rPr>
        <w:t>„</w:t>
      </w:r>
      <w:r w:rsidRPr="00B45B4F">
        <w:rPr>
          <w:rFonts w:ascii="Verdana" w:hAnsi="Verdana" w:cs="Arial"/>
          <w:sz w:val="20"/>
          <w:szCs w:val="20"/>
          <w:lang w:eastAsia="en-US"/>
        </w:rPr>
        <w:t>Европа 2020</w:t>
      </w:r>
      <w:r w:rsidR="00E65D1D" w:rsidRPr="00B45B4F">
        <w:rPr>
          <w:rFonts w:ascii="Verdana" w:hAnsi="Verdana" w:cs="Arial"/>
          <w:sz w:val="20"/>
          <w:szCs w:val="20"/>
          <w:lang w:eastAsia="en-US"/>
        </w:rPr>
        <w:t>”</w:t>
      </w:r>
      <w:r w:rsidRPr="00B45B4F">
        <w:rPr>
          <w:rFonts w:ascii="Verdana" w:hAnsi="Verdana"/>
          <w:sz w:val="20"/>
          <w:szCs w:val="20"/>
          <w:lang w:eastAsia="en-US"/>
        </w:rPr>
        <w:t xml:space="preserve">. </w:t>
      </w:r>
    </w:p>
    <w:p w:rsidR="007B32B2" w:rsidRPr="00B45B4F" w:rsidRDefault="007B32B2" w:rsidP="001B6329">
      <w:pPr>
        <w:pStyle w:val="BodyText"/>
        <w:widowControl w:val="0"/>
        <w:spacing w:line="276" w:lineRule="auto"/>
        <w:jc w:val="both"/>
        <w:rPr>
          <w:rFonts w:ascii="Verdana" w:hAnsi="Verdana"/>
          <w:sz w:val="20"/>
          <w:szCs w:val="20"/>
          <w:lang w:eastAsia="en-US"/>
        </w:rPr>
      </w:pPr>
      <w:r w:rsidRPr="00B45B4F">
        <w:rPr>
          <w:rFonts w:ascii="Verdana" w:hAnsi="Verdana"/>
          <w:sz w:val="20"/>
          <w:szCs w:val="20"/>
          <w:lang w:eastAsia="en-US"/>
        </w:rPr>
        <w:t>По отношение на националната цел за НИРД</w:t>
      </w:r>
      <w:r w:rsidR="003E3235" w:rsidRPr="00B45B4F">
        <w:rPr>
          <w:rFonts w:ascii="Verdana" w:hAnsi="Verdana"/>
          <w:sz w:val="20"/>
          <w:szCs w:val="20"/>
          <w:lang w:eastAsia="en-US"/>
        </w:rPr>
        <w:t xml:space="preserve"> към 2013 г.</w:t>
      </w:r>
      <w:r w:rsidR="00953567" w:rsidRPr="00B45B4F">
        <w:rPr>
          <w:rFonts w:ascii="Verdana" w:hAnsi="Verdana"/>
          <w:sz w:val="20"/>
          <w:szCs w:val="20"/>
          <w:lang w:eastAsia="en-US"/>
        </w:rPr>
        <w:t xml:space="preserve"> е посочено, че</w:t>
      </w:r>
      <w:r w:rsidRPr="00B45B4F">
        <w:rPr>
          <w:rFonts w:ascii="Verdana" w:hAnsi="Verdana"/>
          <w:sz w:val="20"/>
          <w:szCs w:val="20"/>
          <w:lang w:eastAsia="en-US"/>
        </w:rPr>
        <w:t xml:space="preserve"> не се наблюдава повишаване на финансирането за НИРД. </w:t>
      </w:r>
      <w:r w:rsidR="00E65D1D" w:rsidRPr="00B45B4F">
        <w:rPr>
          <w:rFonts w:ascii="Verdana" w:hAnsi="Verdana"/>
          <w:sz w:val="20"/>
          <w:szCs w:val="20"/>
          <w:lang w:eastAsia="en-US"/>
        </w:rPr>
        <w:t>Същевременно обаче е отчетено, че са п</w:t>
      </w:r>
      <w:r w:rsidRPr="00B45B4F">
        <w:rPr>
          <w:rFonts w:ascii="Verdana" w:hAnsi="Verdana"/>
          <w:sz w:val="20"/>
          <w:szCs w:val="20"/>
          <w:lang w:eastAsia="en-US"/>
        </w:rPr>
        <w:t xml:space="preserve">редприети действия за подобряване на средата за осъществяване на иновационна дейност </w:t>
      </w:r>
      <w:r w:rsidR="00E65D1D" w:rsidRPr="00B45B4F">
        <w:rPr>
          <w:rFonts w:ascii="Verdana" w:hAnsi="Verdana"/>
          <w:sz w:val="20"/>
          <w:szCs w:val="20"/>
          <w:lang w:eastAsia="en-US"/>
        </w:rPr>
        <w:t xml:space="preserve">чрез </w:t>
      </w:r>
      <w:r w:rsidRPr="00B45B4F">
        <w:rPr>
          <w:rFonts w:ascii="Verdana" w:hAnsi="Verdana"/>
          <w:sz w:val="20"/>
          <w:szCs w:val="20"/>
          <w:lang w:eastAsia="en-US"/>
        </w:rPr>
        <w:t>проект</w:t>
      </w:r>
      <w:r w:rsidR="00E65D1D" w:rsidRPr="00B45B4F">
        <w:rPr>
          <w:rFonts w:ascii="Verdana" w:hAnsi="Verdana"/>
          <w:sz w:val="20"/>
          <w:szCs w:val="20"/>
          <w:lang w:eastAsia="en-US"/>
        </w:rPr>
        <w:t>а</w:t>
      </w:r>
      <w:r w:rsidRPr="00B45B4F">
        <w:rPr>
          <w:rFonts w:ascii="Verdana" w:hAnsi="Verdana"/>
          <w:sz w:val="20"/>
          <w:szCs w:val="20"/>
          <w:lang w:eastAsia="en-US"/>
        </w:rPr>
        <w:t xml:space="preserve"> на Закон за иновациите и проект</w:t>
      </w:r>
      <w:r w:rsidR="00E65D1D" w:rsidRPr="00B45B4F">
        <w:rPr>
          <w:rFonts w:ascii="Verdana" w:hAnsi="Verdana"/>
          <w:sz w:val="20"/>
          <w:szCs w:val="20"/>
          <w:lang w:eastAsia="en-US"/>
        </w:rPr>
        <w:t>а</w:t>
      </w:r>
      <w:r w:rsidRPr="00B45B4F">
        <w:rPr>
          <w:rFonts w:ascii="Verdana" w:hAnsi="Verdana"/>
          <w:sz w:val="20"/>
          <w:szCs w:val="20"/>
          <w:lang w:eastAsia="en-US"/>
        </w:rPr>
        <w:t xml:space="preserve"> на Иновационна стратегия за интелигентна специализация. </w:t>
      </w:r>
    </w:p>
    <w:p w:rsidR="003530F5" w:rsidRPr="00B45B4F" w:rsidRDefault="003E3235" w:rsidP="001B6329">
      <w:pPr>
        <w:pStyle w:val="BodyText"/>
        <w:widowControl w:val="0"/>
        <w:spacing w:line="276" w:lineRule="auto"/>
        <w:jc w:val="both"/>
        <w:rPr>
          <w:rFonts w:ascii="Verdana" w:hAnsi="Verdana"/>
          <w:sz w:val="20"/>
          <w:szCs w:val="20"/>
          <w:lang w:eastAsia="en-US"/>
        </w:rPr>
      </w:pPr>
      <w:r w:rsidRPr="00B45B4F">
        <w:rPr>
          <w:rFonts w:ascii="Verdana" w:hAnsi="Verdana"/>
          <w:sz w:val="20"/>
          <w:szCs w:val="20"/>
          <w:lang w:eastAsia="en-US"/>
        </w:rPr>
        <w:t xml:space="preserve">По отношение на целта, свързана с образование, </w:t>
      </w:r>
      <w:r w:rsidR="00953567" w:rsidRPr="00B45B4F">
        <w:rPr>
          <w:rFonts w:ascii="Verdana" w:hAnsi="Verdana"/>
          <w:sz w:val="20"/>
          <w:szCs w:val="20"/>
          <w:lang w:eastAsia="en-US"/>
        </w:rPr>
        <w:t xml:space="preserve">е посочено, че България </w:t>
      </w:r>
      <w:r w:rsidR="003530F5" w:rsidRPr="00B45B4F">
        <w:rPr>
          <w:rFonts w:ascii="Verdana" w:hAnsi="Verdana"/>
          <w:sz w:val="20"/>
          <w:szCs w:val="20"/>
          <w:lang w:eastAsia="en-US"/>
        </w:rPr>
        <w:t xml:space="preserve">провежда мащабна реформа в училищното и предучилищното образование, която има за цел да модернизира модела на предоставяне на образователни услуги за населението и съответно да подобри нивото на образованост. Все още се очаква приемането на Закона за училищното и предучилищно образование, който да даде правна рамка за реформата, </w:t>
      </w:r>
      <w:r w:rsidR="00E65FBF" w:rsidRPr="00B45B4F">
        <w:rPr>
          <w:rFonts w:ascii="Verdana" w:hAnsi="Verdana"/>
          <w:sz w:val="20"/>
          <w:szCs w:val="20"/>
          <w:lang w:eastAsia="en-US"/>
        </w:rPr>
        <w:t>последван</w:t>
      </w:r>
      <w:r w:rsidR="00A97AEC">
        <w:rPr>
          <w:rFonts w:ascii="Verdana" w:hAnsi="Verdana"/>
          <w:sz w:val="20"/>
          <w:szCs w:val="20"/>
          <w:lang w:eastAsia="en-US"/>
        </w:rPr>
        <w:t>а</w:t>
      </w:r>
      <w:r w:rsidR="00E65FBF" w:rsidRPr="00B45B4F">
        <w:rPr>
          <w:rFonts w:ascii="Verdana" w:hAnsi="Verdana"/>
          <w:sz w:val="20"/>
          <w:szCs w:val="20"/>
          <w:lang w:eastAsia="en-US"/>
        </w:rPr>
        <w:t xml:space="preserve"> от</w:t>
      </w:r>
      <w:r w:rsidR="003530F5" w:rsidRPr="00B45B4F">
        <w:rPr>
          <w:rFonts w:ascii="Verdana" w:hAnsi="Verdana"/>
          <w:sz w:val="20"/>
          <w:szCs w:val="20"/>
          <w:lang w:eastAsia="en-US"/>
        </w:rPr>
        <w:t xml:space="preserve"> измененията в Закона за Професионалното образование и обучение. Тече и процес на модернизиране на учебните планове и програми. В изпълнение са проекти за подобряване квалификацията на педагогическите специалисти. Мерки за осигуряване на равен достъп до образование за групите в неравностойно положение се подкрепят от държавния бюджет и включват предоставяне на безплатни учебници за ученици със специални образователни потребности, включване на деца от етническите малцинства в „приемни“ училища, осигуряване на безплатен превоз на ученици до 16 г.</w:t>
      </w:r>
    </w:p>
    <w:p w:rsidR="003E3235" w:rsidRPr="00B45B4F" w:rsidRDefault="003E3235" w:rsidP="001B6329">
      <w:pPr>
        <w:pStyle w:val="BodyText"/>
        <w:widowControl w:val="0"/>
        <w:spacing w:line="276" w:lineRule="auto"/>
        <w:jc w:val="both"/>
        <w:rPr>
          <w:rFonts w:ascii="Verdana" w:hAnsi="Verdana"/>
          <w:sz w:val="20"/>
          <w:szCs w:val="20"/>
          <w:lang w:eastAsia="en-US"/>
        </w:rPr>
      </w:pPr>
      <w:r w:rsidRPr="00B45B4F">
        <w:rPr>
          <w:rFonts w:ascii="Verdana" w:hAnsi="Verdana"/>
          <w:sz w:val="20"/>
          <w:szCs w:val="20"/>
          <w:lang w:eastAsia="en-US"/>
        </w:rPr>
        <w:t xml:space="preserve">В ПРЕПОРЪКА НА СЪВЕТА от 9 юли 2013 година относно Националната програма за реформи на България за 2013 г. и съдържаща становище на Съвета относно </w:t>
      </w:r>
      <w:proofErr w:type="spellStart"/>
      <w:r w:rsidRPr="00B45B4F">
        <w:rPr>
          <w:rFonts w:ascii="Verdana" w:hAnsi="Verdana"/>
          <w:sz w:val="20"/>
          <w:szCs w:val="20"/>
          <w:lang w:eastAsia="en-US"/>
        </w:rPr>
        <w:t>Конвергентната</w:t>
      </w:r>
      <w:proofErr w:type="spellEnd"/>
      <w:r w:rsidRPr="00B45B4F">
        <w:rPr>
          <w:rFonts w:ascii="Verdana" w:hAnsi="Verdana"/>
          <w:sz w:val="20"/>
          <w:szCs w:val="20"/>
          <w:lang w:eastAsia="en-US"/>
        </w:rPr>
        <w:t xml:space="preserve"> програма на България за периода 2012—2016 г. се посочва, че  е отбелязан „</w:t>
      </w:r>
      <w:r w:rsidRPr="00B45B4F">
        <w:rPr>
          <w:rFonts w:ascii="Verdana" w:hAnsi="Verdana"/>
          <w:i/>
          <w:sz w:val="20"/>
          <w:szCs w:val="20"/>
          <w:lang w:eastAsia="en-US"/>
        </w:rPr>
        <w:t xml:space="preserve">много ограничен напредък в реформата на висшето образование. Наличието на значителни различия между резултатите от висшето образование и търсенето на пазара на труда влошава структурната безработица и затруднява развитието на </w:t>
      </w:r>
      <w:proofErr w:type="spellStart"/>
      <w:r w:rsidRPr="00B45B4F">
        <w:rPr>
          <w:rFonts w:ascii="Verdana" w:hAnsi="Verdana"/>
          <w:i/>
          <w:sz w:val="20"/>
          <w:szCs w:val="20"/>
          <w:lang w:eastAsia="en-US"/>
        </w:rPr>
        <w:t>високостойностни</w:t>
      </w:r>
      <w:proofErr w:type="spellEnd"/>
      <w:r w:rsidRPr="00B45B4F">
        <w:rPr>
          <w:rFonts w:ascii="Verdana" w:hAnsi="Verdana"/>
          <w:i/>
          <w:sz w:val="20"/>
          <w:szCs w:val="20"/>
          <w:lang w:eastAsia="en-US"/>
        </w:rPr>
        <w:t xml:space="preserve"> иновационни сектори. Слабите резултати на висшето образование се обясняват с липсата на стимули за висшите училища и със </w:t>
      </w:r>
      <w:r w:rsidRPr="00B45B4F">
        <w:rPr>
          <w:rFonts w:ascii="Verdana" w:hAnsi="Verdana"/>
          <w:i/>
          <w:sz w:val="20"/>
          <w:szCs w:val="20"/>
          <w:lang w:eastAsia="en-US"/>
        </w:rPr>
        <w:lastRenderedPageBreak/>
        <w:t>стандартите на отделните научни изследователи и преподаватели“</w:t>
      </w:r>
      <w:r w:rsidRPr="00B45B4F">
        <w:rPr>
          <w:rFonts w:ascii="Verdana" w:hAnsi="Verdana"/>
          <w:sz w:val="20"/>
          <w:szCs w:val="20"/>
          <w:lang w:eastAsia="en-US"/>
        </w:rPr>
        <w:t>.</w:t>
      </w:r>
    </w:p>
    <w:p w:rsidR="0036128F" w:rsidRDefault="00BD38FE" w:rsidP="00F03E09">
      <w:pPr>
        <w:pStyle w:val="BodyText"/>
        <w:widowControl w:val="0"/>
        <w:spacing w:line="276" w:lineRule="auto"/>
        <w:jc w:val="both"/>
        <w:rPr>
          <w:rFonts w:ascii="Verdana" w:hAnsi="Verdana"/>
          <w:sz w:val="20"/>
          <w:szCs w:val="20"/>
          <w:lang w:eastAsia="en-US"/>
        </w:rPr>
      </w:pPr>
      <w:r w:rsidRPr="00B45B4F">
        <w:rPr>
          <w:rFonts w:ascii="Verdana" w:hAnsi="Verdana"/>
          <w:sz w:val="20"/>
          <w:szCs w:val="20"/>
          <w:lang w:eastAsia="en-US"/>
        </w:rPr>
        <w:t>Една от отправените 7 препоръки в документа касае подкрепа, която се очаква да бъде предоставена чрез ОПНОИР, а именно:</w:t>
      </w:r>
      <w:r w:rsidR="00F03E09">
        <w:rPr>
          <w:rFonts w:ascii="Verdana" w:hAnsi="Verdana"/>
          <w:sz w:val="20"/>
          <w:szCs w:val="20"/>
          <w:lang w:eastAsia="en-US"/>
        </w:rPr>
        <w:t xml:space="preserve"> </w:t>
      </w:r>
      <w:r w:rsidRPr="00B45B4F">
        <w:rPr>
          <w:rFonts w:ascii="Verdana" w:hAnsi="Verdana"/>
          <w:sz w:val="20"/>
          <w:szCs w:val="20"/>
          <w:lang w:eastAsia="en-US"/>
        </w:rPr>
        <w:t xml:space="preserve">Препоръка №4: </w:t>
      </w:r>
      <w:r w:rsidR="0036128F">
        <w:rPr>
          <w:rFonts w:ascii="Verdana" w:hAnsi="Verdana"/>
          <w:sz w:val="20"/>
          <w:szCs w:val="20"/>
          <w:lang w:eastAsia="en-US"/>
        </w:rPr>
        <w:t>„</w:t>
      </w:r>
      <w:r w:rsidRPr="00B45B4F">
        <w:rPr>
          <w:rFonts w:ascii="Verdana" w:hAnsi="Verdana"/>
          <w:i/>
          <w:sz w:val="20"/>
          <w:szCs w:val="20"/>
          <w:lang w:eastAsia="en-US"/>
        </w:rPr>
        <w:t>Да приеме Закона за училищното образование и да продължи реформата във висшето образование, по-специално като подобри съответствието между резултатите от него и нуждите на пазара на труда и като засили сътрудничеството между образованието, научно-изследователските институти и предприятията. Да подобри достъпа до приобщаващо образование за децата в неравностойно положение, в частност ромите</w:t>
      </w:r>
      <w:r w:rsidR="0036128F">
        <w:rPr>
          <w:rFonts w:ascii="Verdana" w:hAnsi="Verdana"/>
          <w:i/>
          <w:sz w:val="20"/>
          <w:szCs w:val="20"/>
          <w:lang w:eastAsia="en-US"/>
        </w:rPr>
        <w:t>“</w:t>
      </w:r>
      <w:r w:rsidRPr="00B45B4F">
        <w:rPr>
          <w:rFonts w:ascii="Verdana" w:hAnsi="Verdana"/>
          <w:sz w:val="20"/>
          <w:szCs w:val="20"/>
          <w:lang w:eastAsia="en-US"/>
        </w:rPr>
        <w:t>.</w:t>
      </w:r>
    </w:p>
    <w:p w:rsidR="0036128F" w:rsidRPr="0036128F" w:rsidRDefault="0036128F" w:rsidP="0036128F">
      <w:pPr>
        <w:pStyle w:val="CM1"/>
        <w:spacing w:after="120" w:line="276" w:lineRule="auto"/>
        <w:jc w:val="both"/>
        <w:rPr>
          <w:rFonts w:ascii="Verdana" w:hAnsi="Verdana"/>
          <w:sz w:val="20"/>
          <w:szCs w:val="20"/>
          <w:lang w:eastAsia="en-US"/>
        </w:rPr>
      </w:pPr>
      <w:r w:rsidRPr="0036128F">
        <w:rPr>
          <w:rFonts w:ascii="Verdana" w:hAnsi="Verdana"/>
          <w:sz w:val="20"/>
          <w:szCs w:val="20"/>
          <w:lang w:eastAsia="en-US"/>
        </w:rPr>
        <w:t>Докладът от 2014 конкретизира и разширява препоръката: „</w:t>
      </w:r>
      <w:r w:rsidRPr="0036128F">
        <w:rPr>
          <w:rFonts w:ascii="Verdana" w:hAnsi="Verdana"/>
          <w:i/>
          <w:sz w:val="20"/>
          <w:szCs w:val="20"/>
          <w:lang w:eastAsia="en-US"/>
        </w:rPr>
        <w:t>Да приеме Закона за училищното образование и да продължи реформите в областта на професионалното и висшето образование, за да увеличи нивото и адекватността на уменията, придобити на всички равнища, като същевременно насърчава партньорствата между образователните институции и деловите среди с оглед резултатите да отговарят по-добре на потребностите на пазара на труда. Да повиши качеството на институциите за професионално образование и обучение и да подобри достъпа до учене през целия живот. Да увеличи усилията за подобряване на достъпа до качествено приобщаващо предучилищно и училищно образование за децата в неравностойно положение, в частност ромите, и да прилага стриктно правилата, които обвързват плащането на детски надбавки с участие в образованието</w:t>
      </w:r>
      <w:r w:rsidRPr="0036128F">
        <w:rPr>
          <w:rFonts w:ascii="Verdana" w:hAnsi="Verdana"/>
          <w:sz w:val="20"/>
          <w:szCs w:val="20"/>
          <w:lang w:eastAsia="en-US"/>
        </w:rPr>
        <w:t>“.</w:t>
      </w:r>
    </w:p>
    <w:p w:rsidR="00BD55F7" w:rsidRPr="00B45B4F" w:rsidRDefault="00953567" w:rsidP="00D04CA2">
      <w:pPr>
        <w:pStyle w:val="BodyText"/>
        <w:widowControl w:val="0"/>
        <w:spacing w:after="360" w:line="276" w:lineRule="auto"/>
        <w:jc w:val="both"/>
        <w:rPr>
          <w:rFonts w:ascii="Verdana" w:hAnsi="Verdana"/>
          <w:sz w:val="20"/>
          <w:szCs w:val="20"/>
          <w:lang w:eastAsia="en-US"/>
        </w:rPr>
      </w:pPr>
      <w:r w:rsidRPr="00B45B4F">
        <w:rPr>
          <w:rFonts w:ascii="Verdana" w:hAnsi="Verdana"/>
          <w:sz w:val="20"/>
          <w:szCs w:val="20"/>
          <w:lang w:eastAsia="en-US"/>
        </w:rPr>
        <w:t>При обосновка</w:t>
      </w:r>
      <w:r w:rsidR="00824AB4" w:rsidRPr="00B45B4F">
        <w:rPr>
          <w:rFonts w:ascii="Verdana" w:hAnsi="Verdana"/>
          <w:sz w:val="20"/>
          <w:szCs w:val="20"/>
          <w:lang w:eastAsia="en-US"/>
        </w:rPr>
        <w:t>та</w:t>
      </w:r>
      <w:r w:rsidRPr="00B45B4F">
        <w:rPr>
          <w:rFonts w:ascii="Verdana" w:hAnsi="Verdana"/>
          <w:sz w:val="20"/>
          <w:szCs w:val="20"/>
          <w:lang w:eastAsia="en-US"/>
        </w:rPr>
        <w:t xml:space="preserve"> на </w:t>
      </w:r>
      <w:r w:rsidR="00BD55F7" w:rsidRPr="00B45B4F">
        <w:rPr>
          <w:rFonts w:ascii="Verdana" w:hAnsi="Verdana"/>
          <w:sz w:val="20"/>
          <w:szCs w:val="20"/>
          <w:lang w:eastAsia="en-US"/>
        </w:rPr>
        <w:t>избора на тематични цели и инвестиционни приоритети</w:t>
      </w:r>
      <w:r w:rsidRPr="00B45B4F">
        <w:rPr>
          <w:rFonts w:ascii="Verdana" w:hAnsi="Verdana"/>
          <w:sz w:val="20"/>
          <w:szCs w:val="20"/>
          <w:lang w:eastAsia="en-US"/>
        </w:rPr>
        <w:t xml:space="preserve"> са цитирани </w:t>
      </w:r>
      <w:r w:rsidR="00BD55F7" w:rsidRPr="00B45B4F">
        <w:rPr>
          <w:rFonts w:ascii="Verdana" w:hAnsi="Verdana"/>
          <w:sz w:val="20"/>
          <w:szCs w:val="20"/>
          <w:lang w:eastAsia="en-US"/>
        </w:rPr>
        <w:t>препоръки на ЕС</w:t>
      </w:r>
      <w:r w:rsidRPr="00B45B4F">
        <w:rPr>
          <w:rFonts w:ascii="Verdana" w:hAnsi="Verdana"/>
          <w:sz w:val="20"/>
          <w:szCs w:val="20"/>
          <w:lang w:eastAsia="en-US"/>
        </w:rPr>
        <w:t>.</w:t>
      </w:r>
    </w:p>
    <w:tbl>
      <w:tblPr>
        <w:tblW w:w="0" w:type="auto"/>
        <w:tblInd w:w="108" w:type="dxa"/>
        <w:tblBorders>
          <w:top w:val="single" w:sz="4" w:space="0" w:color="auto"/>
          <w:bottom w:val="single" w:sz="4" w:space="0" w:color="auto"/>
        </w:tblBorders>
        <w:tblLook w:val="04A0" w:firstRow="1" w:lastRow="0" w:firstColumn="1" w:lastColumn="0" w:noHBand="0" w:noVBand="1"/>
      </w:tblPr>
      <w:tblGrid>
        <w:gridCol w:w="538"/>
        <w:gridCol w:w="8444"/>
      </w:tblGrid>
      <w:tr w:rsidR="00DF1209" w:rsidRPr="009872C0" w:rsidTr="00D04CA2">
        <w:tc>
          <w:tcPr>
            <w:tcW w:w="538" w:type="dxa"/>
            <w:vAlign w:val="center"/>
          </w:tcPr>
          <w:p w:rsidR="00DF1209" w:rsidRPr="009872C0" w:rsidRDefault="00723E65" w:rsidP="00E65FBF">
            <w:pPr>
              <w:pStyle w:val="BodyText"/>
              <w:keepNext/>
              <w:spacing w:after="0" w:line="276" w:lineRule="auto"/>
              <w:jc w:val="center"/>
              <w:rPr>
                <w:rFonts w:ascii="Verdana" w:hAnsi="Verdana"/>
                <w:color w:val="548DD4"/>
                <w:sz w:val="20"/>
                <w:szCs w:val="20"/>
              </w:rPr>
            </w:pPr>
            <w:r w:rsidRPr="009872C0">
              <w:rPr>
                <w:rFonts w:ascii="Verdana" w:hAnsi="Verdana"/>
                <w:color w:val="548DD4"/>
                <w:sz w:val="36"/>
                <w:szCs w:val="36"/>
              </w:rPr>
              <w:t>?</w:t>
            </w:r>
          </w:p>
        </w:tc>
        <w:tc>
          <w:tcPr>
            <w:tcW w:w="8444" w:type="dxa"/>
            <w:shd w:val="clear" w:color="auto" w:fill="B8CCE4"/>
          </w:tcPr>
          <w:p w:rsidR="00DF1209" w:rsidRPr="009872C0" w:rsidRDefault="00DF1209" w:rsidP="006E4A77">
            <w:pPr>
              <w:keepNext/>
              <w:suppressAutoHyphens/>
              <w:spacing w:before="120" w:after="120" w:line="240" w:lineRule="auto"/>
              <w:ind w:left="115"/>
              <w:jc w:val="both"/>
              <w:rPr>
                <w:rFonts w:ascii="Verdana" w:hAnsi="Verdana" w:cs="TimesNewRomanPSMT"/>
                <w:sz w:val="20"/>
                <w:szCs w:val="20"/>
                <w:lang w:val="bg-BG" w:eastAsia="bg-BG"/>
              </w:rPr>
            </w:pPr>
            <w:r w:rsidRPr="009872C0">
              <w:rPr>
                <w:rFonts w:ascii="Verdana" w:hAnsi="Verdana"/>
                <w:sz w:val="20"/>
                <w:szCs w:val="20"/>
                <w:lang w:val="bg-BG"/>
              </w:rPr>
              <w:t>Съгласуваност с Европейската нормативна рамка</w:t>
            </w:r>
          </w:p>
        </w:tc>
      </w:tr>
    </w:tbl>
    <w:p w:rsidR="00824396" w:rsidRPr="00B45B4F" w:rsidRDefault="00824396" w:rsidP="00824396">
      <w:pPr>
        <w:pStyle w:val="BodyText"/>
        <w:tabs>
          <w:tab w:val="left" w:pos="0"/>
          <w:tab w:val="right" w:pos="9214"/>
        </w:tabs>
        <w:spacing w:before="120" w:line="276" w:lineRule="auto"/>
        <w:jc w:val="both"/>
        <w:rPr>
          <w:rFonts w:ascii="Verdana" w:hAnsi="Verdana"/>
          <w:sz w:val="20"/>
          <w:szCs w:val="20"/>
        </w:rPr>
      </w:pPr>
      <w:r w:rsidRPr="00B45B4F">
        <w:rPr>
          <w:rFonts w:ascii="Verdana" w:hAnsi="Verdana"/>
          <w:sz w:val="20"/>
          <w:szCs w:val="20"/>
        </w:rPr>
        <w:t xml:space="preserve">Разгледана е съгласуваността на ОПНОИР </w:t>
      </w:r>
      <w:r w:rsidR="00E65FBF" w:rsidRPr="00B45B4F">
        <w:rPr>
          <w:rFonts w:ascii="Verdana" w:hAnsi="Verdana"/>
          <w:sz w:val="20"/>
          <w:szCs w:val="20"/>
        </w:rPr>
        <w:t xml:space="preserve">основно </w:t>
      </w:r>
      <w:r w:rsidRPr="00B45B4F">
        <w:rPr>
          <w:rFonts w:ascii="Verdana" w:hAnsi="Verdana"/>
          <w:sz w:val="20"/>
          <w:szCs w:val="20"/>
        </w:rPr>
        <w:t>с</w:t>
      </w:r>
      <w:r w:rsidR="00E65FBF" w:rsidRPr="00B45B4F">
        <w:rPr>
          <w:rFonts w:ascii="Verdana" w:hAnsi="Verdana"/>
          <w:sz w:val="20"/>
          <w:szCs w:val="20"/>
        </w:rPr>
        <w:t>ъс</w:t>
      </w:r>
      <w:r w:rsidRPr="00B45B4F">
        <w:rPr>
          <w:rFonts w:ascii="Verdana" w:hAnsi="Verdana"/>
          <w:sz w:val="20"/>
          <w:szCs w:val="20"/>
        </w:rPr>
        <w:t xml:space="preserve"> следните регламенти за следващия програмен период:</w:t>
      </w:r>
    </w:p>
    <w:p w:rsidR="00DF1209" w:rsidRPr="00B45B4F" w:rsidRDefault="00DF1209" w:rsidP="006861B0">
      <w:pPr>
        <w:pStyle w:val="BodyText"/>
        <w:numPr>
          <w:ilvl w:val="0"/>
          <w:numId w:val="11"/>
        </w:numPr>
        <w:tabs>
          <w:tab w:val="left" w:pos="0"/>
          <w:tab w:val="right" w:pos="9090"/>
        </w:tabs>
        <w:spacing w:before="120" w:line="276" w:lineRule="auto"/>
        <w:jc w:val="both"/>
        <w:rPr>
          <w:rFonts w:ascii="Verdana" w:hAnsi="Verdana"/>
          <w:sz w:val="20"/>
          <w:szCs w:val="20"/>
        </w:rPr>
      </w:pPr>
      <w:r w:rsidRPr="00B45B4F">
        <w:rPr>
          <w:rFonts w:ascii="Verdana" w:hAnsi="Verdana"/>
          <w:sz w:val="20"/>
          <w:szCs w:val="20"/>
        </w:rPr>
        <w:t>Регламент 1303/2013 на Европейския парламент и на Съвета за определяне на общо приложими разпоредби за ЕФРР, ЕСФ, КФ, ЕЗФРСР, ЕФМДР, обхванати от ОСР и за определяне на общи разпоредби за ЕФРР, ЕСФ, КФ и Елементи за обща стратегическа рамка за периода 2014 — 2020 г.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w:t>
      </w:r>
    </w:p>
    <w:p w:rsidR="00DF1209" w:rsidRPr="00B45B4F" w:rsidRDefault="00824AB4" w:rsidP="006861B0">
      <w:pPr>
        <w:pStyle w:val="BodyText"/>
        <w:numPr>
          <w:ilvl w:val="0"/>
          <w:numId w:val="11"/>
        </w:numPr>
        <w:tabs>
          <w:tab w:val="left" w:pos="0"/>
          <w:tab w:val="right" w:pos="9214"/>
        </w:tabs>
        <w:spacing w:before="120" w:line="276" w:lineRule="auto"/>
        <w:jc w:val="both"/>
        <w:rPr>
          <w:rFonts w:ascii="Verdana" w:hAnsi="Verdana"/>
          <w:sz w:val="20"/>
          <w:szCs w:val="20"/>
        </w:rPr>
      </w:pPr>
      <w:r w:rsidRPr="00B45B4F">
        <w:rPr>
          <w:rFonts w:ascii="Verdana" w:hAnsi="Verdana"/>
          <w:sz w:val="20"/>
          <w:szCs w:val="20"/>
        </w:rPr>
        <w:t xml:space="preserve">Регламент 1304/2013 на Европейския парламент и на Съвета </w:t>
      </w:r>
      <w:r w:rsidR="00DF1209" w:rsidRPr="00B45B4F">
        <w:rPr>
          <w:rFonts w:ascii="Verdana" w:hAnsi="Verdana"/>
          <w:sz w:val="20"/>
          <w:szCs w:val="20"/>
        </w:rPr>
        <w:t>относно Европейския социален фонд и за отмяна на Регламент (ЕО) № 1081/2006</w:t>
      </w:r>
    </w:p>
    <w:p w:rsidR="00DF1209" w:rsidRPr="00B45B4F" w:rsidRDefault="00DF1209" w:rsidP="006861B0">
      <w:pPr>
        <w:pStyle w:val="BodyText"/>
        <w:numPr>
          <w:ilvl w:val="0"/>
          <w:numId w:val="11"/>
        </w:numPr>
        <w:tabs>
          <w:tab w:val="left" w:pos="0"/>
          <w:tab w:val="right" w:pos="9214"/>
        </w:tabs>
        <w:spacing w:before="120" w:after="240" w:line="276" w:lineRule="auto"/>
        <w:ind w:left="782" w:hanging="357"/>
        <w:jc w:val="both"/>
        <w:rPr>
          <w:rFonts w:ascii="Verdana" w:hAnsi="Verdana"/>
          <w:sz w:val="20"/>
          <w:szCs w:val="20"/>
        </w:rPr>
      </w:pPr>
      <w:r w:rsidRPr="00B45B4F">
        <w:rPr>
          <w:rFonts w:ascii="Verdana" w:hAnsi="Verdana"/>
          <w:sz w:val="20"/>
          <w:szCs w:val="20"/>
        </w:rPr>
        <w:t>Регламент 1301/2013 на Европейския парламент и на Съвета относно специални разпоредби по отношение на Европейския фонд за регионално развитие и целта „Инвестиции за растеж и работни места“ и за отмяна на Регламент (EО) № 1080/2006</w:t>
      </w:r>
    </w:p>
    <w:p w:rsidR="000E672E" w:rsidRPr="00B45B4F" w:rsidRDefault="000E672E" w:rsidP="000E672E">
      <w:pPr>
        <w:pStyle w:val="BodyText"/>
        <w:tabs>
          <w:tab w:val="left" w:pos="0"/>
          <w:tab w:val="right" w:pos="9214"/>
        </w:tabs>
        <w:spacing w:before="120" w:after="240" w:line="276" w:lineRule="auto"/>
        <w:jc w:val="both"/>
        <w:rPr>
          <w:rFonts w:ascii="Verdana" w:hAnsi="Verdana"/>
          <w:sz w:val="20"/>
          <w:szCs w:val="20"/>
        </w:rPr>
      </w:pPr>
      <w:r w:rsidRPr="00B45B4F">
        <w:rPr>
          <w:rFonts w:ascii="Verdana" w:hAnsi="Verdana"/>
          <w:sz w:val="20"/>
          <w:szCs w:val="20"/>
        </w:rPr>
        <w:t>Също така като част от съгласуваността на програмата с други стратегически документи на национално и европейско ниво е анализирана информация в следните Регламенти:</w:t>
      </w:r>
    </w:p>
    <w:p w:rsidR="00CC7327" w:rsidRPr="00B45B4F" w:rsidRDefault="00824AB4" w:rsidP="006861B0">
      <w:pPr>
        <w:pStyle w:val="BodyText"/>
        <w:numPr>
          <w:ilvl w:val="0"/>
          <w:numId w:val="11"/>
        </w:numPr>
        <w:tabs>
          <w:tab w:val="left" w:pos="0"/>
          <w:tab w:val="right" w:pos="9090"/>
        </w:tabs>
        <w:spacing w:before="120" w:line="276" w:lineRule="auto"/>
        <w:jc w:val="both"/>
        <w:rPr>
          <w:rFonts w:ascii="Verdana" w:hAnsi="Verdana"/>
          <w:sz w:val="20"/>
          <w:szCs w:val="20"/>
        </w:rPr>
      </w:pPr>
      <w:r w:rsidRPr="00B45B4F">
        <w:rPr>
          <w:rFonts w:ascii="Verdana" w:hAnsi="Verdana"/>
          <w:sz w:val="20"/>
          <w:szCs w:val="20"/>
        </w:rPr>
        <w:lastRenderedPageBreak/>
        <w:t xml:space="preserve">Регламент </w:t>
      </w:r>
      <w:r w:rsidR="00CC7327" w:rsidRPr="00B45B4F">
        <w:rPr>
          <w:rFonts w:ascii="Verdana" w:hAnsi="Verdana"/>
          <w:sz w:val="20"/>
          <w:szCs w:val="20"/>
        </w:rPr>
        <w:t xml:space="preserve">1305/2013 </w:t>
      </w:r>
      <w:r w:rsidRPr="00B45B4F">
        <w:rPr>
          <w:rFonts w:ascii="Verdana" w:hAnsi="Verdana"/>
          <w:sz w:val="20"/>
          <w:szCs w:val="20"/>
        </w:rPr>
        <w:t>на</w:t>
      </w:r>
      <w:r w:rsidR="002D4C3A">
        <w:rPr>
          <w:rFonts w:ascii="Verdana" w:hAnsi="Verdana"/>
          <w:sz w:val="20"/>
          <w:szCs w:val="20"/>
        </w:rPr>
        <w:t xml:space="preserve"> </w:t>
      </w:r>
      <w:r w:rsidRPr="00B45B4F">
        <w:rPr>
          <w:rFonts w:ascii="Verdana" w:hAnsi="Verdana"/>
          <w:sz w:val="20"/>
          <w:szCs w:val="20"/>
        </w:rPr>
        <w:t xml:space="preserve">Европейския парламент и на Съвета </w:t>
      </w:r>
      <w:r w:rsidR="00CC7327" w:rsidRPr="00B45B4F">
        <w:rPr>
          <w:rFonts w:ascii="Verdana" w:hAnsi="Verdana"/>
          <w:sz w:val="20"/>
          <w:szCs w:val="20"/>
        </w:rPr>
        <w:t>относно подкрепата за развитие на селските райони чрез Европейския земеделски фонд за развитие на селските райони;</w:t>
      </w:r>
    </w:p>
    <w:p w:rsidR="00CC7327" w:rsidRPr="00257564" w:rsidRDefault="00824AB4" w:rsidP="006861B0">
      <w:pPr>
        <w:pStyle w:val="BodyText"/>
        <w:numPr>
          <w:ilvl w:val="0"/>
          <w:numId w:val="11"/>
        </w:numPr>
        <w:tabs>
          <w:tab w:val="left" w:pos="0"/>
          <w:tab w:val="right" w:pos="9090"/>
        </w:tabs>
        <w:spacing w:before="120" w:line="276" w:lineRule="auto"/>
        <w:jc w:val="both"/>
        <w:rPr>
          <w:rFonts w:ascii="Verdana" w:hAnsi="Verdana"/>
          <w:sz w:val="20"/>
          <w:szCs w:val="20"/>
        </w:rPr>
      </w:pPr>
      <w:r w:rsidRPr="00257564">
        <w:rPr>
          <w:rFonts w:ascii="Verdana" w:hAnsi="Verdana"/>
          <w:sz w:val="20"/>
          <w:szCs w:val="20"/>
        </w:rPr>
        <w:t xml:space="preserve">Регламент </w:t>
      </w:r>
      <w:r w:rsidR="00257564" w:rsidRPr="00257564">
        <w:rPr>
          <w:rFonts w:ascii="Verdana" w:hAnsi="Verdana"/>
          <w:sz w:val="20"/>
          <w:szCs w:val="20"/>
        </w:rPr>
        <w:t xml:space="preserve">508/2014 </w:t>
      </w:r>
      <w:r w:rsidRPr="00257564">
        <w:rPr>
          <w:rFonts w:ascii="Verdana" w:hAnsi="Verdana"/>
          <w:sz w:val="20"/>
          <w:szCs w:val="20"/>
        </w:rPr>
        <w:t xml:space="preserve">на Европейския парламент и на Съвета </w:t>
      </w:r>
      <w:r w:rsidR="00CC7327" w:rsidRPr="00257564">
        <w:rPr>
          <w:rFonts w:ascii="Verdana" w:hAnsi="Verdana"/>
          <w:sz w:val="20"/>
          <w:szCs w:val="20"/>
        </w:rPr>
        <w:t>относно Европейския фонд за морско дело и рибарство</w:t>
      </w:r>
      <w:r w:rsidR="00257564" w:rsidRPr="00257564">
        <w:rPr>
          <w:rFonts w:ascii="Verdana" w:hAnsi="Verdana"/>
          <w:sz w:val="20"/>
          <w:szCs w:val="20"/>
        </w:rPr>
        <w:t xml:space="preserve"> и за отмяна на регламенти (ЕО) № 2328/2003, (ЕО) № 861/2006, (ЕО) № 1198/2006 и (ЕО) № 791/2007 на Съвета и Регламент (ЕС) № 1255/2011 на Европейския парламент и на Съвета</w:t>
      </w:r>
      <w:r w:rsidR="00CC7327" w:rsidRPr="00257564">
        <w:rPr>
          <w:rFonts w:ascii="Verdana" w:hAnsi="Verdana"/>
          <w:sz w:val="20"/>
          <w:szCs w:val="20"/>
        </w:rPr>
        <w:t>;</w:t>
      </w:r>
    </w:p>
    <w:p w:rsidR="00CC7327" w:rsidRPr="00B45B4F" w:rsidRDefault="00824AB4" w:rsidP="006861B0">
      <w:pPr>
        <w:pStyle w:val="BodyText"/>
        <w:numPr>
          <w:ilvl w:val="0"/>
          <w:numId w:val="11"/>
        </w:numPr>
        <w:tabs>
          <w:tab w:val="left" w:pos="0"/>
          <w:tab w:val="right" w:pos="9214"/>
        </w:tabs>
        <w:spacing w:before="120" w:line="276" w:lineRule="auto"/>
        <w:jc w:val="both"/>
        <w:rPr>
          <w:rFonts w:ascii="Verdana" w:hAnsi="Verdana"/>
          <w:sz w:val="20"/>
          <w:szCs w:val="20"/>
        </w:rPr>
      </w:pPr>
      <w:r w:rsidRPr="00B45B4F">
        <w:rPr>
          <w:rFonts w:ascii="Verdana" w:hAnsi="Verdana"/>
          <w:sz w:val="20"/>
          <w:szCs w:val="20"/>
        </w:rPr>
        <w:t xml:space="preserve">Регламент </w:t>
      </w:r>
      <w:r w:rsidR="00CC7327" w:rsidRPr="00B45B4F">
        <w:rPr>
          <w:rFonts w:ascii="Verdana" w:hAnsi="Verdana"/>
          <w:sz w:val="20"/>
          <w:szCs w:val="20"/>
        </w:rPr>
        <w:t>1309/2013 на Европейския парламент и на Съвета относно Европейски фонд за приспособяване към глобализацията (</w:t>
      </w:r>
      <w:r w:rsidR="005106CE" w:rsidRPr="00B45B4F">
        <w:rPr>
          <w:rFonts w:ascii="Verdana" w:hAnsi="Verdana"/>
          <w:sz w:val="20"/>
          <w:szCs w:val="20"/>
        </w:rPr>
        <w:t>2014–2020</w:t>
      </w:r>
      <w:r w:rsidR="00CC7327" w:rsidRPr="00B45B4F">
        <w:rPr>
          <w:rFonts w:ascii="Verdana" w:hAnsi="Verdana"/>
          <w:sz w:val="20"/>
          <w:szCs w:val="20"/>
        </w:rPr>
        <w:t>);</w:t>
      </w:r>
    </w:p>
    <w:p w:rsidR="00CC7327" w:rsidRPr="00B45B4F" w:rsidRDefault="00824AB4" w:rsidP="006861B0">
      <w:pPr>
        <w:pStyle w:val="BodyText"/>
        <w:numPr>
          <w:ilvl w:val="0"/>
          <w:numId w:val="11"/>
        </w:numPr>
        <w:tabs>
          <w:tab w:val="left" w:pos="0"/>
          <w:tab w:val="right" w:pos="9214"/>
        </w:tabs>
        <w:spacing w:before="120" w:line="276" w:lineRule="auto"/>
        <w:jc w:val="both"/>
        <w:rPr>
          <w:rFonts w:ascii="Verdana" w:hAnsi="Verdana"/>
          <w:sz w:val="20"/>
          <w:szCs w:val="20"/>
        </w:rPr>
      </w:pPr>
      <w:r w:rsidRPr="00B45B4F">
        <w:rPr>
          <w:rFonts w:ascii="Verdana" w:hAnsi="Verdana"/>
          <w:sz w:val="20"/>
          <w:szCs w:val="20"/>
        </w:rPr>
        <w:t xml:space="preserve">Регламент </w:t>
      </w:r>
      <w:r w:rsidR="00CC7327" w:rsidRPr="00B45B4F">
        <w:rPr>
          <w:rFonts w:ascii="Verdana" w:hAnsi="Verdana"/>
          <w:sz w:val="20"/>
          <w:szCs w:val="20"/>
        </w:rPr>
        <w:t xml:space="preserve">1299/2013 </w:t>
      </w:r>
      <w:r w:rsidRPr="00B45B4F">
        <w:rPr>
          <w:rFonts w:ascii="Verdana" w:hAnsi="Verdana"/>
          <w:sz w:val="20"/>
          <w:szCs w:val="20"/>
        </w:rPr>
        <w:t xml:space="preserve">на Европейския парламент и на Съвета </w:t>
      </w:r>
      <w:r w:rsidR="00CC7327" w:rsidRPr="00B45B4F">
        <w:rPr>
          <w:rFonts w:ascii="Verdana" w:hAnsi="Verdana"/>
          <w:sz w:val="20"/>
          <w:szCs w:val="20"/>
        </w:rPr>
        <w:t>относно специални разпоредби за подкрепа от Европейския фонд за регионално развитие по цел „Европейско териториално сътрудничество“;</w:t>
      </w:r>
    </w:p>
    <w:p w:rsidR="000E672E" w:rsidRPr="00B45B4F" w:rsidRDefault="00824AB4" w:rsidP="006861B0">
      <w:pPr>
        <w:pStyle w:val="BodyText"/>
        <w:numPr>
          <w:ilvl w:val="0"/>
          <w:numId w:val="11"/>
        </w:numPr>
        <w:tabs>
          <w:tab w:val="left" w:pos="0"/>
          <w:tab w:val="right" w:pos="9214"/>
        </w:tabs>
        <w:spacing w:before="120" w:line="276" w:lineRule="auto"/>
        <w:jc w:val="both"/>
        <w:rPr>
          <w:rFonts w:ascii="Verdana" w:hAnsi="Verdana"/>
          <w:sz w:val="20"/>
          <w:szCs w:val="20"/>
        </w:rPr>
      </w:pPr>
      <w:r w:rsidRPr="00B45B4F">
        <w:rPr>
          <w:rFonts w:ascii="Verdana" w:hAnsi="Verdana"/>
          <w:sz w:val="20"/>
          <w:szCs w:val="20"/>
        </w:rPr>
        <w:t xml:space="preserve">Регламент </w:t>
      </w:r>
      <w:r w:rsidR="00CC7327" w:rsidRPr="00B45B4F">
        <w:rPr>
          <w:rFonts w:ascii="Verdana" w:hAnsi="Verdana"/>
          <w:sz w:val="20"/>
          <w:szCs w:val="20"/>
        </w:rPr>
        <w:t xml:space="preserve">(ЕС) № 1287/2013 </w:t>
      </w:r>
      <w:r w:rsidRPr="00B45B4F">
        <w:rPr>
          <w:rFonts w:ascii="Verdana" w:hAnsi="Verdana"/>
          <w:sz w:val="20"/>
          <w:szCs w:val="20"/>
        </w:rPr>
        <w:t xml:space="preserve">на Европейския парламент и на Съвета </w:t>
      </w:r>
      <w:r w:rsidR="00CC7327" w:rsidRPr="00B45B4F">
        <w:rPr>
          <w:rFonts w:ascii="Verdana" w:hAnsi="Verdana"/>
          <w:sz w:val="20"/>
          <w:szCs w:val="20"/>
        </w:rPr>
        <w:t>за създаване на Програма за конкурентоспособност на предприятията и малките и средните предприятия (COSME) (2014—2020 г.) и за отмяна на Решение № 1639/2006/ЕО</w:t>
      </w:r>
    </w:p>
    <w:p w:rsidR="00824396" w:rsidRPr="00B45B4F" w:rsidRDefault="00824396" w:rsidP="00824396">
      <w:pPr>
        <w:pStyle w:val="BodyText"/>
        <w:tabs>
          <w:tab w:val="left" w:pos="0"/>
          <w:tab w:val="right" w:pos="9214"/>
        </w:tabs>
        <w:spacing w:before="120" w:after="240" w:line="276" w:lineRule="auto"/>
        <w:jc w:val="both"/>
        <w:rPr>
          <w:rFonts w:ascii="Verdana" w:hAnsi="Verdana"/>
          <w:sz w:val="20"/>
          <w:szCs w:val="20"/>
        </w:rPr>
      </w:pPr>
      <w:r w:rsidRPr="00B45B4F">
        <w:rPr>
          <w:rFonts w:ascii="Verdana" w:hAnsi="Verdana"/>
          <w:sz w:val="20"/>
          <w:szCs w:val="20"/>
        </w:rPr>
        <w:t>Като цяло текстът на програмата е съгласуван с изискванията на регламентите. С</w:t>
      </w:r>
      <w:r w:rsidR="00E65FBF" w:rsidRPr="00B45B4F">
        <w:rPr>
          <w:rFonts w:ascii="Verdana" w:hAnsi="Verdana"/>
          <w:sz w:val="20"/>
          <w:szCs w:val="20"/>
        </w:rPr>
        <w:t xml:space="preserve">пецифични коментари са </w:t>
      </w:r>
      <w:r w:rsidRPr="00B45B4F">
        <w:rPr>
          <w:rFonts w:ascii="Verdana" w:hAnsi="Verdana"/>
          <w:sz w:val="20"/>
          <w:szCs w:val="20"/>
        </w:rPr>
        <w:t xml:space="preserve">правени в отделни части на настоящия доклад, </w:t>
      </w:r>
      <w:r w:rsidR="00E65FBF" w:rsidRPr="00B45B4F">
        <w:rPr>
          <w:rFonts w:ascii="Verdana" w:hAnsi="Verdana"/>
          <w:sz w:val="20"/>
          <w:szCs w:val="20"/>
        </w:rPr>
        <w:t>при</w:t>
      </w:r>
      <w:r w:rsidRPr="00B45B4F">
        <w:rPr>
          <w:rFonts w:ascii="Verdana" w:hAnsi="Verdana"/>
          <w:sz w:val="20"/>
          <w:szCs w:val="20"/>
        </w:rPr>
        <w:t xml:space="preserve"> коментиран</w:t>
      </w:r>
      <w:r w:rsidR="00E65FBF" w:rsidRPr="00B45B4F">
        <w:rPr>
          <w:rFonts w:ascii="Verdana" w:hAnsi="Verdana"/>
          <w:sz w:val="20"/>
          <w:szCs w:val="20"/>
        </w:rPr>
        <w:t>е</w:t>
      </w:r>
      <w:r w:rsidRPr="00B45B4F">
        <w:rPr>
          <w:rFonts w:ascii="Verdana" w:hAnsi="Verdana"/>
          <w:sz w:val="20"/>
          <w:szCs w:val="20"/>
        </w:rPr>
        <w:t xml:space="preserve"> спазването на специфични изисквания на регламентите.</w:t>
      </w:r>
    </w:p>
    <w:tbl>
      <w:tblPr>
        <w:tblW w:w="0" w:type="auto"/>
        <w:tblInd w:w="108" w:type="dxa"/>
        <w:tblBorders>
          <w:top w:val="single" w:sz="4" w:space="0" w:color="auto"/>
          <w:bottom w:val="single" w:sz="4" w:space="0" w:color="auto"/>
        </w:tblBorders>
        <w:tblLook w:val="04A0" w:firstRow="1" w:lastRow="0" w:firstColumn="1" w:lastColumn="0" w:noHBand="0" w:noVBand="1"/>
      </w:tblPr>
      <w:tblGrid>
        <w:gridCol w:w="540"/>
        <w:gridCol w:w="8550"/>
      </w:tblGrid>
      <w:tr w:rsidR="00DF1209" w:rsidRPr="009872C0" w:rsidTr="005A2D6A">
        <w:trPr>
          <w:trHeight w:val="599"/>
        </w:trPr>
        <w:tc>
          <w:tcPr>
            <w:tcW w:w="540" w:type="dxa"/>
            <w:vAlign w:val="center"/>
          </w:tcPr>
          <w:p w:rsidR="00DF1209" w:rsidRPr="009872C0" w:rsidRDefault="00723E65" w:rsidP="0015412F">
            <w:pPr>
              <w:pStyle w:val="BodyText"/>
              <w:spacing w:after="0" w:line="276" w:lineRule="auto"/>
              <w:jc w:val="center"/>
              <w:rPr>
                <w:rFonts w:ascii="Verdana" w:hAnsi="Verdana"/>
                <w:color w:val="548DD4"/>
                <w:sz w:val="20"/>
                <w:szCs w:val="20"/>
              </w:rPr>
            </w:pPr>
            <w:r w:rsidRPr="009872C0">
              <w:rPr>
                <w:rFonts w:ascii="Verdana" w:hAnsi="Verdana"/>
                <w:color w:val="548DD4"/>
                <w:sz w:val="36"/>
                <w:szCs w:val="36"/>
              </w:rPr>
              <w:t>?</w:t>
            </w:r>
          </w:p>
        </w:tc>
        <w:tc>
          <w:tcPr>
            <w:tcW w:w="8550" w:type="dxa"/>
            <w:shd w:val="clear" w:color="auto" w:fill="B8CCE4"/>
            <w:vAlign w:val="center"/>
          </w:tcPr>
          <w:p w:rsidR="00DF1209" w:rsidRPr="009872C0" w:rsidRDefault="00DF1209" w:rsidP="005A2D6A">
            <w:pPr>
              <w:suppressAutoHyphens/>
              <w:spacing w:before="120" w:after="120" w:line="240" w:lineRule="auto"/>
              <w:ind w:left="115"/>
              <w:rPr>
                <w:rFonts w:ascii="Verdana" w:hAnsi="Verdana" w:cs="TimesNewRomanPSMT"/>
                <w:sz w:val="20"/>
                <w:szCs w:val="20"/>
                <w:lang w:val="bg-BG" w:eastAsia="bg-BG"/>
              </w:rPr>
            </w:pPr>
            <w:r w:rsidRPr="009872C0">
              <w:rPr>
                <w:rFonts w:ascii="Verdana" w:hAnsi="Verdana"/>
                <w:sz w:val="20"/>
                <w:szCs w:val="20"/>
                <w:lang w:val="bg-BG"/>
              </w:rPr>
              <w:t>Съгласуваност с Националната нормативна рамка</w:t>
            </w:r>
          </w:p>
        </w:tc>
      </w:tr>
    </w:tbl>
    <w:p w:rsidR="00DF1209" w:rsidRPr="00B45B4F" w:rsidRDefault="004020E1" w:rsidP="00DF1209">
      <w:pPr>
        <w:keepNext/>
        <w:pBdr>
          <w:bottom w:val="single" w:sz="4" w:space="1" w:color="0070C0"/>
        </w:pBdr>
        <w:spacing w:before="360" w:after="120"/>
        <w:jc w:val="both"/>
        <w:rPr>
          <w:rFonts w:ascii="Verdana" w:hAnsi="Verdana"/>
          <w:color w:val="0070C0"/>
          <w:sz w:val="20"/>
          <w:szCs w:val="20"/>
          <w:lang w:val="bg-BG" w:eastAsia="cs-CZ"/>
        </w:rPr>
      </w:pPr>
      <w:hyperlink r:id="rId31" w:tgtFrame="_blank" w:history="1">
        <w:r w:rsidR="00DF1209" w:rsidRPr="00B45B4F">
          <w:rPr>
            <w:rFonts w:ascii="Verdana" w:hAnsi="Verdana"/>
            <w:color w:val="0070C0"/>
            <w:sz w:val="20"/>
            <w:szCs w:val="20"/>
            <w:lang w:val="bg-BG" w:eastAsia="cs-CZ"/>
          </w:rPr>
          <w:t>З</w:t>
        </w:r>
        <w:r w:rsidR="00C15B20" w:rsidRPr="00B45B4F">
          <w:rPr>
            <w:rFonts w:ascii="Verdana" w:hAnsi="Verdana"/>
            <w:color w:val="0070C0"/>
            <w:sz w:val="20"/>
            <w:szCs w:val="20"/>
            <w:lang w:val="bg-BG" w:eastAsia="cs-CZ"/>
          </w:rPr>
          <w:t>акон</w:t>
        </w:r>
        <w:r w:rsidR="00DF1209" w:rsidRPr="00B45B4F">
          <w:rPr>
            <w:rFonts w:ascii="Verdana" w:hAnsi="Verdana"/>
            <w:color w:val="0070C0"/>
            <w:sz w:val="20"/>
            <w:szCs w:val="20"/>
            <w:lang w:val="bg-BG" w:eastAsia="cs-CZ"/>
          </w:rPr>
          <w:t xml:space="preserve"> за народната просвета</w:t>
        </w:r>
      </w:hyperlink>
      <w:r w:rsidR="00DF1209" w:rsidRPr="00B45B4F">
        <w:rPr>
          <w:rFonts w:ascii="Verdana" w:hAnsi="Verdana"/>
          <w:color w:val="0070C0"/>
          <w:sz w:val="20"/>
          <w:szCs w:val="20"/>
          <w:lang w:val="bg-BG" w:eastAsia="cs-CZ"/>
        </w:rPr>
        <w:t>;</w:t>
      </w:r>
    </w:p>
    <w:p w:rsidR="00DF1209" w:rsidRPr="00B45B4F" w:rsidRDefault="00325A2B" w:rsidP="001B6329">
      <w:pPr>
        <w:pStyle w:val="BodyText"/>
        <w:tabs>
          <w:tab w:val="left" w:pos="0"/>
          <w:tab w:val="right" w:pos="9214"/>
        </w:tabs>
        <w:spacing w:line="276" w:lineRule="auto"/>
        <w:jc w:val="both"/>
        <w:rPr>
          <w:rFonts w:ascii="Verdana" w:hAnsi="Verdana"/>
          <w:sz w:val="20"/>
          <w:szCs w:val="20"/>
        </w:rPr>
      </w:pPr>
      <w:r w:rsidRPr="00B45B4F">
        <w:rPr>
          <w:rFonts w:ascii="Verdana" w:hAnsi="Verdana"/>
          <w:sz w:val="20"/>
          <w:szCs w:val="20"/>
        </w:rPr>
        <w:t>Законът за народната просвета урежда общите постановки относно устройството, функциите и управлението на детски градини, училища и обслужващи звена.</w:t>
      </w:r>
      <w:r w:rsidR="00B242F5" w:rsidRPr="00B45B4F">
        <w:rPr>
          <w:rFonts w:ascii="Verdana" w:hAnsi="Verdana"/>
          <w:sz w:val="20"/>
          <w:szCs w:val="20"/>
        </w:rPr>
        <w:t xml:space="preserve"> ОПНОИР не е в противоречие със постановките на закона и ще способства за прилагането му по отношение на предоставянето на възможности за интегрирано образование на деца със специални образователни потребности, подкрепа за деца с изявени дарби, партньорство с родителите, </w:t>
      </w:r>
      <w:r w:rsidR="00481575" w:rsidRPr="00B45B4F">
        <w:rPr>
          <w:rFonts w:ascii="Verdana" w:hAnsi="Verdana"/>
          <w:sz w:val="20"/>
          <w:szCs w:val="20"/>
        </w:rPr>
        <w:t xml:space="preserve">допълнително обучение по майчин език, </w:t>
      </w:r>
      <w:r w:rsidR="0043628E" w:rsidRPr="00B45B4F">
        <w:rPr>
          <w:rFonts w:ascii="Verdana" w:hAnsi="Verdana"/>
          <w:sz w:val="20"/>
          <w:szCs w:val="20"/>
        </w:rPr>
        <w:t xml:space="preserve">както и за </w:t>
      </w:r>
      <w:r w:rsidR="00481575" w:rsidRPr="00B45B4F">
        <w:rPr>
          <w:rFonts w:ascii="Verdana" w:hAnsi="Verdana"/>
          <w:sz w:val="20"/>
          <w:szCs w:val="20"/>
        </w:rPr>
        <w:t>допълнително обучение по български език за деца, чиито майчин език не е български</w:t>
      </w:r>
      <w:r w:rsidR="00B242F5" w:rsidRPr="00B45B4F">
        <w:rPr>
          <w:rFonts w:ascii="Verdana" w:hAnsi="Verdana"/>
          <w:sz w:val="20"/>
          <w:szCs w:val="20"/>
        </w:rPr>
        <w:t>.</w:t>
      </w:r>
    </w:p>
    <w:p w:rsidR="00DF1209" w:rsidRPr="00B45B4F" w:rsidRDefault="004020E1" w:rsidP="00DF1209">
      <w:pPr>
        <w:keepNext/>
        <w:pBdr>
          <w:bottom w:val="single" w:sz="4" w:space="1" w:color="0070C0"/>
        </w:pBdr>
        <w:spacing w:before="360" w:after="120"/>
        <w:jc w:val="both"/>
        <w:rPr>
          <w:rFonts w:ascii="Verdana" w:hAnsi="Verdana"/>
          <w:color w:val="0070C0"/>
          <w:sz w:val="20"/>
          <w:szCs w:val="20"/>
          <w:lang w:val="bg-BG" w:eastAsia="cs-CZ"/>
        </w:rPr>
      </w:pPr>
      <w:hyperlink r:id="rId32" w:tgtFrame="_blank" w:history="1">
        <w:r w:rsidR="00DF1209" w:rsidRPr="00B45B4F">
          <w:rPr>
            <w:rFonts w:ascii="Verdana" w:hAnsi="Verdana"/>
            <w:color w:val="0070C0"/>
            <w:sz w:val="20"/>
            <w:szCs w:val="20"/>
            <w:lang w:val="bg-BG" w:eastAsia="cs-CZ"/>
          </w:rPr>
          <w:t>З</w:t>
        </w:r>
        <w:r w:rsidR="00C15B20" w:rsidRPr="00B45B4F">
          <w:rPr>
            <w:rFonts w:ascii="Verdana" w:hAnsi="Verdana"/>
            <w:color w:val="0070C0"/>
            <w:sz w:val="20"/>
            <w:szCs w:val="20"/>
            <w:lang w:val="bg-BG" w:eastAsia="cs-CZ"/>
          </w:rPr>
          <w:t>акон</w:t>
        </w:r>
        <w:r w:rsidR="00DF1209" w:rsidRPr="00B45B4F">
          <w:rPr>
            <w:rFonts w:ascii="Verdana" w:hAnsi="Verdana"/>
            <w:color w:val="0070C0"/>
            <w:sz w:val="20"/>
            <w:szCs w:val="20"/>
            <w:lang w:val="bg-BG" w:eastAsia="cs-CZ"/>
          </w:rPr>
          <w:t xml:space="preserve"> за степента на образование, общообразователния минимум и учебния план</w:t>
        </w:r>
      </w:hyperlink>
    </w:p>
    <w:p w:rsidR="00DF1209" w:rsidRPr="00B45B4F" w:rsidRDefault="00481575" w:rsidP="001B6329">
      <w:pPr>
        <w:pStyle w:val="BodyText"/>
        <w:tabs>
          <w:tab w:val="left" w:pos="0"/>
          <w:tab w:val="right" w:pos="9214"/>
        </w:tabs>
        <w:spacing w:line="276" w:lineRule="auto"/>
        <w:jc w:val="both"/>
        <w:rPr>
          <w:rFonts w:ascii="Verdana" w:hAnsi="Verdana"/>
          <w:sz w:val="20"/>
          <w:szCs w:val="20"/>
        </w:rPr>
      </w:pPr>
      <w:r w:rsidRPr="00B45B4F">
        <w:rPr>
          <w:rFonts w:ascii="Verdana" w:hAnsi="Verdana"/>
          <w:sz w:val="20"/>
          <w:szCs w:val="20"/>
        </w:rPr>
        <w:t xml:space="preserve">Законът за степента на образование, общообразователния минимум и учебния план урежда държавното образователно изискване за степента на образование, общообразователния минимум и учебния план в системата на народната просвета. </w:t>
      </w:r>
    </w:p>
    <w:p w:rsidR="00481575" w:rsidRPr="00B45B4F" w:rsidRDefault="00481575" w:rsidP="001B6329">
      <w:pPr>
        <w:pStyle w:val="BodyText"/>
        <w:tabs>
          <w:tab w:val="left" w:pos="0"/>
          <w:tab w:val="right" w:pos="9214"/>
        </w:tabs>
        <w:spacing w:line="276" w:lineRule="auto"/>
        <w:jc w:val="both"/>
        <w:rPr>
          <w:rFonts w:ascii="Verdana" w:hAnsi="Verdana"/>
          <w:sz w:val="20"/>
          <w:szCs w:val="20"/>
        </w:rPr>
      </w:pPr>
      <w:r w:rsidRPr="00B45B4F">
        <w:rPr>
          <w:rFonts w:ascii="Verdana" w:hAnsi="Verdana"/>
          <w:sz w:val="20"/>
          <w:szCs w:val="20"/>
        </w:rPr>
        <w:t xml:space="preserve">Законът </w:t>
      </w:r>
      <w:r w:rsidR="004459AA" w:rsidRPr="00B45B4F">
        <w:rPr>
          <w:rFonts w:ascii="Verdana" w:hAnsi="Verdana"/>
          <w:sz w:val="20"/>
          <w:szCs w:val="20"/>
        </w:rPr>
        <w:t>посочва, че с</w:t>
      </w:r>
      <w:r w:rsidRPr="00B45B4F">
        <w:rPr>
          <w:rFonts w:ascii="Verdana" w:hAnsi="Verdana"/>
          <w:sz w:val="20"/>
          <w:szCs w:val="20"/>
        </w:rPr>
        <w:t>труктурата на учебния план обхваща три вида подготовка: задължителна, задължително</w:t>
      </w:r>
      <w:r w:rsidR="002D4C3A">
        <w:rPr>
          <w:rFonts w:ascii="Verdana" w:hAnsi="Verdana"/>
          <w:sz w:val="20"/>
          <w:szCs w:val="20"/>
        </w:rPr>
        <w:t>-</w:t>
      </w:r>
      <w:r w:rsidR="00C15B20" w:rsidRPr="00B45B4F">
        <w:rPr>
          <w:rFonts w:ascii="Verdana" w:hAnsi="Verdana"/>
          <w:sz w:val="20"/>
          <w:szCs w:val="20"/>
        </w:rPr>
        <w:t>избираема и свободно</w:t>
      </w:r>
      <w:r w:rsidR="002D4C3A">
        <w:rPr>
          <w:rFonts w:ascii="Verdana" w:hAnsi="Verdana"/>
          <w:sz w:val="20"/>
          <w:szCs w:val="20"/>
        </w:rPr>
        <w:t>-</w:t>
      </w:r>
      <w:r w:rsidR="00C15B20" w:rsidRPr="00B45B4F">
        <w:rPr>
          <w:rFonts w:ascii="Verdana" w:hAnsi="Verdana"/>
          <w:sz w:val="20"/>
          <w:szCs w:val="20"/>
        </w:rPr>
        <w:t>избираема, което кореспондира с предвидените мерки в ОПНОИР за подкрепа на мерки за осигуряване на възможности за обучение, съобразени с индивидуалните потребности.</w:t>
      </w:r>
    </w:p>
    <w:p w:rsidR="00314D11" w:rsidRPr="00B45B4F" w:rsidRDefault="00314D11" w:rsidP="00314D11">
      <w:pPr>
        <w:keepNext/>
        <w:pBdr>
          <w:bottom w:val="single" w:sz="4" w:space="1" w:color="0070C0"/>
        </w:pBdr>
        <w:spacing w:before="360" w:after="120"/>
        <w:jc w:val="both"/>
        <w:rPr>
          <w:rFonts w:ascii="Verdana" w:hAnsi="Verdana"/>
          <w:color w:val="0070C0"/>
          <w:sz w:val="20"/>
          <w:szCs w:val="20"/>
          <w:lang w:val="bg-BG" w:eastAsia="cs-CZ"/>
        </w:rPr>
      </w:pPr>
      <w:r w:rsidRPr="00B45B4F">
        <w:rPr>
          <w:rFonts w:ascii="Verdana" w:hAnsi="Verdana"/>
          <w:color w:val="0070C0"/>
          <w:sz w:val="20"/>
          <w:szCs w:val="20"/>
          <w:lang w:val="bg-BG" w:eastAsia="cs-CZ"/>
        </w:rPr>
        <w:lastRenderedPageBreak/>
        <w:t xml:space="preserve">Закон за средното образование </w:t>
      </w:r>
    </w:p>
    <w:p w:rsidR="00314D11" w:rsidRPr="00B45B4F" w:rsidRDefault="00314D11" w:rsidP="00314D11">
      <w:pPr>
        <w:pStyle w:val="BodyText"/>
        <w:tabs>
          <w:tab w:val="left" w:pos="0"/>
          <w:tab w:val="right" w:pos="9214"/>
        </w:tabs>
        <w:spacing w:before="120" w:line="276" w:lineRule="auto"/>
        <w:jc w:val="both"/>
        <w:rPr>
          <w:rFonts w:ascii="Verdana" w:hAnsi="Verdana"/>
          <w:sz w:val="20"/>
          <w:szCs w:val="20"/>
        </w:rPr>
      </w:pPr>
      <w:r w:rsidRPr="00B45B4F">
        <w:rPr>
          <w:rFonts w:ascii="Verdana" w:hAnsi="Verdana"/>
          <w:sz w:val="20"/>
          <w:szCs w:val="20"/>
        </w:rPr>
        <w:t>Законът е в процес на изработване.</w:t>
      </w:r>
    </w:p>
    <w:p w:rsidR="00DF1209" w:rsidRPr="00B45B4F" w:rsidRDefault="004020E1" w:rsidP="00DF1209">
      <w:pPr>
        <w:keepNext/>
        <w:pBdr>
          <w:bottom w:val="single" w:sz="4" w:space="1" w:color="0070C0"/>
        </w:pBdr>
        <w:spacing w:before="360" w:after="120"/>
        <w:jc w:val="both"/>
        <w:rPr>
          <w:rFonts w:ascii="Verdana" w:hAnsi="Verdana"/>
          <w:color w:val="0070C0"/>
          <w:sz w:val="20"/>
          <w:szCs w:val="20"/>
          <w:lang w:val="bg-BG" w:eastAsia="cs-CZ"/>
        </w:rPr>
      </w:pPr>
      <w:hyperlink r:id="rId33" w:tgtFrame="_blank" w:history="1">
        <w:r w:rsidR="00DF1209" w:rsidRPr="00B45B4F">
          <w:rPr>
            <w:rFonts w:ascii="Verdana" w:hAnsi="Verdana"/>
            <w:color w:val="0070C0"/>
            <w:sz w:val="20"/>
            <w:szCs w:val="20"/>
            <w:lang w:val="bg-BG" w:eastAsia="cs-CZ"/>
          </w:rPr>
          <w:t>З</w:t>
        </w:r>
        <w:r w:rsidR="00C15B20" w:rsidRPr="00B45B4F">
          <w:rPr>
            <w:rFonts w:ascii="Verdana" w:hAnsi="Verdana"/>
            <w:color w:val="0070C0"/>
            <w:sz w:val="20"/>
            <w:szCs w:val="20"/>
            <w:lang w:val="bg-BG" w:eastAsia="cs-CZ"/>
          </w:rPr>
          <w:t>акон</w:t>
        </w:r>
        <w:r w:rsidR="00DF1209" w:rsidRPr="00B45B4F">
          <w:rPr>
            <w:rFonts w:ascii="Verdana" w:hAnsi="Verdana"/>
            <w:color w:val="0070C0"/>
            <w:sz w:val="20"/>
            <w:szCs w:val="20"/>
            <w:lang w:val="bg-BG" w:eastAsia="cs-CZ"/>
          </w:rPr>
          <w:t xml:space="preserve"> за професионалното образование и обучение</w:t>
        </w:r>
      </w:hyperlink>
    </w:p>
    <w:p w:rsidR="00DF1209" w:rsidRPr="00B45B4F" w:rsidRDefault="00C15B20" w:rsidP="00DF1209">
      <w:pPr>
        <w:pStyle w:val="BodyText"/>
        <w:tabs>
          <w:tab w:val="left" w:pos="0"/>
          <w:tab w:val="right" w:pos="9214"/>
        </w:tabs>
        <w:spacing w:before="120" w:line="276" w:lineRule="auto"/>
        <w:jc w:val="both"/>
        <w:rPr>
          <w:rFonts w:ascii="Verdana" w:hAnsi="Verdana"/>
          <w:sz w:val="20"/>
          <w:szCs w:val="20"/>
        </w:rPr>
      </w:pPr>
      <w:r w:rsidRPr="00B45B4F">
        <w:rPr>
          <w:rFonts w:ascii="Verdana" w:hAnsi="Verdana"/>
          <w:sz w:val="20"/>
          <w:szCs w:val="20"/>
        </w:rPr>
        <w:t>Очаква се актуализация на закона.</w:t>
      </w:r>
    </w:p>
    <w:p w:rsidR="00DF1209" w:rsidRPr="00B45B4F" w:rsidRDefault="004020E1" w:rsidP="00DF1209">
      <w:pPr>
        <w:keepNext/>
        <w:pBdr>
          <w:bottom w:val="single" w:sz="4" w:space="1" w:color="0070C0"/>
        </w:pBdr>
        <w:spacing w:before="360" w:after="120"/>
        <w:jc w:val="both"/>
        <w:rPr>
          <w:rFonts w:ascii="Verdana" w:hAnsi="Verdana"/>
          <w:color w:val="0070C0"/>
          <w:sz w:val="20"/>
          <w:szCs w:val="20"/>
          <w:lang w:val="bg-BG" w:eastAsia="cs-CZ"/>
        </w:rPr>
      </w:pPr>
      <w:hyperlink r:id="rId34" w:tgtFrame="_blank" w:history="1">
        <w:r w:rsidR="00DF1209" w:rsidRPr="00B45B4F">
          <w:rPr>
            <w:rFonts w:ascii="Verdana" w:hAnsi="Verdana"/>
            <w:color w:val="0070C0"/>
            <w:sz w:val="20"/>
            <w:szCs w:val="20"/>
            <w:lang w:val="bg-BG" w:eastAsia="cs-CZ"/>
          </w:rPr>
          <w:t>З</w:t>
        </w:r>
        <w:r w:rsidR="00C15B20" w:rsidRPr="00B45B4F">
          <w:rPr>
            <w:rFonts w:ascii="Verdana" w:hAnsi="Verdana"/>
            <w:color w:val="0070C0"/>
            <w:sz w:val="20"/>
            <w:szCs w:val="20"/>
            <w:lang w:val="bg-BG" w:eastAsia="cs-CZ"/>
          </w:rPr>
          <w:t>акон</w:t>
        </w:r>
        <w:r w:rsidR="00DF1209" w:rsidRPr="00B45B4F">
          <w:rPr>
            <w:rFonts w:ascii="Verdana" w:hAnsi="Verdana"/>
            <w:color w:val="0070C0"/>
            <w:sz w:val="20"/>
            <w:szCs w:val="20"/>
            <w:lang w:val="bg-BG" w:eastAsia="cs-CZ"/>
          </w:rPr>
          <w:t xml:space="preserve"> за висшето образование</w:t>
        </w:r>
      </w:hyperlink>
    </w:p>
    <w:p w:rsidR="005317C9" w:rsidRPr="00B45B4F" w:rsidRDefault="000F1522" w:rsidP="001B6329">
      <w:pPr>
        <w:pStyle w:val="BodyText"/>
        <w:tabs>
          <w:tab w:val="left" w:pos="0"/>
          <w:tab w:val="right" w:pos="9214"/>
        </w:tabs>
        <w:spacing w:line="276" w:lineRule="auto"/>
        <w:jc w:val="both"/>
        <w:rPr>
          <w:rFonts w:ascii="Verdana" w:hAnsi="Verdana"/>
          <w:sz w:val="20"/>
          <w:szCs w:val="20"/>
        </w:rPr>
      </w:pPr>
      <w:r w:rsidRPr="00B45B4F">
        <w:rPr>
          <w:rFonts w:ascii="Verdana" w:hAnsi="Verdana"/>
          <w:sz w:val="20"/>
          <w:szCs w:val="20"/>
        </w:rPr>
        <w:t xml:space="preserve">Законът урежда устройството, функциите, управлението и финансирането на висшето образование в Република България и поради това има отношение към дейностите, планирани в ОПНОИР </w:t>
      </w:r>
      <w:r w:rsidR="005106CE" w:rsidRPr="00B45B4F">
        <w:rPr>
          <w:rFonts w:ascii="Verdana" w:hAnsi="Verdana"/>
          <w:sz w:val="20"/>
          <w:szCs w:val="20"/>
        </w:rPr>
        <w:t>2014–2020</w:t>
      </w:r>
      <w:r w:rsidRPr="00B45B4F">
        <w:rPr>
          <w:rFonts w:ascii="Verdana" w:hAnsi="Verdana"/>
          <w:sz w:val="20"/>
          <w:szCs w:val="20"/>
        </w:rPr>
        <w:t xml:space="preserve"> г. </w:t>
      </w:r>
      <w:r w:rsidR="00761A41" w:rsidRPr="00B45B4F">
        <w:rPr>
          <w:rFonts w:ascii="Verdana" w:hAnsi="Verdana"/>
          <w:sz w:val="20"/>
          <w:szCs w:val="20"/>
        </w:rPr>
        <w:t>за</w:t>
      </w:r>
      <w:r w:rsidRPr="00B45B4F">
        <w:rPr>
          <w:rFonts w:ascii="Verdana" w:hAnsi="Verdana"/>
          <w:sz w:val="20"/>
          <w:szCs w:val="20"/>
        </w:rPr>
        <w:t xml:space="preserve"> усъвършенстване на системите за управление на висшите училища, усъвършенстване на системата за акредитация и рейтинговата система, разработване и внедряване на модели за обвързване на финансирането с реализацията на студентите.</w:t>
      </w:r>
      <w:r w:rsidR="002D4C3A">
        <w:rPr>
          <w:rFonts w:ascii="Verdana" w:hAnsi="Verdana"/>
          <w:sz w:val="20"/>
          <w:szCs w:val="20"/>
        </w:rPr>
        <w:t xml:space="preserve"> </w:t>
      </w:r>
      <w:r w:rsidR="005317C9" w:rsidRPr="00B45B4F">
        <w:rPr>
          <w:rFonts w:ascii="Verdana" w:hAnsi="Verdana"/>
          <w:sz w:val="20"/>
          <w:szCs w:val="20"/>
        </w:rPr>
        <w:t>Програмата не е в противоречие с клаузи на закона.</w:t>
      </w:r>
    </w:p>
    <w:p w:rsidR="00DF1209" w:rsidRPr="00B45B4F" w:rsidRDefault="004020E1" w:rsidP="00DF1209">
      <w:pPr>
        <w:keepNext/>
        <w:pBdr>
          <w:bottom w:val="single" w:sz="4" w:space="1" w:color="0070C0"/>
        </w:pBdr>
        <w:spacing w:before="360" w:after="120"/>
        <w:jc w:val="both"/>
        <w:rPr>
          <w:rFonts w:ascii="Verdana" w:hAnsi="Verdana"/>
          <w:color w:val="0070C0"/>
          <w:sz w:val="20"/>
          <w:szCs w:val="20"/>
          <w:lang w:val="bg-BG" w:eastAsia="cs-CZ"/>
        </w:rPr>
      </w:pPr>
      <w:hyperlink r:id="rId35" w:tgtFrame="_blank" w:history="1">
        <w:r w:rsidR="00DF1209" w:rsidRPr="00B45B4F">
          <w:rPr>
            <w:rFonts w:ascii="Verdana" w:hAnsi="Verdana"/>
            <w:color w:val="0070C0"/>
            <w:sz w:val="20"/>
            <w:szCs w:val="20"/>
            <w:lang w:val="bg-BG" w:eastAsia="cs-CZ"/>
          </w:rPr>
          <w:t>З</w:t>
        </w:r>
        <w:r w:rsidR="00C15B20" w:rsidRPr="00B45B4F">
          <w:rPr>
            <w:rFonts w:ascii="Verdana" w:hAnsi="Verdana"/>
            <w:color w:val="0070C0"/>
            <w:sz w:val="20"/>
            <w:szCs w:val="20"/>
            <w:lang w:val="bg-BG" w:eastAsia="cs-CZ"/>
          </w:rPr>
          <w:t>акон</w:t>
        </w:r>
        <w:r w:rsidR="00DF1209" w:rsidRPr="00B45B4F">
          <w:rPr>
            <w:rFonts w:ascii="Verdana" w:hAnsi="Verdana"/>
            <w:color w:val="0070C0"/>
            <w:sz w:val="20"/>
            <w:szCs w:val="20"/>
            <w:lang w:val="bg-BG" w:eastAsia="cs-CZ"/>
          </w:rPr>
          <w:t xml:space="preserve"> за развитието на академичния състав в Република България</w:t>
        </w:r>
      </w:hyperlink>
    </w:p>
    <w:p w:rsidR="00DF1209" w:rsidRPr="00B45B4F" w:rsidRDefault="005317C9" w:rsidP="009C3C2B">
      <w:pPr>
        <w:pStyle w:val="BodyText"/>
        <w:tabs>
          <w:tab w:val="left" w:pos="0"/>
          <w:tab w:val="right" w:pos="9214"/>
        </w:tabs>
        <w:spacing w:before="120" w:after="240" w:line="276" w:lineRule="auto"/>
        <w:jc w:val="both"/>
        <w:rPr>
          <w:rFonts w:ascii="Verdana" w:hAnsi="Verdana"/>
          <w:sz w:val="20"/>
          <w:szCs w:val="20"/>
        </w:rPr>
      </w:pPr>
      <w:r w:rsidRPr="00B45B4F">
        <w:rPr>
          <w:rFonts w:ascii="Verdana" w:hAnsi="Verdana"/>
          <w:sz w:val="20"/>
          <w:szCs w:val="20"/>
        </w:rPr>
        <w:t>Законът урежда научните степени и академичните длъжности в Република България и няма пряка връзка с подкрепата па О</w:t>
      </w:r>
      <w:r w:rsidR="00F53ED2" w:rsidRPr="00B45B4F">
        <w:rPr>
          <w:rFonts w:ascii="Verdana" w:hAnsi="Verdana"/>
          <w:sz w:val="20"/>
          <w:szCs w:val="20"/>
        </w:rPr>
        <w:t>П</w:t>
      </w:r>
      <w:r w:rsidRPr="00B45B4F">
        <w:rPr>
          <w:rFonts w:ascii="Verdana" w:hAnsi="Verdana"/>
          <w:sz w:val="20"/>
          <w:szCs w:val="20"/>
        </w:rPr>
        <w:t xml:space="preserve">НОИР </w:t>
      </w:r>
      <w:r w:rsidR="005106CE" w:rsidRPr="00B45B4F">
        <w:rPr>
          <w:rFonts w:ascii="Verdana" w:hAnsi="Verdana"/>
          <w:sz w:val="20"/>
          <w:szCs w:val="20"/>
        </w:rPr>
        <w:t>2014–2020</w:t>
      </w:r>
      <w:r w:rsidRPr="00B45B4F">
        <w:rPr>
          <w:rFonts w:ascii="Verdana" w:hAnsi="Verdana"/>
          <w:sz w:val="20"/>
          <w:szCs w:val="20"/>
        </w:rPr>
        <w:t xml:space="preserve"> г.</w:t>
      </w:r>
    </w:p>
    <w:p w:rsidR="00DF1209" w:rsidRPr="00B45B4F" w:rsidRDefault="004020E1" w:rsidP="00DF1209">
      <w:pPr>
        <w:keepNext/>
        <w:pBdr>
          <w:bottom w:val="single" w:sz="4" w:space="1" w:color="0070C0"/>
        </w:pBdr>
        <w:spacing w:before="360" w:after="120"/>
        <w:jc w:val="both"/>
        <w:rPr>
          <w:rFonts w:ascii="Verdana" w:hAnsi="Verdana"/>
          <w:color w:val="0070C0"/>
          <w:sz w:val="20"/>
          <w:szCs w:val="20"/>
          <w:lang w:val="bg-BG" w:eastAsia="cs-CZ"/>
        </w:rPr>
      </w:pPr>
      <w:hyperlink r:id="rId36" w:tgtFrame="_blank" w:history="1">
        <w:r w:rsidR="00DF1209" w:rsidRPr="00B45B4F">
          <w:rPr>
            <w:rFonts w:ascii="Verdana" w:hAnsi="Verdana"/>
            <w:color w:val="0070C0"/>
            <w:sz w:val="20"/>
            <w:szCs w:val="20"/>
            <w:lang w:val="bg-BG" w:eastAsia="cs-CZ"/>
          </w:rPr>
          <w:t>З</w:t>
        </w:r>
        <w:r w:rsidR="00C15B20" w:rsidRPr="00B45B4F">
          <w:rPr>
            <w:rFonts w:ascii="Verdana" w:hAnsi="Verdana"/>
            <w:color w:val="0070C0"/>
            <w:sz w:val="20"/>
            <w:szCs w:val="20"/>
            <w:lang w:val="bg-BG" w:eastAsia="cs-CZ"/>
          </w:rPr>
          <w:t>акон</w:t>
        </w:r>
        <w:r w:rsidR="00DF1209" w:rsidRPr="00B45B4F">
          <w:rPr>
            <w:rFonts w:ascii="Verdana" w:hAnsi="Verdana"/>
            <w:color w:val="0070C0"/>
            <w:sz w:val="20"/>
            <w:szCs w:val="20"/>
            <w:lang w:val="bg-BG" w:eastAsia="cs-CZ"/>
          </w:rPr>
          <w:t xml:space="preserve"> за насърчаване на научните изследвания</w:t>
        </w:r>
      </w:hyperlink>
    </w:p>
    <w:p w:rsidR="00DF1209" w:rsidRPr="00B45B4F" w:rsidRDefault="009C3C2B" w:rsidP="001B6329">
      <w:pPr>
        <w:pStyle w:val="BodyText"/>
        <w:tabs>
          <w:tab w:val="left" w:pos="0"/>
          <w:tab w:val="right" w:pos="9214"/>
        </w:tabs>
        <w:spacing w:line="276" w:lineRule="auto"/>
        <w:jc w:val="both"/>
        <w:rPr>
          <w:rFonts w:ascii="Verdana" w:hAnsi="Verdana"/>
          <w:sz w:val="20"/>
          <w:szCs w:val="20"/>
        </w:rPr>
      </w:pPr>
      <w:r w:rsidRPr="00B45B4F">
        <w:rPr>
          <w:rFonts w:ascii="Verdana" w:hAnsi="Verdana"/>
          <w:sz w:val="20"/>
          <w:szCs w:val="20"/>
        </w:rPr>
        <w:t>Законът урежда принципите и механизмите за провеждането на държавната политика за насърчаване на научните изследвания в Република България и има пряко отношение към подкрепата, предоставяна чрез ОПНОИР за научни изследвания. Законът посочва, че научните изследвания са национален приоритет и имат стратегическо значение за страната и урежда предоставянето на финансова подкрепа за провеждане на научни изследвания, стимулиране на международното научно сътрудничество, развитие на човешките ресурси и</w:t>
      </w:r>
      <w:r w:rsidR="00922A47" w:rsidRPr="00B45B4F">
        <w:rPr>
          <w:rFonts w:ascii="Verdana" w:hAnsi="Verdana"/>
          <w:sz w:val="20"/>
          <w:szCs w:val="20"/>
        </w:rPr>
        <w:t xml:space="preserve"> създаване на</w:t>
      </w:r>
      <w:r w:rsidRPr="00B45B4F">
        <w:rPr>
          <w:rFonts w:ascii="Verdana" w:hAnsi="Verdana"/>
          <w:sz w:val="20"/>
          <w:szCs w:val="20"/>
        </w:rPr>
        <w:t xml:space="preserve"> мостови </w:t>
      </w:r>
      <w:r w:rsidR="00922A47" w:rsidRPr="00B45B4F">
        <w:rPr>
          <w:rFonts w:ascii="Verdana" w:hAnsi="Verdana"/>
          <w:sz w:val="20"/>
          <w:szCs w:val="20"/>
        </w:rPr>
        <w:t xml:space="preserve">структури между университетите, </w:t>
      </w:r>
      <w:r w:rsidRPr="00B45B4F">
        <w:rPr>
          <w:rFonts w:ascii="Verdana" w:hAnsi="Verdana"/>
          <w:sz w:val="20"/>
          <w:szCs w:val="20"/>
        </w:rPr>
        <w:t>научните организации и бизнеса</w:t>
      </w:r>
      <w:r w:rsidR="002327AA" w:rsidRPr="00B45B4F">
        <w:rPr>
          <w:rFonts w:ascii="Verdana" w:hAnsi="Verdana"/>
          <w:sz w:val="20"/>
          <w:szCs w:val="20"/>
        </w:rPr>
        <w:t xml:space="preserve">. В това отношение ОПНОИР </w:t>
      </w:r>
      <w:r w:rsidR="005106CE" w:rsidRPr="00B45B4F">
        <w:rPr>
          <w:rFonts w:ascii="Verdana" w:hAnsi="Verdana"/>
          <w:sz w:val="20"/>
          <w:szCs w:val="20"/>
        </w:rPr>
        <w:t>2014–2020</w:t>
      </w:r>
      <w:r w:rsidR="002327AA" w:rsidRPr="00B45B4F">
        <w:rPr>
          <w:rFonts w:ascii="Verdana" w:hAnsi="Verdana"/>
          <w:sz w:val="20"/>
          <w:szCs w:val="20"/>
        </w:rPr>
        <w:t xml:space="preserve"> г. предвижда подкрепа, която ще допълва подкрепата от националния бюджет.</w:t>
      </w:r>
    </w:p>
    <w:p w:rsidR="00DF1209" w:rsidRPr="00B45B4F" w:rsidRDefault="004020E1" w:rsidP="00DF1209">
      <w:pPr>
        <w:keepNext/>
        <w:pBdr>
          <w:bottom w:val="single" w:sz="4" w:space="1" w:color="0070C0"/>
        </w:pBdr>
        <w:spacing w:before="360" w:after="120"/>
        <w:jc w:val="both"/>
        <w:rPr>
          <w:rFonts w:ascii="Verdana" w:hAnsi="Verdana"/>
          <w:color w:val="0070C0"/>
          <w:sz w:val="20"/>
          <w:szCs w:val="20"/>
          <w:lang w:val="bg-BG" w:eastAsia="cs-CZ"/>
        </w:rPr>
      </w:pPr>
      <w:hyperlink r:id="rId37" w:tgtFrame="_blank" w:history="1">
        <w:r w:rsidR="00DF1209" w:rsidRPr="00B45B4F">
          <w:rPr>
            <w:rFonts w:ascii="Verdana" w:hAnsi="Verdana"/>
            <w:color w:val="0070C0"/>
            <w:sz w:val="20"/>
            <w:szCs w:val="20"/>
            <w:lang w:val="bg-BG" w:eastAsia="cs-CZ"/>
          </w:rPr>
          <w:t>Закон за кредитиране на студенти и докторанти</w:t>
        </w:r>
      </w:hyperlink>
    </w:p>
    <w:p w:rsidR="00DF1209" w:rsidRPr="00B45B4F" w:rsidRDefault="002B4913" w:rsidP="001B6329">
      <w:pPr>
        <w:pStyle w:val="BodyText"/>
        <w:tabs>
          <w:tab w:val="left" w:pos="0"/>
          <w:tab w:val="right" w:pos="9214"/>
        </w:tabs>
        <w:spacing w:line="276" w:lineRule="auto"/>
        <w:jc w:val="both"/>
        <w:rPr>
          <w:rFonts w:ascii="Verdana" w:hAnsi="Verdana"/>
          <w:sz w:val="20"/>
          <w:szCs w:val="20"/>
        </w:rPr>
      </w:pPr>
      <w:r w:rsidRPr="00B45B4F">
        <w:rPr>
          <w:rFonts w:ascii="Verdana" w:hAnsi="Verdana"/>
          <w:sz w:val="20"/>
          <w:szCs w:val="20"/>
        </w:rPr>
        <w:t>Законът урежда условията и реда за кредитиране на студенти и докторанти с държавна финансова подкрепа.</w:t>
      </w:r>
      <w:r w:rsidR="00284CC1" w:rsidRPr="00B45B4F">
        <w:rPr>
          <w:rFonts w:ascii="Verdana" w:hAnsi="Verdana"/>
          <w:sz w:val="20"/>
          <w:szCs w:val="20"/>
        </w:rPr>
        <w:t xml:space="preserve"> В допълнение, по</w:t>
      </w:r>
      <w:r w:rsidRPr="00B45B4F">
        <w:rPr>
          <w:rFonts w:ascii="Verdana" w:hAnsi="Verdana"/>
          <w:sz w:val="20"/>
          <w:szCs w:val="20"/>
        </w:rPr>
        <w:t xml:space="preserve"> ОПНОИР </w:t>
      </w:r>
      <w:r w:rsidR="005106CE" w:rsidRPr="00B45B4F">
        <w:rPr>
          <w:rFonts w:ascii="Verdana" w:hAnsi="Verdana"/>
          <w:sz w:val="20"/>
          <w:szCs w:val="20"/>
        </w:rPr>
        <w:t>2014–2020</w:t>
      </w:r>
      <w:r w:rsidRPr="00B45B4F">
        <w:rPr>
          <w:rFonts w:ascii="Verdana" w:hAnsi="Verdana"/>
          <w:sz w:val="20"/>
          <w:szCs w:val="20"/>
        </w:rPr>
        <w:t xml:space="preserve"> г. </w:t>
      </w:r>
      <w:r w:rsidR="00284CC1" w:rsidRPr="00B45B4F">
        <w:rPr>
          <w:rFonts w:ascii="Verdana" w:hAnsi="Verdana"/>
          <w:sz w:val="20"/>
          <w:szCs w:val="20"/>
        </w:rPr>
        <w:t xml:space="preserve"> е предвидена </w:t>
      </w:r>
      <w:r w:rsidR="00E00417" w:rsidRPr="00B45B4F">
        <w:rPr>
          <w:rFonts w:ascii="Verdana" w:hAnsi="Verdana"/>
          <w:sz w:val="20"/>
          <w:szCs w:val="20"/>
        </w:rPr>
        <w:t>подкрепа на системата з</w:t>
      </w:r>
      <w:r w:rsidRPr="00B45B4F">
        <w:rPr>
          <w:rFonts w:ascii="Verdana" w:hAnsi="Verdana"/>
          <w:sz w:val="20"/>
          <w:szCs w:val="20"/>
        </w:rPr>
        <w:t>а</w:t>
      </w:r>
      <w:r w:rsidR="00E00417" w:rsidRPr="00B45B4F">
        <w:rPr>
          <w:rFonts w:ascii="Verdana" w:hAnsi="Verdana"/>
          <w:sz w:val="20"/>
          <w:szCs w:val="20"/>
        </w:rPr>
        <w:t xml:space="preserve"> студентско кредитиране.</w:t>
      </w:r>
      <w:r w:rsidR="00284CC1" w:rsidRPr="00B45B4F">
        <w:rPr>
          <w:rFonts w:ascii="Verdana" w:hAnsi="Verdana"/>
          <w:sz w:val="20"/>
          <w:szCs w:val="20"/>
        </w:rPr>
        <w:t xml:space="preserve"> В програмата не е изяснено принципното допълване или разграничаване между двата инст</w:t>
      </w:r>
      <w:r w:rsidR="000C29F4" w:rsidRPr="00B45B4F">
        <w:rPr>
          <w:rFonts w:ascii="Verdana" w:hAnsi="Verdana"/>
          <w:sz w:val="20"/>
          <w:szCs w:val="20"/>
        </w:rPr>
        <w:t>р</w:t>
      </w:r>
      <w:r w:rsidR="00284CC1" w:rsidRPr="00B45B4F">
        <w:rPr>
          <w:rFonts w:ascii="Verdana" w:hAnsi="Verdana"/>
          <w:sz w:val="20"/>
          <w:szCs w:val="20"/>
        </w:rPr>
        <w:t>умента.</w:t>
      </w:r>
    </w:p>
    <w:p w:rsidR="00DF1209" w:rsidRPr="00B45B4F" w:rsidRDefault="00DF1209" w:rsidP="00DF1209">
      <w:pPr>
        <w:pStyle w:val="BodyText"/>
        <w:tabs>
          <w:tab w:val="left" w:pos="0"/>
          <w:tab w:val="right" w:pos="9214"/>
        </w:tabs>
        <w:spacing w:before="120" w:line="276" w:lineRule="auto"/>
        <w:jc w:val="both"/>
        <w:rPr>
          <w:rFonts w:ascii="Verdana" w:hAnsi="Verdana"/>
          <w:sz w:val="20"/>
          <w:szCs w:val="20"/>
        </w:rPr>
      </w:pPr>
    </w:p>
    <w:tbl>
      <w:tblPr>
        <w:tblW w:w="0" w:type="auto"/>
        <w:tblInd w:w="108" w:type="dxa"/>
        <w:tblBorders>
          <w:top w:val="single" w:sz="4" w:space="0" w:color="auto"/>
          <w:bottom w:val="single" w:sz="4" w:space="0" w:color="auto"/>
        </w:tblBorders>
        <w:tblLook w:val="04A0" w:firstRow="1" w:lastRow="0" w:firstColumn="1" w:lastColumn="0" w:noHBand="0" w:noVBand="1"/>
      </w:tblPr>
      <w:tblGrid>
        <w:gridCol w:w="540"/>
        <w:gridCol w:w="8640"/>
      </w:tblGrid>
      <w:tr w:rsidR="00DF1209" w:rsidRPr="009872C0" w:rsidTr="00D4496B">
        <w:trPr>
          <w:trHeight w:val="617"/>
        </w:trPr>
        <w:tc>
          <w:tcPr>
            <w:tcW w:w="540" w:type="dxa"/>
            <w:vAlign w:val="center"/>
          </w:tcPr>
          <w:p w:rsidR="00DF1209" w:rsidRPr="009872C0" w:rsidRDefault="00723E65" w:rsidP="00E65FBF">
            <w:pPr>
              <w:pStyle w:val="BodyText"/>
              <w:keepNext/>
              <w:spacing w:after="0" w:line="276" w:lineRule="auto"/>
              <w:jc w:val="center"/>
              <w:rPr>
                <w:rFonts w:ascii="Verdana" w:hAnsi="Verdana"/>
                <w:color w:val="548DD4"/>
                <w:sz w:val="20"/>
                <w:szCs w:val="20"/>
              </w:rPr>
            </w:pPr>
            <w:r w:rsidRPr="009872C0">
              <w:rPr>
                <w:rFonts w:ascii="Verdana" w:hAnsi="Verdana"/>
                <w:color w:val="548DD4"/>
                <w:sz w:val="36"/>
                <w:szCs w:val="36"/>
              </w:rPr>
              <w:lastRenderedPageBreak/>
              <w:t>?</w:t>
            </w:r>
          </w:p>
        </w:tc>
        <w:tc>
          <w:tcPr>
            <w:tcW w:w="8640" w:type="dxa"/>
            <w:shd w:val="clear" w:color="auto" w:fill="B8CCE4"/>
            <w:vAlign w:val="center"/>
          </w:tcPr>
          <w:p w:rsidR="00DF1209" w:rsidRPr="009872C0" w:rsidRDefault="00DF1209" w:rsidP="00D4496B">
            <w:pPr>
              <w:keepNext/>
              <w:suppressAutoHyphens/>
              <w:spacing w:before="120" w:after="120" w:line="240" w:lineRule="auto"/>
              <w:ind w:left="115"/>
              <w:rPr>
                <w:rFonts w:ascii="Verdana" w:hAnsi="Verdana" w:cs="TimesNewRomanPSMT"/>
                <w:sz w:val="20"/>
                <w:szCs w:val="20"/>
                <w:lang w:val="bg-BG" w:eastAsia="bg-BG"/>
              </w:rPr>
            </w:pPr>
            <w:r w:rsidRPr="009872C0">
              <w:rPr>
                <w:rFonts w:ascii="Verdana" w:hAnsi="Verdana"/>
                <w:sz w:val="20"/>
                <w:szCs w:val="20"/>
                <w:lang w:val="bg-BG"/>
              </w:rPr>
              <w:t>Съгласуваност с други секторни програми</w:t>
            </w:r>
          </w:p>
        </w:tc>
      </w:tr>
    </w:tbl>
    <w:p w:rsidR="00DF1209" w:rsidRPr="00B45B4F" w:rsidRDefault="00DF1209" w:rsidP="00416243">
      <w:pPr>
        <w:keepNext/>
        <w:pBdr>
          <w:bottom w:val="single" w:sz="4" w:space="1" w:color="0070C0"/>
        </w:pBdr>
        <w:spacing w:before="360" w:after="120"/>
        <w:jc w:val="both"/>
        <w:rPr>
          <w:rFonts w:ascii="Verdana" w:hAnsi="Verdana"/>
          <w:color w:val="0070C0"/>
          <w:sz w:val="20"/>
          <w:szCs w:val="20"/>
          <w:lang w:val="bg-BG" w:eastAsia="cs-CZ"/>
        </w:rPr>
      </w:pPr>
      <w:r w:rsidRPr="00B45B4F">
        <w:rPr>
          <w:rFonts w:ascii="Verdana" w:hAnsi="Verdana"/>
          <w:color w:val="0070C0"/>
          <w:sz w:val="20"/>
          <w:szCs w:val="20"/>
          <w:lang w:val="bg-BG" w:eastAsia="cs-CZ"/>
        </w:rPr>
        <w:t>Комюнике от Букурещ на министрите, отговорни за висшето образование: Да използваме потенциала си по най-добрия възможен начин – консолидиране на Европейското пространство за висше образование (2012 г.)</w:t>
      </w:r>
    </w:p>
    <w:p w:rsidR="00A9125F" w:rsidRPr="00B45B4F" w:rsidRDefault="00E00417" w:rsidP="00A9125F">
      <w:pPr>
        <w:pStyle w:val="BodyText"/>
        <w:tabs>
          <w:tab w:val="left" w:pos="0"/>
          <w:tab w:val="right" w:pos="9214"/>
        </w:tabs>
        <w:spacing w:line="276" w:lineRule="auto"/>
        <w:jc w:val="both"/>
        <w:rPr>
          <w:rFonts w:ascii="Verdana" w:hAnsi="Verdana"/>
          <w:sz w:val="20"/>
          <w:szCs w:val="20"/>
        </w:rPr>
      </w:pPr>
      <w:r w:rsidRPr="00B45B4F">
        <w:rPr>
          <w:rFonts w:ascii="Verdana" w:hAnsi="Verdana"/>
          <w:sz w:val="20"/>
          <w:szCs w:val="20"/>
        </w:rPr>
        <w:t xml:space="preserve">Комюникето декларира поетия ангажимент от министрите, отговарящи за висшето образование от 47-те държави членки на Европейското пространство за висше образование съответните страни да осигурят възможно най-доброто ниво на обществено финансиране за висшето образование и да се възползват от други  подходящи източници </w:t>
      </w:r>
      <w:r w:rsidR="00043109" w:rsidRPr="00B45B4F">
        <w:rPr>
          <w:rFonts w:ascii="Verdana" w:hAnsi="Verdana"/>
          <w:sz w:val="20"/>
          <w:szCs w:val="20"/>
        </w:rPr>
        <w:t>за</w:t>
      </w:r>
      <w:r w:rsidR="006236C7" w:rsidRPr="00B45B4F">
        <w:rPr>
          <w:rFonts w:ascii="Verdana" w:hAnsi="Verdana"/>
          <w:sz w:val="20"/>
          <w:szCs w:val="20"/>
        </w:rPr>
        <w:t xml:space="preserve"> инвестиции</w:t>
      </w:r>
      <w:r w:rsidRPr="00B45B4F">
        <w:rPr>
          <w:rFonts w:ascii="Verdana" w:hAnsi="Verdana"/>
          <w:sz w:val="20"/>
          <w:szCs w:val="20"/>
        </w:rPr>
        <w:t>. Основните пол</w:t>
      </w:r>
      <w:r w:rsidR="00A9125F" w:rsidRPr="00B45B4F">
        <w:rPr>
          <w:rFonts w:ascii="Verdana" w:hAnsi="Verdana"/>
          <w:sz w:val="20"/>
          <w:szCs w:val="20"/>
        </w:rPr>
        <w:t xml:space="preserve">итики, посочени в комюникето са отразени в ОПНОИР </w:t>
      </w:r>
      <w:r w:rsidR="005106CE" w:rsidRPr="00B45B4F">
        <w:rPr>
          <w:rFonts w:ascii="Verdana" w:hAnsi="Verdana"/>
          <w:sz w:val="20"/>
          <w:szCs w:val="20"/>
        </w:rPr>
        <w:t>2014–2020</w:t>
      </w:r>
      <w:r w:rsidR="00A9125F" w:rsidRPr="00B45B4F">
        <w:rPr>
          <w:rFonts w:ascii="Verdana" w:hAnsi="Verdana"/>
          <w:sz w:val="20"/>
          <w:szCs w:val="20"/>
        </w:rPr>
        <w:t>. Това са политиките по отношение на:</w:t>
      </w:r>
    </w:p>
    <w:p w:rsidR="00E00417" w:rsidRPr="00B45B4F" w:rsidRDefault="00E00417" w:rsidP="00A576D1">
      <w:pPr>
        <w:pStyle w:val="BodyText"/>
        <w:tabs>
          <w:tab w:val="left" w:pos="0"/>
          <w:tab w:val="right" w:pos="9214"/>
        </w:tabs>
        <w:spacing w:line="276" w:lineRule="auto"/>
        <w:jc w:val="both"/>
        <w:rPr>
          <w:rFonts w:ascii="Verdana" w:hAnsi="Verdana"/>
          <w:sz w:val="20"/>
          <w:szCs w:val="20"/>
        </w:rPr>
      </w:pPr>
      <w:r w:rsidRPr="00B45B4F">
        <w:rPr>
          <w:rFonts w:ascii="Verdana" w:hAnsi="Verdana"/>
          <w:i/>
          <w:sz w:val="20"/>
          <w:szCs w:val="20"/>
        </w:rPr>
        <w:t>Осигуряване на качествено образование за всички</w:t>
      </w:r>
      <w:r w:rsidRPr="00B45B4F">
        <w:rPr>
          <w:rFonts w:ascii="Verdana" w:hAnsi="Verdana"/>
          <w:sz w:val="20"/>
          <w:szCs w:val="20"/>
        </w:rPr>
        <w:t xml:space="preserve"> –подобряване на достъпа до висше образование, насочено към студентите, което се характеризира с иновативни методи на преподаване, осигуряване на качество на образованието и подобрено финансиране и управление.</w:t>
      </w:r>
    </w:p>
    <w:p w:rsidR="00E00417" w:rsidRPr="00B45B4F" w:rsidRDefault="00E00417" w:rsidP="00A576D1">
      <w:pPr>
        <w:widowControl w:val="0"/>
        <w:spacing w:after="120"/>
        <w:jc w:val="both"/>
        <w:rPr>
          <w:rFonts w:ascii="Verdana" w:hAnsi="Verdana"/>
          <w:sz w:val="20"/>
          <w:szCs w:val="20"/>
          <w:lang w:val="bg-BG"/>
        </w:rPr>
      </w:pPr>
      <w:r w:rsidRPr="00B45B4F">
        <w:rPr>
          <w:rFonts w:ascii="Verdana" w:hAnsi="Verdana"/>
          <w:i/>
          <w:sz w:val="20"/>
          <w:szCs w:val="20"/>
          <w:lang w:val="bg-BG"/>
        </w:rPr>
        <w:t>Увеличаване на заетостта за посрещане на нуждите на Европа</w:t>
      </w:r>
      <w:r w:rsidRPr="00B45B4F">
        <w:rPr>
          <w:rFonts w:ascii="Verdana" w:hAnsi="Verdana"/>
          <w:sz w:val="20"/>
          <w:szCs w:val="20"/>
          <w:lang w:val="bg-BG"/>
        </w:rPr>
        <w:t xml:space="preserve"> – подобряване на сътрудничеството между работодателите, студентите и институциите за висше образование, особено при разработването на учебни програми, които подпомагат увеличаването на иновациите, предприемаческия и изследоват</w:t>
      </w:r>
      <w:r w:rsidR="00A576D1" w:rsidRPr="00B45B4F">
        <w:rPr>
          <w:rFonts w:ascii="Verdana" w:hAnsi="Verdana"/>
          <w:sz w:val="20"/>
          <w:szCs w:val="20"/>
          <w:lang w:val="bg-BG"/>
        </w:rPr>
        <w:t>елския потенциал на завършилите;</w:t>
      </w:r>
      <w:r w:rsidR="00A9125F" w:rsidRPr="00B45B4F">
        <w:rPr>
          <w:rFonts w:ascii="Verdana" w:hAnsi="Verdana"/>
          <w:sz w:val="20"/>
          <w:szCs w:val="20"/>
          <w:lang w:val="bg-BG"/>
        </w:rPr>
        <w:t xml:space="preserve"> учене през целия живот</w:t>
      </w:r>
      <w:r w:rsidR="00A576D1" w:rsidRPr="00B45B4F">
        <w:rPr>
          <w:rFonts w:ascii="Verdana" w:hAnsi="Verdana"/>
          <w:sz w:val="20"/>
          <w:szCs w:val="20"/>
          <w:lang w:val="bg-BG"/>
        </w:rPr>
        <w:t>;</w:t>
      </w:r>
      <w:r w:rsidR="00A9125F" w:rsidRPr="00B45B4F">
        <w:rPr>
          <w:rFonts w:ascii="Verdana" w:hAnsi="Verdana"/>
          <w:sz w:val="20"/>
          <w:szCs w:val="20"/>
          <w:lang w:val="bg-BG"/>
        </w:rPr>
        <w:t xml:space="preserve"> подобряване на връзката между обучението и изследователската дейност</w:t>
      </w:r>
      <w:r w:rsidR="00A576D1" w:rsidRPr="00B45B4F">
        <w:rPr>
          <w:rFonts w:ascii="Verdana" w:hAnsi="Verdana"/>
          <w:sz w:val="20"/>
          <w:szCs w:val="20"/>
          <w:lang w:val="bg-BG"/>
        </w:rPr>
        <w:t>;</w:t>
      </w:r>
      <w:r w:rsidR="00A9125F" w:rsidRPr="00B45B4F">
        <w:rPr>
          <w:rFonts w:ascii="Verdana" w:hAnsi="Verdana"/>
          <w:sz w:val="20"/>
          <w:szCs w:val="20"/>
          <w:lang w:val="bg-BG"/>
        </w:rPr>
        <w:t xml:space="preserve"> подобряване на учебните програми</w:t>
      </w:r>
      <w:r w:rsidR="004D4E2C">
        <w:rPr>
          <w:rFonts w:ascii="Verdana" w:hAnsi="Verdana"/>
          <w:sz w:val="20"/>
          <w:szCs w:val="20"/>
          <w:lang w:val="bg-BG"/>
        </w:rPr>
        <w:t>,</w:t>
      </w:r>
      <w:r w:rsidR="00A9125F" w:rsidRPr="00B45B4F">
        <w:rPr>
          <w:rFonts w:ascii="Verdana" w:hAnsi="Verdana"/>
          <w:sz w:val="20"/>
          <w:szCs w:val="20"/>
          <w:lang w:val="bg-BG"/>
        </w:rPr>
        <w:t xml:space="preserve"> по-добра връзка между академичните кредити, резултатите от ученето и натовареността на студентите, както и включване на постигането на учебни резултати в процедурите по оценяване, разработване на квалификационни рамки.</w:t>
      </w:r>
    </w:p>
    <w:p w:rsidR="00A9125F" w:rsidRPr="00B45B4F" w:rsidRDefault="00A9125F" w:rsidP="00A576D1">
      <w:pPr>
        <w:widowControl w:val="0"/>
        <w:spacing w:after="120"/>
        <w:jc w:val="both"/>
        <w:rPr>
          <w:rFonts w:ascii="Verdana" w:hAnsi="Verdana"/>
          <w:sz w:val="20"/>
          <w:szCs w:val="20"/>
          <w:lang w:val="bg-BG"/>
        </w:rPr>
      </w:pPr>
      <w:r w:rsidRPr="00B45B4F">
        <w:rPr>
          <w:rFonts w:ascii="Verdana" w:hAnsi="Verdana"/>
          <w:i/>
          <w:sz w:val="20"/>
          <w:szCs w:val="20"/>
          <w:lang w:val="bg-BG"/>
        </w:rPr>
        <w:t>Увеличаване на мобилността за по-добро обучение</w:t>
      </w:r>
      <w:r w:rsidRPr="00B45B4F">
        <w:rPr>
          <w:rFonts w:ascii="Verdana" w:hAnsi="Verdana"/>
          <w:sz w:val="20"/>
          <w:szCs w:val="20"/>
          <w:lang w:val="bg-BG"/>
        </w:rPr>
        <w:t xml:space="preserve"> – отворени системи за висше образование и по-добре балансирана мобилност; сътрудничеството с другите региони на света и отвореността към света.</w:t>
      </w:r>
      <w:r w:rsidR="00043109" w:rsidRPr="00B45B4F">
        <w:rPr>
          <w:rFonts w:ascii="Verdana" w:hAnsi="Verdana"/>
          <w:sz w:val="20"/>
          <w:szCs w:val="20"/>
          <w:lang w:val="bg-BG"/>
        </w:rPr>
        <w:t xml:space="preserve"> В това отношение ОПНОИР </w:t>
      </w:r>
      <w:r w:rsidR="004A7C92" w:rsidRPr="00B45B4F">
        <w:rPr>
          <w:rFonts w:ascii="Verdana" w:hAnsi="Verdana"/>
          <w:sz w:val="20"/>
          <w:szCs w:val="20"/>
          <w:lang w:val="bg-BG"/>
        </w:rPr>
        <w:t>не разглежда възможности за подкрепа з</w:t>
      </w:r>
      <w:r w:rsidR="00043109" w:rsidRPr="00B45B4F">
        <w:rPr>
          <w:rFonts w:ascii="Verdana" w:hAnsi="Verdana"/>
          <w:sz w:val="20"/>
          <w:szCs w:val="20"/>
          <w:lang w:val="bg-BG"/>
        </w:rPr>
        <w:t>а разработване на съвместни програми и степени с други университети, както част от мерките за подобряване на качеството и ефикасността на висшето образование.</w:t>
      </w:r>
    </w:p>
    <w:p w:rsidR="00A9125F" w:rsidRPr="00B45B4F" w:rsidRDefault="00A9125F" w:rsidP="00A576D1">
      <w:pPr>
        <w:widowControl w:val="0"/>
        <w:spacing w:after="120"/>
        <w:jc w:val="both"/>
        <w:rPr>
          <w:rFonts w:ascii="Verdana" w:hAnsi="Verdana"/>
          <w:sz w:val="20"/>
          <w:szCs w:val="20"/>
          <w:lang w:val="bg-BG"/>
        </w:rPr>
      </w:pPr>
      <w:r w:rsidRPr="00B45B4F">
        <w:rPr>
          <w:rFonts w:ascii="Verdana" w:hAnsi="Verdana"/>
          <w:i/>
          <w:sz w:val="20"/>
          <w:szCs w:val="20"/>
          <w:lang w:val="bg-BG"/>
        </w:rPr>
        <w:t>Подобряване събирането на данни и прозрачността в подкрепа на политическите ни цели</w:t>
      </w:r>
      <w:r w:rsidRPr="00B45B4F">
        <w:rPr>
          <w:rFonts w:ascii="Verdana" w:hAnsi="Verdana"/>
          <w:sz w:val="20"/>
          <w:szCs w:val="20"/>
          <w:lang w:val="bg-BG"/>
        </w:rPr>
        <w:t xml:space="preserve"> - </w:t>
      </w:r>
      <w:r w:rsidR="00A576D1" w:rsidRPr="00B45B4F">
        <w:rPr>
          <w:rFonts w:ascii="Verdana" w:hAnsi="Verdana"/>
          <w:sz w:val="20"/>
          <w:szCs w:val="20"/>
          <w:lang w:val="bg-BG"/>
        </w:rPr>
        <w:t>подобрено качество на данните и информацията за висшето образование; по-целенасочено събиране на данни и тяхното съотнасяне спрямо общоприети индикатори, например за заетостта, социалното измерение, ученето през целия живот, интернационализацията, преносимостта на грантовете/заемите и мобилността на студентите и преподавателите.</w:t>
      </w:r>
    </w:p>
    <w:p w:rsidR="00DF1209" w:rsidRPr="00B45B4F" w:rsidRDefault="00DF1209" w:rsidP="00416243">
      <w:pPr>
        <w:keepNext/>
        <w:pBdr>
          <w:bottom w:val="single" w:sz="4" w:space="1" w:color="0070C0"/>
        </w:pBdr>
        <w:spacing w:before="360" w:after="120"/>
        <w:jc w:val="both"/>
        <w:rPr>
          <w:rFonts w:ascii="Verdana" w:hAnsi="Verdana"/>
          <w:color w:val="0070C0"/>
          <w:sz w:val="20"/>
          <w:szCs w:val="20"/>
          <w:lang w:val="bg-BG" w:eastAsia="cs-CZ"/>
        </w:rPr>
      </w:pPr>
      <w:r w:rsidRPr="00B45B4F">
        <w:rPr>
          <w:rFonts w:ascii="Verdana" w:hAnsi="Verdana"/>
          <w:color w:val="0070C0"/>
          <w:sz w:val="20"/>
          <w:szCs w:val="20"/>
          <w:lang w:val="bg-BG" w:eastAsia="cs-CZ"/>
        </w:rPr>
        <w:t xml:space="preserve">Стратегия за мобилност 2020 за Европейското пространство за висше образование </w:t>
      </w:r>
    </w:p>
    <w:p w:rsidR="00416243" w:rsidRPr="00B45B4F" w:rsidRDefault="004C63EE" w:rsidP="004C63EE">
      <w:pPr>
        <w:jc w:val="both"/>
        <w:rPr>
          <w:rFonts w:ascii="Verdana" w:hAnsi="Verdana"/>
          <w:sz w:val="20"/>
          <w:szCs w:val="20"/>
          <w:lang w:val="bg-BG"/>
        </w:rPr>
      </w:pPr>
      <w:r w:rsidRPr="00B45B4F">
        <w:rPr>
          <w:rFonts w:ascii="Verdana" w:hAnsi="Verdana"/>
          <w:sz w:val="20"/>
          <w:szCs w:val="20"/>
          <w:lang w:val="bg-BG"/>
        </w:rPr>
        <w:t xml:space="preserve">Стратегията има за цел да насърчи мобилността на студенти, изследователи, преподаватели и други </w:t>
      </w:r>
      <w:r w:rsidR="00043109" w:rsidRPr="00B45B4F">
        <w:rPr>
          <w:rFonts w:ascii="Verdana" w:hAnsi="Verdana"/>
          <w:sz w:val="20"/>
          <w:szCs w:val="20"/>
          <w:lang w:val="bg-BG"/>
        </w:rPr>
        <w:t xml:space="preserve">кадри </w:t>
      </w:r>
      <w:r w:rsidRPr="00B45B4F">
        <w:rPr>
          <w:rFonts w:ascii="Verdana" w:hAnsi="Verdana"/>
          <w:sz w:val="20"/>
          <w:szCs w:val="20"/>
          <w:lang w:val="bg-BG"/>
        </w:rPr>
        <w:t>от системата на висшето образование</w:t>
      </w:r>
      <w:r w:rsidR="00043109" w:rsidRPr="00B45B4F">
        <w:rPr>
          <w:rFonts w:ascii="Verdana" w:hAnsi="Verdana"/>
          <w:sz w:val="20"/>
          <w:szCs w:val="20"/>
          <w:lang w:val="bg-BG"/>
        </w:rPr>
        <w:t>.</w:t>
      </w:r>
      <w:r w:rsidRPr="00B45B4F">
        <w:rPr>
          <w:rFonts w:ascii="Verdana" w:hAnsi="Verdana"/>
          <w:sz w:val="20"/>
          <w:szCs w:val="20"/>
          <w:lang w:val="bg-BG"/>
        </w:rPr>
        <w:t xml:space="preserve"> Стратегията предвижда мерки, повечето от които за залегнали като мерки в ОПНОИР </w:t>
      </w:r>
      <w:r w:rsidR="005106CE" w:rsidRPr="00B45B4F">
        <w:rPr>
          <w:rFonts w:ascii="Verdana" w:hAnsi="Verdana"/>
          <w:sz w:val="20"/>
          <w:szCs w:val="20"/>
          <w:lang w:val="bg-BG"/>
        </w:rPr>
        <w:t>2014–2020</w:t>
      </w:r>
      <w:r w:rsidRPr="00B45B4F">
        <w:rPr>
          <w:rFonts w:ascii="Verdana" w:hAnsi="Verdana"/>
          <w:sz w:val="20"/>
          <w:szCs w:val="20"/>
          <w:lang w:val="bg-BG"/>
        </w:rPr>
        <w:t>. Това са мерки по отношение на:</w:t>
      </w:r>
    </w:p>
    <w:p w:rsidR="004C63EE" w:rsidRPr="00B45B4F" w:rsidRDefault="004C63EE" w:rsidP="006861B0">
      <w:pPr>
        <w:pStyle w:val="ListParagraph"/>
        <w:numPr>
          <w:ilvl w:val="0"/>
          <w:numId w:val="16"/>
        </w:numPr>
        <w:jc w:val="both"/>
        <w:rPr>
          <w:rFonts w:ascii="Verdana" w:hAnsi="Verdana"/>
          <w:sz w:val="20"/>
          <w:szCs w:val="20"/>
          <w:lang w:val="bg-BG"/>
        </w:rPr>
      </w:pPr>
      <w:r w:rsidRPr="00B45B4F">
        <w:rPr>
          <w:rFonts w:ascii="Verdana" w:hAnsi="Verdana"/>
          <w:sz w:val="20"/>
          <w:szCs w:val="20"/>
          <w:lang w:val="bg-BG"/>
        </w:rPr>
        <w:lastRenderedPageBreak/>
        <w:t>Отворени системи за висше образование, позволяващи мобилност и зачитане на студентски кредити;</w:t>
      </w:r>
    </w:p>
    <w:p w:rsidR="00416243" w:rsidRPr="00B45B4F" w:rsidRDefault="004C63EE" w:rsidP="006861B0">
      <w:pPr>
        <w:pStyle w:val="BodyText"/>
        <w:widowControl w:val="0"/>
        <w:numPr>
          <w:ilvl w:val="0"/>
          <w:numId w:val="16"/>
        </w:numPr>
        <w:spacing w:line="276" w:lineRule="auto"/>
        <w:jc w:val="both"/>
        <w:rPr>
          <w:rFonts w:ascii="Verdana" w:hAnsi="Verdana"/>
          <w:sz w:val="20"/>
          <w:szCs w:val="20"/>
          <w:lang w:eastAsia="en-US"/>
        </w:rPr>
      </w:pPr>
      <w:r w:rsidRPr="00B45B4F">
        <w:rPr>
          <w:rFonts w:ascii="Verdana" w:hAnsi="Verdana"/>
          <w:sz w:val="20"/>
          <w:szCs w:val="20"/>
          <w:lang w:eastAsia="en-US"/>
        </w:rPr>
        <w:t>Преодоляване на съществуващи пречки пред мобилността чрез осигуряване на финансиране;</w:t>
      </w:r>
    </w:p>
    <w:p w:rsidR="004C63EE" w:rsidRPr="00B45B4F" w:rsidRDefault="004C63EE" w:rsidP="006861B0">
      <w:pPr>
        <w:pStyle w:val="BodyText"/>
        <w:widowControl w:val="0"/>
        <w:numPr>
          <w:ilvl w:val="0"/>
          <w:numId w:val="16"/>
        </w:numPr>
        <w:spacing w:line="276" w:lineRule="auto"/>
        <w:jc w:val="both"/>
        <w:rPr>
          <w:rFonts w:ascii="Verdana" w:hAnsi="Verdana"/>
          <w:sz w:val="20"/>
          <w:szCs w:val="20"/>
          <w:lang w:eastAsia="en-US"/>
        </w:rPr>
      </w:pPr>
      <w:r w:rsidRPr="00B45B4F">
        <w:rPr>
          <w:rFonts w:ascii="Verdana" w:hAnsi="Verdana"/>
          <w:sz w:val="20"/>
          <w:szCs w:val="20"/>
          <w:lang w:eastAsia="en-US"/>
        </w:rPr>
        <w:t>Подобряване на качеството и прозрачност на процеса.</w:t>
      </w:r>
    </w:p>
    <w:p w:rsidR="00DF1209" w:rsidRPr="00B45B4F" w:rsidRDefault="00DF1209" w:rsidP="00416243">
      <w:pPr>
        <w:keepNext/>
        <w:pBdr>
          <w:bottom w:val="single" w:sz="4" w:space="1" w:color="0070C0"/>
        </w:pBdr>
        <w:spacing w:before="360" w:after="120"/>
        <w:jc w:val="both"/>
        <w:rPr>
          <w:rFonts w:ascii="Verdana" w:hAnsi="Verdana"/>
          <w:color w:val="0070C0"/>
          <w:sz w:val="20"/>
          <w:szCs w:val="20"/>
          <w:lang w:val="bg-BG" w:eastAsia="cs-CZ"/>
        </w:rPr>
      </w:pPr>
      <w:r w:rsidRPr="00B45B4F">
        <w:rPr>
          <w:rFonts w:ascii="Verdana" w:hAnsi="Verdana"/>
          <w:color w:val="0070C0"/>
          <w:sz w:val="20"/>
          <w:szCs w:val="20"/>
          <w:lang w:val="bg-BG" w:eastAsia="cs-CZ"/>
        </w:rPr>
        <w:t>Съобщение от Комисията до Европейския парламент, до Съвета, до Европейския икономически и социален комитет и до Комитета на регионите: В подкрепа на растежа и създаването на работни места – програма за модернизиране на системите за висше образование в Европа (2011 г.)</w:t>
      </w:r>
    </w:p>
    <w:p w:rsidR="00405527" w:rsidRPr="00B45B4F" w:rsidRDefault="00996AF5" w:rsidP="001B6329">
      <w:pPr>
        <w:spacing w:after="120"/>
        <w:jc w:val="both"/>
        <w:rPr>
          <w:rFonts w:ascii="Verdana" w:hAnsi="Verdana"/>
          <w:sz w:val="20"/>
          <w:szCs w:val="20"/>
          <w:lang w:val="bg-BG"/>
        </w:rPr>
      </w:pPr>
      <w:r w:rsidRPr="00B45B4F">
        <w:rPr>
          <w:rFonts w:ascii="Verdana" w:hAnsi="Verdana"/>
          <w:sz w:val="20"/>
          <w:szCs w:val="20"/>
          <w:lang w:val="bg-BG"/>
        </w:rPr>
        <w:t xml:space="preserve">Съобщението на </w:t>
      </w:r>
      <w:r w:rsidR="006236C7" w:rsidRPr="00B45B4F">
        <w:rPr>
          <w:rFonts w:ascii="Verdana" w:hAnsi="Verdana"/>
          <w:sz w:val="20"/>
          <w:szCs w:val="20"/>
          <w:lang w:val="bg-BG"/>
        </w:rPr>
        <w:t>ЕК</w:t>
      </w:r>
      <w:r w:rsidRPr="00B45B4F">
        <w:rPr>
          <w:rFonts w:ascii="Verdana" w:hAnsi="Verdana"/>
          <w:sz w:val="20"/>
          <w:szCs w:val="20"/>
          <w:lang w:val="bg-BG"/>
        </w:rPr>
        <w:t xml:space="preserve"> разглежда проблемите пред икономически</w:t>
      </w:r>
      <w:r w:rsidR="008B5645" w:rsidRPr="00B45B4F">
        <w:rPr>
          <w:rFonts w:ascii="Verdana" w:hAnsi="Verdana"/>
          <w:sz w:val="20"/>
          <w:szCs w:val="20"/>
          <w:lang w:val="bg-BG"/>
        </w:rPr>
        <w:t>я</w:t>
      </w:r>
      <w:r w:rsidRPr="00B45B4F">
        <w:rPr>
          <w:rFonts w:ascii="Verdana" w:hAnsi="Verdana"/>
          <w:sz w:val="20"/>
          <w:szCs w:val="20"/>
          <w:lang w:val="bg-BG"/>
        </w:rPr>
        <w:t xml:space="preserve"> растеж и пазара на труда в Европа от гледна точка на системата за висше образование и поставя основни въпроси на вниманието на страните членки. </w:t>
      </w:r>
      <w:r w:rsidR="00405527" w:rsidRPr="00B45B4F">
        <w:rPr>
          <w:rFonts w:ascii="Verdana" w:hAnsi="Verdana"/>
          <w:sz w:val="20"/>
          <w:szCs w:val="20"/>
          <w:lang w:val="bg-BG"/>
        </w:rPr>
        <w:t>Въпросите</w:t>
      </w:r>
      <w:r w:rsidRPr="00B45B4F">
        <w:rPr>
          <w:rFonts w:ascii="Verdana" w:hAnsi="Verdana"/>
          <w:sz w:val="20"/>
          <w:szCs w:val="20"/>
          <w:lang w:val="bg-BG"/>
        </w:rPr>
        <w:t xml:space="preserve"> се разглеждат в стратегическата част на ОПНОИР и са отразени в планираните мерки по програмата. Това са въпроси</w:t>
      </w:r>
      <w:r w:rsidR="004A7C92" w:rsidRPr="00B45B4F">
        <w:rPr>
          <w:rFonts w:ascii="Verdana" w:hAnsi="Verdana"/>
          <w:sz w:val="20"/>
          <w:szCs w:val="20"/>
          <w:lang w:val="bg-BG"/>
        </w:rPr>
        <w:t>,</w:t>
      </w:r>
      <w:r w:rsidRPr="00B45B4F">
        <w:rPr>
          <w:rFonts w:ascii="Verdana" w:hAnsi="Verdana"/>
          <w:sz w:val="20"/>
          <w:szCs w:val="20"/>
          <w:lang w:val="bg-BG"/>
        </w:rPr>
        <w:t xml:space="preserve"> свързани с увеличаване на дела на завършващите </w:t>
      </w:r>
      <w:r w:rsidR="008B5645" w:rsidRPr="00B45B4F">
        <w:rPr>
          <w:rFonts w:ascii="Verdana" w:hAnsi="Verdana"/>
          <w:sz w:val="20"/>
          <w:szCs w:val="20"/>
          <w:lang w:val="bg-BG"/>
        </w:rPr>
        <w:t xml:space="preserve">висше образование; </w:t>
      </w:r>
      <w:r w:rsidRPr="00B45B4F">
        <w:rPr>
          <w:rFonts w:ascii="Verdana" w:hAnsi="Verdana"/>
          <w:sz w:val="20"/>
          <w:szCs w:val="20"/>
          <w:lang w:val="bg-BG"/>
        </w:rPr>
        <w:t xml:space="preserve">осигуряване на кадрите с висше образование и изследователите, от които Европа се нуждае; </w:t>
      </w:r>
      <w:r w:rsidR="00405527" w:rsidRPr="00B45B4F">
        <w:rPr>
          <w:rFonts w:ascii="Verdana" w:hAnsi="Verdana"/>
          <w:sz w:val="20"/>
          <w:szCs w:val="20"/>
          <w:lang w:val="bg-BG"/>
        </w:rPr>
        <w:t>п</w:t>
      </w:r>
      <w:r w:rsidRPr="00B45B4F">
        <w:rPr>
          <w:rFonts w:ascii="Verdana" w:hAnsi="Verdana"/>
          <w:sz w:val="20"/>
          <w:szCs w:val="20"/>
          <w:lang w:val="bg-BG"/>
        </w:rPr>
        <w:t>одобряване на качеството и подходящата насоченост на висшето образование; осъществяване на връзка между висшето образование,</w:t>
      </w:r>
      <w:r w:rsidR="00405527" w:rsidRPr="00B45B4F">
        <w:rPr>
          <w:rFonts w:ascii="Verdana" w:hAnsi="Verdana"/>
          <w:sz w:val="20"/>
          <w:szCs w:val="20"/>
          <w:lang w:val="bg-BG"/>
        </w:rPr>
        <w:t xml:space="preserve"> научните изследвания и бизнеса; подобряване на управлението и финансирането.</w:t>
      </w:r>
    </w:p>
    <w:p w:rsidR="00DF1209" w:rsidRPr="00B45B4F" w:rsidRDefault="00DF1209" w:rsidP="00416243">
      <w:pPr>
        <w:keepNext/>
        <w:pBdr>
          <w:bottom w:val="single" w:sz="4" w:space="1" w:color="0070C0"/>
        </w:pBdr>
        <w:spacing w:before="360" w:after="120"/>
        <w:jc w:val="both"/>
        <w:rPr>
          <w:rFonts w:ascii="Verdana" w:hAnsi="Verdana"/>
          <w:color w:val="0070C0"/>
          <w:sz w:val="20"/>
          <w:szCs w:val="20"/>
          <w:lang w:val="bg-BG" w:eastAsia="cs-CZ"/>
        </w:rPr>
      </w:pPr>
      <w:r w:rsidRPr="00B45B4F">
        <w:rPr>
          <w:rFonts w:ascii="Verdana" w:hAnsi="Verdana"/>
          <w:color w:val="0070C0"/>
          <w:sz w:val="20"/>
          <w:szCs w:val="20"/>
          <w:lang w:val="bg-BG" w:eastAsia="cs-CZ"/>
        </w:rPr>
        <w:t xml:space="preserve">Комюнике от </w:t>
      </w:r>
      <w:proofErr w:type="spellStart"/>
      <w:r w:rsidRPr="00B45B4F">
        <w:rPr>
          <w:rFonts w:ascii="Verdana" w:hAnsi="Verdana"/>
          <w:color w:val="0070C0"/>
          <w:sz w:val="20"/>
          <w:szCs w:val="20"/>
          <w:lang w:val="bg-BG" w:eastAsia="cs-CZ"/>
        </w:rPr>
        <w:t>Брюж</w:t>
      </w:r>
      <w:proofErr w:type="spellEnd"/>
      <w:r w:rsidRPr="00B45B4F">
        <w:rPr>
          <w:rFonts w:ascii="Verdana" w:hAnsi="Verdana"/>
          <w:color w:val="0070C0"/>
          <w:sz w:val="20"/>
          <w:szCs w:val="20"/>
          <w:lang w:val="bg-BG" w:eastAsia="cs-CZ"/>
        </w:rPr>
        <w:t xml:space="preserve"> относно засилването на европейското сътрудничество в областта на професионалното образование и обучение за периода 2011—2020 г.</w:t>
      </w:r>
    </w:p>
    <w:p w:rsidR="00416243" w:rsidRPr="00B45B4F" w:rsidRDefault="00405527" w:rsidP="001B6329">
      <w:pPr>
        <w:spacing w:after="120"/>
        <w:jc w:val="both"/>
        <w:rPr>
          <w:rFonts w:ascii="Verdana" w:hAnsi="Verdana"/>
          <w:sz w:val="20"/>
          <w:szCs w:val="20"/>
          <w:lang w:val="bg-BG"/>
        </w:rPr>
      </w:pPr>
      <w:r w:rsidRPr="00B45B4F">
        <w:rPr>
          <w:rFonts w:ascii="Verdana" w:hAnsi="Verdana"/>
          <w:sz w:val="20"/>
          <w:szCs w:val="20"/>
          <w:lang w:val="bg-BG"/>
        </w:rPr>
        <w:t xml:space="preserve">Комюникето от </w:t>
      </w:r>
      <w:proofErr w:type="spellStart"/>
      <w:r w:rsidRPr="00B45B4F">
        <w:rPr>
          <w:rFonts w:ascii="Verdana" w:hAnsi="Verdana"/>
          <w:sz w:val="20"/>
          <w:szCs w:val="20"/>
          <w:lang w:val="bg-BG"/>
        </w:rPr>
        <w:t>Брюж</w:t>
      </w:r>
      <w:proofErr w:type="spellEnd"/>
      <w:r w:rsidRPr="00B45B4F">
        <w:rPr>
          <w:rFonts w:ascii="Verdana" w:hAnsi="Verdana"/>
          <w:sz w:val="20"/>
          <w:szCs w:val="20"/>
          <w:lang w:val="bg-BG"/>
        </w:rPr>
        <w:t xml:space="preserve"> посочва, че е необходимо обвързване на политиките в областта на професионалното образование и обучение </w:t>
      </w:r>
      <w:r w:rsidR="00C741FE" w:rsidRPr="00B45B4F">
        <w:rPr>
          <w:rFonts w:ascii="Verdana" w:hAnsi="Verdana"/>
          <w:sz w:val="20"/>
          <w:szCs w:val="20"/>
          <w:lang w:val="bg-BG"/>
        </w:rPr>
        <w:t xml:space="preserve">(ПОО) </w:t>
      </w:r>
      <w:r w:rsidRPr="00B45B4F">
        <w:rPr>
          <w:rFonts w:ascii="Verdana" w:hAnsi="Verdana"/>
          <w:sz w:val="20"/>
          <w:szCs w:val="20"/>
          <w:lang w:val="bg-BG"/>
        </w:rPr>
        <w:t>с останалите политики и че професионалното образование и обучение следва да играе своята роля за постигането на двете водещи цели в областта на образованието, заложе</w:t>
      </w:r>
      <w:r w:rsidR="00C741FE" w:rsidRPr="00B45B4F">
        <w:rPr>
          <w:rFonts w:ascii="Verdana" w:hAnsi="Verdana"/>
          <w:sz w:val="20"/>
          <w:szCs w:val="20"/>
          <w:lang w:val="bg-BG"/>
        </w:rPr>
        <w:t>ни в стратегията „Европа 2020“</w:t>
      </w:r>
      <w:r w:rsidR="00A9738F" w:rsidRPr="00B45B4F">
        <w:rPr>
          <w:rFonts w:ascii="Verdana" w:hAnsi="Verdana"/>
          <w:sz w:val="20"/>
          <w:szCs w:val="20"/>
          <w:lang w:val="bg-BG"/>
        </w:rPr>
        <w:t xml:space="preserve"> – </w:t>
      </w:r>
      <w:r w:rsidRPr="00B45B4F">
        <w:rPr>
          <w:rFonts w:ascii="Verdana" w:hAnsi="Verdana"/>
          <w:sz w:val="20"/>
          <w:szCs w:val="20"/>
          <w:lang w:val="bg-BG"/>
        </w:rPr>
        <w:t>до 2020 г. да се намали под 10% делът на преждевременно напусналите образователната сис</w:t>
      </w:r>
      <w:r w:rsidR="00A9738F" w:rsidRPr="00B45B4F">
        <w:rPr>
          <w:rFonts w:ascii="Verdana" w:hAnsi="Verdana"/>
          <w:sz w:val="20"/>
          <w:szCs w:val="20"/>
          <w:lang w:val="bg-BG"/>
        </w:rPr>
        <w:t>тема и да се увеличи до поне 40</w:t>
      </w:r>
      <w:r w:rsidRPr="00B45B4F">
        <w:rPr>
          <w:rFonts w:ascii="Verdana" w:hAnsi="Verdana"/>
          <w:sz w:val="20"/>
          <w:szCs w:val="20"/>
          <w:lang w:val="bg-BG"/>
        </w:rPr>
        <w:t xml:space="preserve">% делът на лицата на възраст 30—34 години със завършено висше или равностойно на висше образование. В този аспект професионалното образование и обучение е в тясна връзка с целите на ОПНОИР </w:t>
      </w:r>
      <w:r w:rsidR="005106CE" w:rsidRPr="00B45B4F">
        <w:rPr>
          <w:rFonts w:ascii="Verdana" w:hAnsi="Verdana"/>
          <w:sz w:val="20"/>
          <w:szCs w:val="20"/>
          <w:lang w:val="bg-BG"/>
        </w:rPr>
        <w:t>2014–2020</w:t>
      </w:r>
      <w:r w:rsidRPr="00B45B4F">
        <w:rPr>
          <w:rFonts w:ascii="Verdana" w:hAnsi="Verdana"/>
          <w:sz w:val="20"/>
          <w:szCs w:val="20"/>
          <w:lang w:val="bg-BG"/>
        </w:rPr>
        <w:t xml:space="preserve"> и съответно в програмата е предвидена подкрепа за мерки в </w:t>
      </w:r>
      <w:r w:rsidR="00C741FE" w:rsidRPr="00B45B4F">
        <w:rPr>
          <w:rFonts w:ascii="Verdana" w:hAnsi="Verdana"/>
          <w:sz w:val="20"/>
          <w:szCs w:val="20"/>
          <w:lang w:val="bg-BG"/>
        </w:rPr>
        <w:t>т</w:t>
      </w:r>
      <w:r w:rsidRPr="00B45B4F">
        <w:rPr>
          <w:rFonts w:ascii="Verdana" w:hAnsi="Verdana"/>
          <w:sz w:val="20"/>
          <w:szCs w:val="20"/>
          <w:lang w:val="bg-BG"/>
        </w:rPr>
        <w:t>ази област. Комюникето</w:t>
      </w:r>
      <w:r w:rsidR="00C741FE" w:rsidRPr="00B45B4F">
        <w:rPr>
          <w:rFonts w:ascii="Verdana" w:hAnsi="Verdana"/>
          <w:sz w:val="20"/>
          <w:szCs w:val="20"/>
          <w:lang w:val="bg-BG"/>
        </w:rPr>
        <w:t xml:space="preserve"> предлага 11 стратегически цели, някои от които са отразени в ОПНОИР </w:t>
      </w:r>
      <w:r w:rsidR="005106CE" w:rsidRPr="00B45B4F">
        <w:rPr>
          <w:rFonts w:ascii="Verdana" w:hAnsi="Verdana"/>
          <w:sz w:val="20"/>
          <w:szCs w:val="20"/>
          <w:lang w:val="bg-BG"/>
        </w:rPr>
        <w:t>2014–2020</w:t>
      </w:r>
      <w:r w:rsidR="00C741FE" w:rsidRPr="00B45B4F">
        <w:rPr>
          <w:rFonts w:ascii="Verdana" w:hAnsi="Verdana"/>
          <w:sz w:val="20"/>
          <w:szCs w:val="20"/>
          <w:lang w:val="bg-BG"/>
        </w:rPr>
        <w:t>. Това са: превръщане на ПОО в привлекателна възможност за учене; приложимост на пазара на труда; осигуряване на гъвкав достъп до обучение и придобиване на квалификация; осъществяване на приобщаващо първоначално и продължаващо ПОО.</w:t>
      </w:r>
    </w:p>
    <w:p w:rsidR="00DF1209" w:rsidRPr="00B45B4F" w:rsidRDefault="00DF1209" w:rsidP="00416243">
      <w:pPr>
        <w:keepNext/>
        <w:pBdr>
          <w:bottom w:val="single" w:sz="4" w:space="1" w:color="0070C0"/>
        </w:pBdr>
        <w:spacing w:before="360" w:after="120"/>
        <w:jc w:val="both"/>
        <w:rPr>
          <w:rFonts w:ascii="Verdana" w:hAnsi="Verdana"/>
          <w:color w:val="0070C0"/>
          <w:sz w:val="20"/>
          <w:szCs w:val="20"/>
          <w:lang w:val="bg-BG" w:eastAsia="cs-CZ"/>
        </w:rPr>
      </w:pPr>
      <w:r w:rsidRPr="00B45B4F">
        <w:rPr>
          <w:rFonts w:ascii="Verdana" w:hAnsi="Verdana"/>
          <w:color w:val="0070C0"/>
          <w:sz w:val="20"/>
          <w:szCs w:val="20"/>
          <w:lang w:val="bg-BG" w:eastAsia="cs-CZ"/>
        </w:rPr>
        <w:t>Съобщение от Комисията до Европейския парламент, до Съвета, до Европейския икономически и социален комитет и до Комитета на регионите: Нов импулс за европейското сътрудничество в професионалното образование и обучение за подкрепа на стратегията „Европа 2020”</w:t>
      </w:r>
    </w:p>
    <w:p w:rsidR="00DC639E" w:rsidRPr="00B45B4F" w:rsidRDefault="004B178D" w:rsidP="001B6329">
      <w:pPr>
        <w:pStyle w:val="BodyText"/>
        <w:widowControl w:val="0"/>
        <w:spacing w:line="276" w:lineRule="auto"/>
        <w:jc w:val="both"/>
        <w:rPr>
          <w:rFonts w:ascii="Verdana" w:hAnsi="Verdana"/>
          <w:sz w:val="20"/>
          <w:szCs w:val="20"/>
          <w:lang w:eastAsia="en-US"/>
        </w:rPr>
      </w:pPr>
      <w:r w:rsidRPr="00B45B4F">
        <w:rPr>
          <w:rFonts w:ascii="Verdana" w:hAnsi="Verdana"/>
          <w:sz w:val="20"/>
          <w:szCs w:val="20"/>
          <w:lang w:eastAsia="en-US"/>
        </w:rPr>
        <w:t xml:space="preserve">Съобщението посочва, че ПОО в Европа до 2020 г. следва да допринесе както за високите резултати, така и за равнопоставеността в системите за учене през целия </w:t>
      </w:r>
      <w:r w:rsidRPr="00B45B4F">
        <w:rPr>
          <w:rFonts w:ascii="Verdana" w:hAnsi="Verdana"/>
          <w:sz w:val="20"/>
          <w:szCs w:val="20"/>
          <w:lang w:eastAsia="en-US"/>
        </w:rPr>
        <w:lastRenderedPageBreak/>
        <w:t>живот в ЕС и чрез тях — за постигането на целите на стратегията „Европа 2020“ за интелигентен и приобщаващ растеж</w:t>
      </w:r>
      <w:r w:rsidR="00DC639E" w:rsidRPr="00B45B4F">
        <w:rPr>
          <w:rFonts w:ascii="Verdana" w:hAnsi="Verdana"/>
          <w:sz w:val="20"/>
          <w:szCs w:val="20"/>
          <w:lang w:eastAsia="en-US"/>
        </w:rPr>
        <w:t>. В тази връзка са дефинирани следните основни подходи:</w:t>
      </w:r>
    </w:p>
    <w:p w:rsidR="004B178D" w:rsidRPr="00B45B4F" w:rsidRDefault="00DC639E" w:rsidP="006861B0">
      <w:pPr>
        <w:pStyle w:val="BodyText"/>
        <w:widowControl w:val="0"/>
        <w:numPr>
          <w:ilvl w:val="1"/>
          <w:numId w:val="12"/>
        </w:numPr>
        <w:spacing w:line="276" w:lineRule="auto"/>
        <w:ind w:left="284" w:hanging="284"/>
        <w:jc w:val="both"/>
        <w:rPr>
          <w:rFonts w:ascii="Verdana" w:hAnsi="Verdana"/>
          <w:sz w:val="20"/>
          <w:szCs w:val="20"/>
          <w:lang w:eastAsia="en-US"/>
        </w:rPr>
      </w:pPr>
      <w:r w:rsidRPr="00B45B4F">
        <w:rPr>
          <w:rFonts w:ascii="Verdana" w:hAnsi="Verdana"/>
          <w:sz w:val="20"/>
          <w:szCs w:val="20"/>
          <w:lang w:eastAsia="en-US"/>
        </w:rPr>
        <w:t xml:space="preserve">Използване на </w:t>
      </w:r>
      <w:r w:rsidR="004A7C92" w:rsidRPr="00B45B4F">
        <w:rPr>
          <w:rFonts w:ascii="Verdana" w:hAnsi="Verdana"/>
          <w:i/>
          <w:sz w:val="20"/>
          <w:szCs w:val="20"/>
          <w:lang w:eastAsia="en-US"/>
        </w:rPr>
        <w:t>н</w:t>
      </w:r>
      <w:r w:rsidRPr="00B45B4F">
        <w:rPr>
          <w:rFonts w:ascii="Verdana" w:hAnsi="Verdana"/>
          <w:i/>
          <w:sz w:val="20"/>
          <w:szCs w:val="20"/>
          <w:lang w:eastAsia="en-US"/>
        </w:rPr>
        <w:t>ачалното</w:t>
      </w:r>
      <w:r w:rsidR="002D4C3A">
        <w:rPr>
          <w:rFonts w:ascii="Verdana" w:hAnsi="Verdana"/>
          <w:i/>
          <w:sz w:val="20"/>
          <w:szCs w:val="20"/>
          <w:lang w:eastAsia="en-US"/>
        </w:rPr>
        <w:t xml:space="preserve"> </w:t>
      </w:r>
      <w:r w:rsidR="004B178D" w:rsidRPr="00B45B4F">
        <w:rPr>
          <w:rFonts w:ascii="Verdana" w:hAnsi="Verdana"/>
          <w:sz w:val="20"/>
          <w:szCs w:val="20"/>
          <w:lang w:eastAsia="en-US"/>
        </w:rPr>
        <w:t>ПОО като привлекателна, отговаряща в голяма степен на нуждите на пазара на труда възможност за учене, която позволява преход към висшето образование</w:t>
      </w:r>
      <w:r w:rsidRPr="00B45B4F">
        <w:rPr>
          <w:rFonts w:ascii="Verdana" w:hAnsi="Verdana"/>
          <w:sz w:val="20"/>
          <w:szCs w:val="20"/>
          <w:lang w:eastAsia="en-US"/>
        </w:rPr>
        <w:t>;</w:t>
      </w:r>
    </w:p>
    <w:p w:rsidR="004B178D" w:rsidRPr="00B45B4F" w:rsidRDefault="00DC639E" w:rsidP="006861B0">
      <w:pPr>
        <w:pStyle w:val="BodyText"/>
        <w:widowControl w:val="0"/>
        <w:numPr>
          <w:ilvl w:val="1"/>
          <w:numId w:val="12"/>
        </w:numPr>
        <w:ind w:left="284" w:hanging="284"/>
        <w:jc w:val="both"/>
        <w:rPr>
          <w:rFonts w:ascii="Verdana" w:hAnsi="Verdana"/>
          <w:sz w:val="20"/>
          <w:szCs w:val="20"/>
          <w:lang w:eastAsia="en-US"/>
        </w:rPr>
      </w:pPr>
      <w:r w:rsidRPr="00B45B4F">
        <w:rPr>
          <w:rFonts w:ascii="Verdana" w:hAnsi="Verdana"/>
          <w:sz w:val="20"/>
          <w:szCs w:val="20"/>
          <w:lang w:eastAsia="en-US"/>
        </w:rPr>
        <w:t xml:space="preserve">Предоставяне на </w:t>
      </w:r>
      <w:r w:rsidR="004A7C92" w:rsidRPr="00B45B4F">
        <w:rPr>
          <w:rFonts w:ascii="Verdana" w:hAnsi="Verdana"/>
          <w:i/>
          <w:sz w:val="20"/>
          <w:szCs w:val="20"/>
          <w:lang w:eastAsia="en-US"/>
        </w:rPr>
        <w:t>п</w:t>
      </w:r>
      <w:r w:rsidRPr="00B45B4F">
        <w:rPr>
          <w:rFonts w:ascii="Verdana" w:hAnsi="Verdana"/>
          <w:i/>
          <w:sz w:val="20"/>
          <w:szCs w:val="20"/>
          <w:lang w:eastAsia="en-US"/>
        </w:rPr>
        <w:t>родължаващо</w:t>
      </w:r>
      <w:r w:rsidR="002D4C3A">
        <w:rPr>
          <w:rFonts w:ascii="Verdana" w:hAnsi="Verdana"/>
          <w:i/>
          <w:sz w:val="20"/>
          <w:szCs w:val="20"/>
          <w:lang w:eastAsia="en-US"/>
        </w:rPr>
        <w:t xml:space="preserve"> </w:t>
      </w:r>
      <w:r w:rsidR="004B178D" w:rsidRPr="00B45B4F">
        <w:rPr>
          <w:rFonts w:ascii="Verdana" w:hAnsi="Verdana"/>
          <w:sz w:val="20"/>
          <w:szCs w:val="20"/>
          <w:lang w:eastAsia="en-US"/>
        </w:rPr>
        <w:t xml:space="preserve">ПОО, което е лесно достъпно за лица в разнообразни жизнени ситуации и което улеснява развитието на уменията и промените в професионалното развитие, </w:t>
      </w:r>
    </w:p>
    <w:p w:rsidR="004B178D" w:rsidRPr="00B45B4F" w:rsidRDefault="00DC639E" w:rsidP="006861B0">
      <w:pPr>
        <w:pStyle w:val="BodyText"/>
        <w:widowControl w:val="0"/>
        <w:numPr>
          <w:ilvl w:val="1"/>
          <w:numId w:val="12"/>
        </w:numPr>
        <w:ind w:left="284" w:hanging="284"/>
        <w:jc w:val="both"/>
        <w:rPr>
          <w:rFonts w:ascii="Verdana" w:hAnsi="Verdana"/>
          <w:sz w:val="20"/>
          <w:szCs w:val="20"/>
          <w:lang w:eastAsia="en-US"/>
        </w:rPr>
      </w:pPr>
      <w:r w:rsidRPr="00B45B4F">
        <w:rPr>
          <w:rFonts w:ascii="Verdana" w:hAnsi="Verdana"/>
          <w:sz w:val="20"/>
          <w:szCs w:val="20"/>
          <w:lang w:eastAsia="en-US"/>
        </w:rPr>
        <w:t xml:space="preserve">Осигуряване на </w:t>
      </w:r>
      <w:r w:rsidR="004B178D" w:rsidRPr="00B45B4F">
        <w:rPr>
          <w:rFonts w:ascii="Verdana" w:hAnsi="Verdana"/>
          <w:sz w:val="20"/>
          <w:szCs w:val="20"/>
          <w:lang w:eastAsia="en-US"/>
        </w:rPr>
        <w:t xml:space="preserve">гъвкави системи, основаващи се на признаването на резултатите от ученето, в това число и на дипломите, и подпомагане на индивидуалните учебни пътеки, </w:t>
      </w:r>
    </w:p>
    <w:p w:rsidR="004B178D" w:rsidRPr="00B45B4F" w:rsidRDefault="00DC639E" w:rsidP="006861B0">
      <w:pPr>
        <w:pStyle w:val="BodyText"/>
        <w:widowControl w:val="0"/>
        <w:numPr>
          <w:ilvl w:val="1"/>
          <w:numId w:val="12"/>
        </w:numPr>
        <w:ind w:left="284" w:hanging="284"/>
        <w:jc w:val="both"/>
        <w:rPr>
          <w:rFonts w:ascii="Verdana" w:hAnsi="Verdana"/>
          <w:sz w:val="20"/>
          <w:szCs w:val="20"/>
          <w:lang w:eastAsia="en-US"/>
        </w:rPr>
      </w:pPr>
      <w:r w:rsidRPr="00B45B4F">
        <w:rPr>
          <w:rFonts w:ascii="Verdana" w:hAnsi="Verdana"/>
          <w:sz w:val="20"/>
          <w:szCs w:val="20"/>
          <w:lang w:eastAsia="en-US"/>
        </w:rPr>
        <w:t>П</w:t>
      </w:r>
      <w:r w:rsidR="004B178D" w:rsidRPr="00B45B4F">
        <w:rPr>
          <w:rFonts w:ascii="Verdana" w:hAnsi="Verdana"/>
          <w:sz w:val="20"/>
          <w:szCs w:val="20"/>
          <w:lang w:eastAsia="en-US"/>
        </w:rPr>
        <w:t xml:space="preserve">одходяща подкрепа за лицата в неравностойно положение, и </w:t>
      </w:r>
    </w:p>
    <w:p w:rsidR="004B178D" w:rsidRPr="00B45B4F" w:rsidRDefault="00DC639E" w:rsidP="006861B0">
      <w:pPr>
        <w:pStyle w:val="BodyText"/>
        <w:widowControl w:val="0"/>
        <w:numPr>
          <w:ilvl w:val="1"/>
          <w:numId w:val="12"/>
        </w:numPr>
        <w:ind w:left="284" w:hanging="284"/>
        <w:jc w:val="both"/>
        <w:rPr>
          <w:rFonts w:ascii="Verdana" w:hAnsi="Verdana"/>
          <w:sz w:val="20"/>
          <w:szCs w:val="20"/>
          <w:lang w:eastAsia="en-US"/>
        </w:rPr>
      </w:pPr>
      <w:r w:rsidRPr="00B45B4F">
        <w:rPr>
          <w:rFonts w:ascii="Verdana" w:hAnsi="Verdana"/>
          <w:sz w:val="20"/>
          <w:szCs w:val="20"/>
          <w:lang w:eastAsia="en-US"/>
        </w:rPr>
        <w:t>Т</w:t>
      </w:r>
      <w:r w:rsidR="004B178D" w:rsidRPr="00B45B4F">
        <w:rPr>
          <w:rFonts w:ascii="Verdana" w:hAnsi="Verdana"/>
          <w:sz w:val="20"/>
          <w:szCs w:val="20"/>
          <w:lang w:eastAsia="en-US"/>
        </w:rPr>
        <w:t xml:space="preserve">рансгранична мобилност като неразделна част от практиките в областта на ПОО. </w:t>
      </w:r>
      <w:r w:rsidR="004B178D" w:rsidRPr="00B45B4F">
        <w:rPr>
          <w:rFonts w:ascii="Verdana" w:hAnsi="Verdana"/>
          <w:sz w:val="20"/>
          <w:szCs w:val="20"/>
          <w:lang w:eastAsia="en-US"/>
        </w:rPr>
        <w:cr/>
      </w:r>
    </w:p>
    <w:p w:rsidR="00DC639E" w:rsidRPr="00B45B4F" w:rsidRDefault="00DC639E" w:rsidP="00DC639E">
      <w:pPr>
        <w:pStyle w:val="BodyText"/>
        <w:widowControl w:val="0"/>
        <w:jc w:val="both"/>
        <w:rPr>
          <w:rFonts w:ascii="Verdana" w:hAnsi="Verdana"/>
          <w:sz w:val="20"/>
          <w:szCs w:val="20"/>
          <w:lang w:eastAsia="en-US"/>
        </w:rPr>
      </w:pPr>
      <w:r w:rsidRPr="00B45B4F">
        <w:rPr>
          <w:rFonts w:ascii="Verdana" w:hAnsi="Verdana"/>
          <w:sz w:val="20"/>
          <w:szCs w:val="20"/>
          <w:lang w:eastAsia="en-US"/>
        </w:rPr>
        <w:t xml:space="preserve">ОПНОИР </w:t>
      </w:r>
      <w:r w:rsidR="005106CE" w:rsidRPr="00B45B4F">
        <w:rPr>
          <w:rFonts w:ascii="Verdana" w:hAnsi="Verdana"/>
          <w:sz w:val="20"/>
          <w:szCs w:val="20"/>
          <w:lang w:eastAsia="en-US"/>
        </w:rPr>
        <w:t>2014–2020</w:t>
      </w:r>
      <w:r w:rsidRPr="00B45B4F">
        <w:rPr>
          <w:rFonts w:ascii="Verdana" w:hAnsi="Verdana"/>
          <w:sz w:val="20"/>
          <w:szCs w:val="20"/>
          <w:lang w:eastAsia="en-US"/>
        </w:rPr>
        <w:t xml:space="preserve"> отразява в голяма степен </w:t>
      </w:r>
      <w:r w:rsidR="00E80446" w:rsidRPr="00B45B4F">
        <w:rPr>
          <w:rFonts w:ascii="Verdana" w:hAnsi="Verdana"/>
          <w:sz w:val="20"/>
          <w:szCs w:val="20"/>
          <w:lang w:eastAsia="en-US"/>
        </w:rPr>
        <w:t xml:space="preserve">подходите, </w:t>
      </w:r>
      <w:r w:rsidR="00E61455" w:rsidRPr="00B45B4F">
        <w:rPr>
          <w:rFonts w:ascii="Verdana" w:hAnsi="Verdana"/>
          <w:sz w:val="20"/>
          <w:szCs w:val="20"/>
          <w:lang w:eastAsia="en-US"/>
        </w:rPr>
        <w:t>залегнали</w:t>
      </w:r>
      <w:r w:rsidR="00E80446" w:rsidRPr="00B45B4F">
        <w:rPr>
          <w:rFonts w:ascii="Verdana" w:hAnsi="Verdana"/>
          <w:sz w:val="20"/>
          <w:szCs w:val="20"/>
          <w:lang w:eastAsia="en-US"/>
        </w:rPr>
        <w:t xml:space="preserve"> в съобщението</w:t>
      </w:r>
      <w:r w:rsidR="000329E7" w:rsidRPr="00B45B4F">
        <w:rPr>
          <w:rFonts w:ascii="Verdana" w:hAnsi="Verdana"/>
          <w:sz w:val="20"/>
          <w:szCs w:val="20"/>
          <w:lang w:eastAsia="en-US"/>
        </w:rPr>
        <w:t>.</w:t>
      </w:r>
    </w:p>
    <w:p w:rsidR="00CF2162" w:rsidRPr="00B45B4F" w:rsidRDefault="00CF2162" w:rsidP="00CF2162">
      <w:pPr>
        <w:keepNext/>
        <w:pBdr>
          <w:bottom w:val="single" w:sz="4" w:space="1" w:color="0070C0"/>
        </w:pBdr>
        <w:spacing w:before="360" w:after="120"/>
        <w:jc w:val="both"/>
        <w:rPr>
          <w:rFonts w:ascii="Verdana" w:hAnsi="Verdana"/>
          <w:color w:val="0070C0"/>
          <w:sz w:val="20"/>
          <w:szCs w:val="20"/>
          <w:lang w:val="bg-BG" w:eastAsia="cs-CZ"/>
        </w:rPr>
      </w:pPr>
      <w:r w:rsidRPr="00B45B4F">
        <w:rPr>
          <w:rFonts w:ascii="Verdana" w:hAnsi="Verdana"/>
          <w:color w:val="0070C0"/>
          <w:sz w:val="20"/>
          <w:szCs w:val="20"/>
          <w:lang w:val="bg-BG" w:eastAsia="cs-CZ"/>
        </w:rPr>
        <w:t>Актуализирана национална стратегия за демографско развитие на населението в Република България 2012-2030 г.</w:t>
      </w:r>
    </w:p>
    <w:p w:rsidR="00CF2162" w:rsidRPr="00B45B4F" w:rsidRDefault="00CF2162" w:rsidP="00CF2162">
      <w:pPr>
        <w:pStyle w:val="BodyText"/>
        <w:tabs>
          <w:tab w:val="left" w:pos="0"/>
          <w:tab w:val="right" w:pos="9214"/>
        </w:tabs>
        <w:spacing w:before="120" w:line="276" w:lineRule="auto"/>
        <w:jc w:val="both"/>
        <w:rPr>
          <w:rFonts w:ascii="Verdana" w:hAnsi="Verdana"/>
          <w:sz w:val="20"/>
          <w:szCs w:val="20"/>
        </w:rPr>
      </w:pPr>
      <w:r w:rsidRPr="00B45B4F">
        <w:rPr>
          <w:rFonts w:ascii="Verdana" w:hAnsi="Verdana"/>
          <w:sz w:val="20"/>
          <w:szCs w:val="20"/>
        </w:rPr>
        <w:t xml:space="preserve">ОНПОИР </w:t>
      </w:r>
      <w:r w:rsidR="005106CE" w:rsidRPr="00B45B4F">
        <w:rPr>
          <w:rFonts w:ascii="Verdana" w:hAnsi="Verdana"/>
          <w:sz w:val="20"/>
          <w:szCs w:val="20"/>
        </w:rPr>
        <w:t>2014–2020</w:t>
      </w:r>
      <w:r w:rsidRPr="00B45B4F">
        <w:rPr>
          <w:rFonts w:ascii="Verdana" w:hAnsi="Verdana"/>
          <w:sz w:val="20"/>
          <w:szCs w:val="20"/>
        </w:rPr>
        <w:t xml:space="preserve"> пряко адресира направление 9 на стратегията </w:t>
      </w:r>
      <w:r w:rsidR="008B5645" w:rsidRPr="00B45B4F">
        <w:rPr>
          <w:rFonts w:ascii="Verdana" w:hAnsi="Verdana"/>
          <w:sz w:val="20"/>
          <w:szCs w:val="20"/>
        </w:rPr>
        <w:t>„</w:t>
      </w:r>
      <w:r w:rsidRPr="00B45B4F">
        <w:rPr>
          <w:rFonts w:ascii="Verdana" w:hAnsi="Verdana"/>
          <w:i/>
          <w:sz w:val="20"/>
          <w:szCs w:val="20"/>
        </w:rPr>
        <w:t>Повишаване на общото образователно духовно и културно равнище, квалификация, способности и умения на населението от всички възрастови групи</w:t>
      </w:r>
      <w:r w:rsidR="008B5645" w:rsidRPr="00B45B4F">
        <w:rPr>
          <w:rFonts w:ascii="Verdana" w:hAnsi="Verdana"/>
          <w:sz w:val="20"/>
          <w:szCs w:val="20"/>
        </w:rPr>
        <w:t>“. В</w:t>
      </w:r>
      <w:r w:rsidRPr="00B45B4F">
        <w:rPr>
          <w:rFonts w:ascii="Verdana" w:hAnsi="Verdana"/>
          <w:sz w:val="20"/>
          <w:szCs w:val="20"/>
        </w:rPr>
        <w:t xml:space="preserve"> приоритетите </w:t>
      </w:r>
      <w:r w:rsidR="008B5645" w:rsidRPr="00B45B4F">
        <w:rPr>
          <w:rFonts w:ascii="Verdana" w:hAnsi="Verdana"/>
          <w:sz w:val="20"/>
          <w:szCs w:val="20"/>
        </w:rPr>
        <w:t>и мерките</w:t>
      </w:r>
      <w:r w:rsidR="00C5014D">
        <w:rPr>
          <w:rFonts w:ascii="Verdana" w:hAnsi="Verdana"/>
          <w:sz w:val="20"/>
          <w:szCs w:val="20"/>
        </w:rPr>
        <w:t>,</w:t>
      </w:r>
      <w:r w:rsidR="002D4C3A">
        <w:rPr>
          <w:rFonts w:ascii="Verdana" w:hAnsi="Verdana"/>
          <w:sz w:val="20"/>
          <w:szCs w:val="20"/>
        </w:rPr>
        <w:t xml:space="preserve"> </w:t>
      </w:r>
      <w:r w:rsidRPr="00B45B4F">
        <w:rPr>
          <w:rFonts w:ascii="Verdana" w:hAnsi="Verdana"/>
          <w:sz w:val="20"/>
          <w:szCs w:val="20"/>
        </w:rPr>
        <w:t>предвидени за подкрепа по програмата</w:t>
      </w:r>
      <w:r w:rsidR="00C5014D">
        <w:rPr>
          <w:rFonts w:ascii="Verdana" w:hAnsi="Verdana"/>
          <w:sz w:val="20"/>
          <w:szCs w:val="20"/>
        </w:rPr>
        <w:t>,</w:t>
      </w:r>
      <w:r w:rsidRPr="00B45B4F">
        <w:rPr>
          <w:rFonts w:ascii="Verdana" w:hAnsi="Verdana"/>
          <w:sz w:val="20"/>
          <w:szCs w:val="20"/>
        </w:rPr>
        <w:t xml:space="preserve"> са отразени следните цели на Националната стратегия за демографско развитие:</w:t>
      </w:r>
    </w:p>
    <w:p w:rsidR="00CF2162" w:rsidRPr="00B45B4F" w:rsidRDefault="00CF2162" w:rsidP="006861B0">
      <w:pPr>
        <w:pStyle w:val="BodyText"/>
        <w:numPr>
          <w:ilvl w:val="0"/>
          <w:numId w:val="18"/>
        </w:numPr>
        <w:tabs>
          <w:tab w:val="left" w:pos="0"/>
          <w:tab w:val="right" w:pos="9214"/>
        </w:tabs>
        <w:spacing w:before="120"/>
        <w:ind w:left="567" w:hanging="425"/>
        <w:jc w:val="both"/>
        <w:rPr>
          <w:rFonts w:ascii="Verdana" w:hAnsi="Verdana"/>
          <w:sz w:val="20"/>
          <w:szCs w:val="20"/>
        </w:rPr>
      </w:pPr>
      <w:r w:rsidRPr="00B45B4F">
        <w:rPr>
          <w:rFonts w:ascii="Verdana" w:hAnsi="Verdana"/>
          <w:sz w:val="20"/>
          <w:szCs w:val="20"/>
        </w:rPr>
        <w:t xml:space="preserve">Създаване условия за пълно обхващане на децата в детски градини и предучилищни форми на обучение; </w:t>
      </w:r>
    </w:p>
    <w:p w:rsidR="00CF2162" w:rsidRPr="00B45B4F" w:rsidRDefault="00CF2162" w:rsidP="006861B0">
      <w:pPr>
        <w:pStyle w:val="BodyText"/>
        <w:numPr>
          <w:ilvl w:val="0"/>
          <w:numId w:val="18"/>
        </w:numPr>
        <w:tabs>
          <w:tab w:val="left" w:pos="0"/>
          <w:tab w:val="right" w:pos="9214"/>
        </w:tabs>
        <w:spacing w:before="120"/>
        <w:ind w:left="567" w:hanging="425"/>
        <w:jc w:val="both"/>
        <w:rPr>
          <w:rFonts w:ascii="Verdana" w:hAnsi="Verdana"/>
          <w:sz w:val="20"/>
          <w:szCs w:val="20"/>
        </w:rPr>
      </w:pPr>
      <w:r w:rsidRPr="00B45B4F">
        <w:rPr>
          <w:rFonts w:ascii="Verdana" w:hAnsi="Verdana"/>
          <w:sz w:val="20"/>
          <w:szCs w:val="20"/>
        </w:rPr>
        <w:t xml:space="preserve">Осигуряване на равен достъп на всички деца до образование във всички образователни степени без разлика на етническа принадлежност, пол, произход, вероизповедание, социално положение и др.; </w:t>
      </w:r>
    </w:p>
    <w:p w:rsidR="00CF2162" w:rsidRPr="00B45B4F" w:rsidRDefault="00CF2162" w:rsidP="006861B0">
      <w:pPr>
        <w:pStyle w:val="BodyText"/>
        <w:numPr>
          <w:ilvl w:val="0"/>
          <w:numId w:val="18"/>
        </w:numPr>
        <w:tabs>
          <w:tab w:val="left" w:pos="0"/>
          <w:tab w:val="right" w:pos="9214"/>
        </w:tabs>
        <w:spacing w:before="120"/>
        <w:ind w:left="567" w:hanging="425"/>
        <w:jc w:val="both"/>
        <w:rPr>
          <w:rFonts w:ascii="Verdana" w:hAnsi="Verdana"/>
          <w:sz w:val="20"/>
          <w:szCs w:val="20"/>
        </w:rPr>
      </w:pPr>
      <w:r w:rsidRPr="00B45B4F">
        <w:rPr>
          <w:rFonts w:ascii="Verdana" w:hAnsi="Verdana"/>
          <w:sz w:val="20"/>
          <w:szCs w:val="20"/>
        </w:rPr>
        <w:t xml:space="preserve">По-пълно обхващане на учениците в задължителните образователни степени и превенция на отпадането им от образователната система; </w:t>
      </w:r>
    </w:p>
    <w:p w:rsidR="00CF2162" w:rsidRPr="00B45B4F" w:rsidRDefault="00CF2162" w:rsidP="006861B0">
      <w:pPr>
        <w:pStyle w:val="BodyText"/>
        <w:numPr>
          <w:ilvl w:val="0"/>
          <w:numId w:val="18"/>
        </w:numPr>
        <w:tabs>
          <w:tab w:val="left" w:pos="0"/>
          <w:tab w:val="right" w:pos="9214"/>
        </w:tabs>
        <w:spacing w:before="120"/>
        <w:ind w:left="567" w:hanging="425"/>
        <w:jc w:val="both"/>
        <w:rPr>
          <w:rFonts w:ascii="Verdana" w:hAnsi="Verdana"/>
          <w:sz w:val="20"/>
          <w:szCs w:val="20"/>
        </w:rPr>
      </w:pPr>
      <w:r w:rsidRPr="00B45B4F">
        <w:rPr>
          <w:rFonts w:ascii="Verdana" w:hAnsi="Verdana"/>
          <w:sz w:val="20"/>
          <w:szCs w:val="20"/>
        </w:rPr>
        <w:t xml:space="preserve">Преодоляване неграмотността в средите на бедното население и в групите в неравностойно положение; </w:t>
      </w:r>
    </w:p>
    <w:p w:rsidR="00CF2162" w:rsidRPr="00B45B4F" w:rsidRDefault="00CF2162" w:rsidP="006861B0">
      <w:pPr>
        <w:pStyle w:val="BodyText"/>
        <w:numPr>
          <w:ilvl w:val="0"/>
          <w:numId w:val="18"/>
        </w:numPr>
        <w:tabs>
          <w:tab w:val="left" w:pos="0"/>
          <w:tab w:val="right" w:pos="9214"/>
        </w:tabs>
        <w:spacing w:before="120"/>
        <w:ind w:left="567" w:hanging="425"/>
        <w:jc w:val="both"/>
        <w:rPr>
          <w:rFonts w:ascii="Verdana" w:hAnsi="Verdana"/>
          <w:sz w:val="20"/>
          <w:szCs w:val="20"/>
        </w:rPr>
      </w:pPr>
      <w:r w:rsidRPr="00B45B4F">
        <w:rPr>
          <w:rFonts w:ascii="Verdana" w:hAnsi="Verdana"/>
          <w:sz w:val="20"/>
          <w:szCs w:val="20"/>
        </w:rPr>
        <w:t xml:space="preserve">Осигуряване на високо качество на образованието чрез подобряване на съдържанието на учебния процес и материалната база, повишаване квалификацията на преподавателите и осигуряване на училищата с информационни технологии; </w:t>
      </w:r>
    </w:p>
    <w:p w:rsidR="00CF2162" w:rsidRPr="00B45B4F" w:rsidRDefault="00CF2162" w:rsidP="006861B0">
      <w:pPr>
        <w:pStyle w:val="BodyText"/>
        <w:numPr>
          <w:ilvl w:val="0"/>
          <w:numId w:val="18"/>
        </w:numPr>
        <w:tabs>
          <w:tab w:val="left" w:pos="0"/>
          <w:tab w:val="right" w:pos="9214"/>
        </w:tabs>
        <w:spacing w:before="120"/>
        <w:ind w:left="567" w:hanging="425"/>
        <w:jc w:val="both"/>
        <w:rPr>
          <w:rFonts w:ascii="Verdana" w:hAnsi="Verdana"/>
          <w:sz w:val="20"/>
          <w:szCs w:val="20"/>
        </w:rPr>
      </w:pPr>
      <w:r w:rsidRPr="00B45B4F">
        <w:rPr>
          <w:rFonts w:ascii="Verdana" w:hAnsi="Verdana"/>
          <w:sz w:val="20"/>
          <w:szCs w:val="20"/>
        </w:rPr>
        <w:t xml:space="preserve">Формиране на умения за работа с високи технологии; </w:t>
      </w:r>
    </w:p>
    <w:p w:rsidR="00CF2162" w:rsidRPr="00B45B4F" w:rsidRDefault="00CF2162" w:rsidP="006861B0">
      <w:pPr>
        <w:pStyle w:val="BodyText"/>
        <w:numPr>
          <w:ilvl w:val="0"/>
          <w:numId w:val="18"/>
        </w:numPr>
        <w:tabs>
          <w:tab w:val="left" w:pos="0"/>
          <w:tab w:val="right" w:pos="9214"/>
        </w:tabs>
        <w:spacing w:before="120"/>
        <w:ind w:left="567" w:hanging="425"/>
        <w:jc w:val="both"/>
        <w:rPr>
          <w:rFonts w:ascii="Verdana" w:hAnsi="Verdana"/>
          <w:sz w:val="20"/>
          <w:szCs w:val="20"/>
        </w:rPr>
      </w:pPr>
      <w:r w:rsidRPr="00B45B4F">
        <w:rPr>
          <w:rFonts w:ascii="Verdana" w:hAnsi="Verdana"/>
          <w:sz w:val="20"/>
          <w:szCs w:val="20"/>
        </w:rPr>
        <w:t xml:space="preserve">Изграждане на трайни навици за учене през целия живот, осигуряване на максимално добри условия за непрекъснато професионално обучение и развитие и развиване на системата за квалификация, преквалификация и продължаващо обучение; </w:t>
      </w:r>
    </w:p>
    <w:p w:rsidR="00CF2162" w:rsidRPr="00B45B4F" w:rsidRDefault="00CF2162" w:rsidP="006861B0">
      <w:pPr>
        <w:pStyle w:val="BodyText"/>
        <w:numPr>
          <w:ilvl w:val="0"/>
          <w:numId w:val="18"/>
        </w:numPr>
        <w:tabs>
          <w:tab w:val="left" w:pos="0"/>
          <w:tab w:val="right" w:pos="9214"/>
        </w:tabs>
        <w:spacing w:before="120"/>
        <w:ind w:left="567" w:hanging="425"/>
        <w:jc w:val="both"/>
        <w:rPr>
          <w:rFonts w:ascii="Verdana" w:hAnsi="Verdana"/>
          <w:sz w:val="20"/>
          <w:szCs w:val="20"/>
        </w:rPr>
      </w:pPr>
      <w:r w:rsidRPr="00B45B4F">
        <w:rPr>
          <w:rFonts w:ascii="Verdana" w:hAnsi="Verdana"/>
          <w:sz w:val="20"/>
          <w:szCs w:val="20"/>
        </w:rPr>
        <w:lastRenderedPageBreak/>
        <w:t xml:space="preserve">Предприемане на мерки, насочени към социализиране и осигуряване на условия за интеграция на ученици със специални образователни потребности и специфични увреждания в общообразователното училище; </w:t>
      </w:r>
    </w:p>
    <w:p w:rsidR="00CF2162" w:rsidRPr="00B45B4F" w:rsidRDefault="00CF2162" w:rsidP="006861B0">
      <w:pPr>
        <w:pStyle w:val="BodyText"/>
        <w:numPr>
          <w:ilvl w:val="0"/>
          <w:numId w:val="18"/>
        </w:numPr>
        <w:tabs>
          <w:tab w:val="left" w:pos="0"/>
          <w:tab w:val="right" w:pos="9214"/>
        </w:tabs>
        <w:spacing w:before="120"/>
        <w:ind w:left="567" w:hanging="425"/>
        <w:jc w:val="both"/>
        <w:rPr>
          <w:rFonts w:ascii="Verdana" w:hAnsi="Verdana"/>
          <w:sz w:val="20"/>
          <w:szCs w:val="20"/>
        </w:rPr>
      </w:pPr>
      <w:r w:rsidRPr="00B45B4F">
        <w:rPr>
          <w:rFonts w:ascii="Verdana" w:hAnsi="Verdana"/>
          <w:sz w:val="20"/>
          <w:szCs w:val="20"/>
        </w:rPr>
        <w:t>Преодоляване на социалната изолация чрез образователни програми</w:t>
      </w:r>
      <w:r w:rsidR="008B5645" w:rsidRPr="00B45B4F">
        <w:rPr>
          <w:rFonts w:ascii="Verdana" w:hAnsi="Verdana"/>
          <w:sz w:val="20"/>
          <w:szCs w:val="20"/>
        </w:rPr>
        <w:t>.</w:t>
      </w:r>
      <w:r w:rsidRPr="00B45B4F">
        <w:rPr>
          <w:rFonts w:ascii="Verdana" w:hAnsi="Verdana"/>
          <w:sz w:val="20"/>
          <w:szCs w:val="20"/>
        </w:rPr>
        <w:cr/>
      </w:r>
    </w:p>
    <w:p w:rsidR="00CF2162" w:rsidRPr="00B45B4F" w:rsidRDefault="00CF2162" w:rsidP="00CF2162">
      <w:pPr>
        <w:pStyle w:val="BodyText"/>
        <w:tabs>
          <w:tab w:val="left" w:pos="0"/>
          <w:tab w:val="right" w:pos="9214"/>
        </w:tabs>
        <w:spacing w:before="120"/>
        <w:ind w:left="142"/>
        <w:jc w:val="both"/>
        <w:rPr>
          <w:rFonts w:ascii="Verdana" w:hAnsi="Verdana"/>
          <w:sz w:val="20"/>
          <w:szCs w:val="20"/>
        </w:rPr>
      </w:pPr>
      <w:r w:rsidRPr="00B45B4F">
        <w:rPr>
          <w:rFonts w:ascii="Verdana" w:hAnsi="Verdana"/>
          <w:sz w:val="20"/>
          <w:szCs w:val="20"/>
        </w:rPr>
        <w:t xml:space="preserve">Релевантна мярка/цел на стратегията, която не е отразена във версията на ОПНОИР от </w:t>
      </w:r>
      <w:r w:rsidR="00DD4ECD">
        <w:rPr>
          <w:rFonts w:ascii="Verdana" w:hAnsi="Verdana"/>
          <w:sz w:val="20"/>
          <w:szCs w:val="20"/>
        </w:rPr>
        <w:t>май</w:t>
      </w:r>
      <w:r w:rsidR="00DD4ECD" w:rsidRPr="00B45B4F">
        <w:rPr>
          <w:rFonts w:ascii="Verdana" w:hAnsi="Verdana"/>
          <w:sz w:val="20"/>
          <w:szCs w:val="20"/>
        </w:rPr>
        <w:t xml:space="preserve"> </w:t>
      </w:r>
      <w:r w:rsidRPr="00B45B4F">
        <w:rPr>
          <w:rFonts w:ascii="Verdana" w:hAnsi="Verdana"/>
          <w:sz w:val="20"/>
          <w:szCs w:val="20"/>
        </w:rPr>
        <w:t>2014 и която е свързана с териториалния подход на предоставяне на подкрепа</w:t>
      </w:r>
      <w:r w:rsidR="00E61455" w:rsidRPr="00B45B4F">
        <w:rPr>
          <w:rFonts w:ascii="Verdana" w:hAnsi="Verdana"/>
          <w:sz w:val="20"/>
          <w:szCs w:val="20"/>
        </w:rPr>
        <w:t>,</w:t>
      </w:r>
      <w:r w:rsidRPr="00B45B4F">
        <w:rPr>
          <w:rFonts w:ascii="Verdana" w:hAnsi="Verdana"/>
          <w:sz w:val="20"/>
          <w:szCs w:val="20"/>
        </w:rPr>
        <w:t xml:space="preserve"> е следната:</w:t>
      </w:r>
    </w:p>
    <w:p w:rsidR="00CF2162" w:rsidRPr="00B45B4F" w:rsidRDefault="00CF2162" w:rsidP="006861B0">
      <w:pPr>
        <w:pStyle w:val="BodyText"/>
        <w:numPr>
          <w:ilvl w:val="0"/>
          <w:numId w:val="18"/>
        </w:numPr>
        <w:tabs>
          <w:tab w:val="left" w:pos="0"/>
          <w:tab w:val="right" w:pos="9214"/>
        </w:tabs>
        <w:spacing w:before="120"/>
        <w:ind w:left="567" w:hanging="425"/>
        <w:jc w:val="both"/>
        <w:rPr>
          <w:rFonts w:ascii="Verdana" w:hAnsi="Verdana"/>
          <w:sz w:val="20"/>
          <w:szCs w:val="20"/>
        </w:rPr>
      </w:pPr>
      <w:r w:rsidRPr="00B45B4F">
        <w:rPr>
          <w:rFonts w:ascii="Verdana" w:hAnsi="Verdana"/>
          <w:sz w:val="20"/>
          <w:szCs w:val="20"/>
        </w:rPr>
        <w:t xml:space="preserve">Създаване на условия за сближаване на образователните модели на жителите на големите градове и на живеещите в малките селища, особено в изостаналите селски райони; </w:t>
      </w:r>
    </w:p>
    <w:p w:rsidR="00CF2162" w:rsidRPr="00B45B4F" w:rsidRDefault="00CF2162" w:rsidP="00CF2162">
      <w:pPr>
        <w:keepNext/>
        <w:pBdr>
          <w:bottom w:val="single" w:sz="4" w:space="1" w:color="0070C0"/>
        </w:pBdr>
        <w:spacing w:before="360" w:after="120"/>
        <w:jc w:val="both"/>
        <w:rPr>
          <w:rFonts w:ascii="Verdana" w:hAnsi="Verdana"/>
          <w:color w:val="0070C0"/>
          <w:sz w:val="20"/>
          <w:szCs w:val="20"/>
          <w:lang w:val="bg-BG" w:eastAsia="cs-CZ"/>
        </w:rPr>
      </w:pPr>
      <w:r w:rsidRPr="00B45B4F">
        <w:rPr>
          <w:rFonts w:ascii="Verdana" w:hAnsi="Verdana"/>
          <w:color w:val="0070C0"/>
          <w:sz w:val="20"/>
          <w:szCs w:val="20"/>
          <w:lang w:val="bg-BG" w:eastAsia="cs-CZ"/>
        </w:rPr>
        <w:t>Национална стратегия за младежта 2010-2020 г.</w:t>
      </w:r>
    </w:p>
    <w:p w:rsidR="00CF2162" w:rsidRPr="00B45B4F" w:rsidRDefault="00CF2162" w:rsidP="001B6329">
      <w:pPr>
        <w:pStyle w:val="BodyText"/>
        <w:tabs>
          <w:tab w:val="left" w:pos="0"/>
          <w:tab w:val="right" w:pos="9214"/>
        </w:tabs>
        <w:spacing w:line="276" w:lineRule="auto"/>
        <w:jc w:val="both"/>
        <w:rPr>
          <w:rFonts w:ascii="Verdana" w:hAnsi="Verdana"/>
          <w:sz w:val="20"/>
          <w:szCs w:val="20"/>
        </w:rPr>
      </w:pPr>
      <w:r w:rsidRPr="00B45B4F">
        <w:rPr>
          <w:rFonts w:ascii="Verdana" w:hAnsi="Verdana"/>
          <w:sz w:val="20"/>
          <w:szCs w:val="20"/>
        </w:rPr>
        <w:t xml:space="preserve">Националната стратегия за младежта поставя 9 стратегически цели. ОПНОИР </w:t>
      </w:r>
      <w:r w:rsidR="005106CE" w:rsidRPr="00B45B4F">
        <w:rPr>
          <w:rFonts w:ascii="Verdana" w:hAnsi="Verdana"/>
          <w:sz w:val="20"/>
          <w:szCs w:val="20"/>
        </w:rPr>
        <w:t>2014–2020</w:t>
      </w:r>
      <w:r w:rsidRPr="00B45B4F">
        <w:rPr>
          <w:rFonts w:ascii="Verdana" w:hAnsi="Verdana"/>
          <w:sz w:val="20"/>
          <w:szCs w:val="20"/>
        </w:rPr>
        <w:t xml:space="preserve"> интегрира първата цел по отношение на подобряване на качеството на средното и висшето образование и неформалното обучение, както и насърчаване на ученето през целия живот, в съответствие с потребностите на пазара на труда. Програмата включва мерки, които кореспондират със заложените в стратегията мерки като: засилване на връзките между образование и бизнес, предоставяне на информация и консултации за професионално ориентиране и кариерно развитие; насърчаване на изследователския интерес и задържане на младите хора в областта на науката, образованието и изследванията.</w:t>
      </w:r>
    </w:p>
    <w:p w:rsidR="00C741FE" w:rsidRPr="00B45B4F" w:rsidRDefault="004020E1" w:rsidP="00C741FE">
      <w:pPr>
        <w:keepNext/>
        <w:pBdr>
          <w:bottom w:val="single" w:sz="4" w:space="1" w:color="0070C0"/>
        </w:pBdr>
        <w:spacing w:before="360" w:after="120"/>
        <w:jc w:val="both"/>
        <w:rPr>
          <w:rFonts w:ascii="Verdana" w:hAnsi="Verdana"/>
          <w:color w:val="0070C0"/>
          <w:sz w:val="20"/>
          <w:szCs w:val="20"/>
          <w:lang w:val="bg-BG" w:eastAsia="cs-CZ"/>
        </w:rPr>
      </w:pPr>
      <w:hyperlink r:id="rId38" w:tooltip="Национална стратегия за учене през целия живот за периода 2008-2013 г." w:history="1">
        <w:r w:rsidR="00C741FE" w:rsidRPr="00B45B4F">
          <w:rPr>
            <w:rFonts w:ascii="Verdana" w:hAnsi="Verdana"/>
            <w:color w:val="0070C0"/>
            <w:sz w:val="20"/>
            <w:szCs w:val="20"/>
            <w:lang w:val="bg-BG" w:eastAsia="cs-CZ"/>
          </w:rPr>
          <w:t xml:space="preserve">Национална стратегия за учене през целия живот за периода </w:t>
        </w:r>
        <w:r w:rsidR="005106CE" w:rsidRPr="00B45B4F">
          <w:rPr>
            <w:rFonts w:ascii="Verdana" w:hAnsi="Verdana"/>
            <w:color w:val="0070C0"/>
            <w:sz w:val="20"/>
            <w:szCs w:val="20"/>
            <w:lang w:val="bg-BG" w:eastAsia="cs-CZ"/>
          </w:rPr>
          <w:t>2014–2020</w:t>
        </w:r>
        <w:r w:rsidR="00C741FE" w:rsidRPr="00B45B4F">
          <w:rPr>
            <w:rFonts w:ascii="Verdana" w:hAnsi="Verdana"/>
            <w:color w:val="0070C0"/>
            <w:sz w:val="20"/>
            <w:szCs w:val="20"/>
            <w:lang w:val="bg-BG" w:eastAsia="cs-CZ"/>
          </w:rPr>
          <w:t xml:space="preserve"> г.</w:t>
        </w:r>
      </w:hyperlink>
    </w:p>
    <w:p w:rsidR="00C741FE" w:rsidRPr="00B45B4F" w:rsidRDefault="0029589F" w:rsidP="001B6329">
      <w:pPr>
        <w:pStyle w:val="BodyText"/>
        <w:widowControl w:val="0"/>
        <w:spacing w:line="276" w:lineRule="auto"/>
        <w:jc w:val="both"/>
        <w:rPr>
          <w:rFonts w:ascii="Verdana" w:hAnsi="Verdana"/>
          <w:sz w:val="20"/>
          <w:szCs w:val="20"/>
          <w:lang w:eastAsia="en-US"/>
        </w:rPr>
      </w:pPr>
      <w:r w:rsidRPr="00B45B4F">
        <w:rPr>
          <w:rFonts w:ascii="Verdana" w:hAnsi="Verdana"/>
          <w:sz w:val="20"/>
          <w:szCs w:val="20"/>
          <w:lang w:eastAsia="en-US"/>
        </w:rPr>
        <w:t xml:space="preserve">Националната стратегия за учене през целия живот е един от основните стратегически документи, върху които е базирана ОПНОИР </w:t>
      </w:r>
      <w:r w:rsidR="005106CE" w:rsidRPr="00B45B4F">
        <w:rPr>
          <w:rFonts w:ascii="Verdana" w:hAnsi="Verdana"/>
          <w:sz w:val="20"/>
          <w:szCs w:val="20"/>
          <w:lang w:eastAsia="en-US"/>
        </w:rPr>
        <w:t>2014–2020</w:t>
      </w:r>
      <w:r w:rsidRPr="00B45B4F">
        <w:rPr>
          <w:rFonts w:ascii="Verdana" w:hAnsi="Verdana"/>
          <w:sz w:val="20"/>
          <w:szCs w:val="20"/>
          <w:lang w:eastAsia="en-US"/>
        </w:rPr>
        <w:t xml:space="preserve"> г. </w:t>
      </w:r>
      <w:r w:rsidR="0060733D" w:rsidRPr="00B45B4F">
        <w:rPr>
          <w:rFonts w:ascii="Verdana" w:hAnsi="Verdana"/>
          <w:sz w:val="20"/>
          <w:szCs w:val="20"/>
          <w:lang w:eastAsia="en-US"/>
        </w:rPr>
        <w:t>Програмата включва множество мерки по отноше</w:t>
      </w:r>
      <w:r w:rsidR="00E80446" w:rsidRPr="00B45B4F">
        <w:rPr>
          <w:rFonts w:ascii="Verdana" w:hAnsi="Verdana"/>
          <w:sz w:val="20"/>
          <w:szCs w:val="20"/>
          <w:lang w:eastAsia="en-US"/>
        </w:rPr>
        <w:t xml:space="preserve">ние </w:t>
      </w:r>
      <w:r w:rsidR="00CB34C5" w:rsidRPr="00B45B4F">
        <w:rPr>
          <w:rFonts w:ascii="Verdana" w:hAnsi="Verdana"/>
          <w:sz w:val="20"/>
          <w:szCs w:val="20"/>
          <w:lang w:eastAsia="en-US"/>
        </w:rPr>
        <w:t>най-вече на първите 6 от 8</w:t>
      </w:r>
      <w:r w:rsidR="00E61455" w:rsidRPr="00B45B4F">
        <w:rPr>
          <w:rFonts w:ascii="Verdana" w:hAnsi="Verdana"/>
          <w:sz w:val="20"/>
          <w:szCs w:val="20"/>
          <w:lang w:eastAsia="en-US"/>
        </w:rPr>
        <w:t>-</w:t>
      </w:r>
      <w:r w:rsidR="00CB34C5" w:rsidRPr="00B45B4F">
        <w:rPr>
          <w:rFonts w:ascii="Verdana" w:hAnsi="Verdana"/>
          <w:sz w:val="20"/>
          <w:szCs w:val="20"/>
          <w:lang w:eastAsia="en-US"/>
        </w:rPr>
        <w:t xml:space="preserve">те приоритета на стратегията. Това са приоритетите в областта на </w:t>
      </w:r>
      <w:r w:rsidR="00E80446" w:rsidRPr="00B45B4F">
        <w:rPr>
          <w:rFonts w:ascii="Verdana" w:hAnsi="Verdana"/>
          <w:sz w:val="20"/>
          <w:szCs w:val="20"/>
          <w:lang w:eastAsia="en-US"/>
        </w:rPr>
        <w:t>ученето през целия живот (като:</w:t>
      </w:r>
      <w:r w:rsidR="002D4C3A">
        <w:rPr>
          <w:rFonts w:ascii="Verdana" w:hAnsi="Verdana"/>
          <w:sz w:val="20"/>
          <w:szCs w:val="20"/>
          <w:lang w:eastAsia="en-US"/>
        </w:rPr>
        <w:t xml:space="preserve"> </w:t>
      </w:r>
      <w:r w:rsidR="00E80446" w:rsidRPr="00B45B4F">
        <w:rPr>
          <w:rFonts w:ascii="Verdana" w:hAnsi="Verdana"/>
          <w:sz w:val="20"/>
          <w:szCs w:val="20"/>
          <w:lang w:eastAsia="en-US"/>
        </w:rPr>
        <w:t>въвеждане на система за валидиране на знания и компетентности, придобити чрез неформалното обучение</w:t>
      </w:r>
      <w:r w:rsidR="00CB34C5" w:rsidRPr="00B45B4F">
        <w:rPr>
          <w:rFonts w:ascii="Verdana" w:hAnsi="Verdana"/>
          <w:sz w:val="20"/>
          <w:szCs w:val="20"/>
          <w:lang w:eastAsia="en-US"/>
        </w:rPr>
        <w:t>; въвеждане на система за кредити в ПОО, развитие и разширяване на системата за кариерно ориентиране, развитие и разширяване на системата за ограмотяване на възрастни, изграждане на партньорски мрежи – образование-бизнес); разширяване на обхвата и повишаване качеството на предучилищното образование; намаляване дела на преждевременно напусналите училище; повишаване на качеството на училищното образование; повишаване привлекателността и подобряване качеството на ПОО; модернизиране на висшето образование.</w:t>
      </w:r>
    </w:p>
    <w:p w:rsidR="00DF1209" w:rsidRPr="00B45B4F" w:rsidRDefault="004020E1" w:rsidP="00416243">
      <w:pPr>
        <w:keepNext/>
        <w:pBdr>
          <w:bottom w:val="single" w:sz="4" w:space="1" w:color="0070C0"/>
        </w:pBdr>
        <w:spacing w:before="360" w:after="120"/>
        <w:jc w:val="both"/>
        <w:rPr>
          <w:rFonts w:ascii="Verdana" w:hAnsi="Verdana"/>
          <w:color w:val="0070C0"/>
          <w:sz w:val="20"/>
          <w:szCs w:val="20"/>
          <w:lang w:val="bg-BG" w:eastAsia="cs-CZ"/>
        </w:rPr>
      </w:pPr>
      <w:hyperlink r:id="rId39" w:tooltip="Национална стратегия за развитие на научните изследвания 2020" w:history="1">
        <w:r w:rsidR="00DF1209" w:rsidRPr="00B45B4F">
          <w:rPr>
            <w:rFonts w:ascii="Verdana" w:hAnsi="Verdana"/>
            <w:color w:val="0070C0"/>
            <w:sz w:val="20"/>
            <w:szCs w:val="20"/>
            <w:lang w:val="bg-BG" w:eastAsia="cs-CZ"/>
          </w:rPr>
          <w:t>Национална стратегия за развитие на научните изследвания 2020</w:t>
        </w:r>
      </w:hyperlink>
    </w:p>
    <w:p w:rsidR="00416243" w:rsidRPr="00B45B4F" w:rsidRDefault="00531AD1" w:rsidP="00CB34C5">
      <w:pPr>
        <w:pStyle w:val="BodyText"/>
        <w:widowControl w:val="0"/>
        <w:spacing w:line="276" w:lineRule="auto"/>
        <w:jc w:val="both"/>
        <w:rPr>
          <w:rFonts w:ascii="Verdana" w:hAnsi="Verdana"/>
          <w:sz w:val="20"/>
          <w:szCs w:val="20"/>
          <w:lang w:eastAsia="en-US"/>
        </w:rPr>
      </w:pPr>
      <w:r w:rsidRPr="00B45B4F">
        <w:rPr>
          <w:rFonts w:ascii="Verdana" w:hAnsi="Verdana"/>
          <w:sz w:val="20"/>
          <w:szCs w:val="20"/>
          <w:lang w:eastAsia="en-US"/>
        </w:rPr>
        <w:t>Националната стратегия за развитие на научните изследвания отбелязва основни приоритети за развитие на научните изследвания в България като преследва следните основни цели:</w:t>
      </w:r>
    </w:p>
    <w:p w:rsidR="00531AD1" w:rsidRPr="00B45B4F" w:rsidRDefault="00531AD1" w:rsidP="006861B0">
      <w:pPr>
        <w:pStyle w:val="BodyText"/>
        <w:widowControl w:val="0"/>
        <w:numPr>
          <w:ilvl w:val="0"/>
          <w:numId w:val="17"/>
        </w:numPr>
        <w:spacing w:line="276" w:lineRule="auto"/>
        <w:jc w:val="both"/>
        <w:rPr>
          <w:rFonts w:ascii="Verdana" w:hAnsi="Verdana"/>
          <w:sz w:val="20"/>
          <w:szCs w:val="20"/>
          <w:lang w:eastAsia="en-US"/>
        </w:rPr>
      </w:pPr>
      <w:r w:rsidRPr="00B45B4F">
        <w:rPr>
          <w:rFonts w:ascii="Verdana" w:hAnsi="Verdana"/>
          <w:sz w:val="20"/>
          <w:szCs w:val="20"/>
          <w:lang w:eastAsia="en-US"/>
        </w:rPr>
        <w:t>да съдейства за постигане превръщането на българското общество в „общество на знанието”;</w:t>
      </w:r>
    </w:p>
    <w:p w:rsidR="00531AD1" w:rsidRPr="00B45B4F" w:rsidRDefault="00531AD1" w:rsidP="006861B0">
      <w:pPr>
        <w:pStyle w:val="BodyText"/>
        <w:widowControl w:val="0"/>
        <w:numPr>
          <w:ilvl w:val="0"/>
          <w:numId w:val="17"/>
        </w:numPr>
        <w:spacing w:line="276" w:lineRule="auto"/>
        <w:jc w:val="both"/>
        <w:rPr>
          <w:rFonts w:ascii="Verdana" w:hAnsi="Verdana"/>
          <w:sz w:val="20"/>
          <w:szCs w:val="20"/>
          <w:lang w:eastAsia="en-US"/>
        </w:rPr>
      </w:pPr>
      <w:r w:rsidRPr="00B45B4F">
        <w:rPr>
          <w:rFonts w:ascii="Verdana" w:hAnsi="Verdana"/>
          <w:sz w:val="20"/>
          <w:szCs w:val="20"/>
          <w:lang w:eastAsia="en-US"/>
        </w:rPr>
        <w:lastRenderedPageBreak/>
        <w:t>да съдейства за изграждането на национална икономика, базирана на еко-технологиите;</w:t>
      </w:r>
    </w:p>
    <w:p w:rsidR="00531AD1" w:rsidRPr="00B45B4F" w:rsidRDefault="00531AD1" w:rsidP="006861B0">
      <w:pPr>
        <w:pStyle w:val="BodyText"/>
        <w:widowControl w:val="0"/>
        <w:numPr>
          <w:ilvl w:val="0"/>
          <w:numId w:val="17"/>
        </w:numPr>
        <w:spacing w:line="276" w:lineRule="auto"/>
        <w:jc w:val="both"/>
        <w:rPr>
          <w:rFonts w:ascii="Verdana" w:hAnsi="Verdana"/>
          <w:sz w:val="20"/>
          <w:szCs w:val="20"/>
          <w:lang w:eastAsia="en-US"/>
        </w:rPr>
      </w:pPr>
      <w:r w:rsidRPr="00B45B4F">
        <w:rPr>
          <w:rFonts w:ascii="Verdana" w:hAnsi="Verdana"/>
          <w:sz w:val="20"/>
          <w:szCs w:val="20"/>
          <w:lang w:eastAsia="en-US"/>
        </w:rPr>
        <w:t>да формулира национална научна политика, която създава условия и задава перспективи за постигане на задачите, поставени от Европейската стратегия 2020; и</w:t>
      </w:r>
    </w:p>
    <w:p w:rsidR="00531AD1" w:rsidRPr="00B45B4F" w:rsidRDefault="00531AD1" w:rsidP="006861B0">
      <w:pPr>
        <w:pStyle w:val="BodyText"/>
        <w:widowControl w:val="0"/>
        <w:numPr>
          <w:ilvl w:val="0"/>
          <w:numId w:val="17"/>
        </w:numPr>
        <w:spacing w:line="276" w:lineRule="auto"/>
        <w:jc w:val="both"/>
        <w:rPr>
          <w:rFonts w:ascii="Verdana" w:hAnsi="Verdana"/>
          <w:sz w:val="20"/>
          <w:szCs w:val="20"/>
          <w:lang w:eastAsia="en-US"/>
        </w:rPr>
      </w:pPr>
      <w:r w:rsidRPr="00B45B4F">
        <w:rPr>
          <w:rFonts w:ascii="Verdana" w:hAnsi="Verdana"/>
          <w:sz w:val="20"/>
          <w:szCs w:val="20"/>
          <w:lang w:eastAsia="en-US"/>
        </w:rPr>
        <w:t>да допринася за изграждането на интегрирано европейско изследователско пространство.</w:t>
      </w:r>
    </w:p>
    <w:p w:rsidR="00531AD1" w:rsidRPr="00B45B4F" w:rsidRDefault="00531AD1" w:rsidP="00531AD1">
      <w:pPr>
        <w:pStyle w:val="BodyText"/>
        <w:widowControl w:val="0"/>
        <w:spacing w:line="276" w:lineRule="auto"/>
        <w:jc w:val="both"/>
        <w:rPr>
          <w:rFonts w:ascii="Verdana" w:hAnsi="Verdana"/>
          <w:sz w:val="20"/>
          <w:szCs w:val="20"/>
          <w:lang w:eastAsia="en-US"/>
        </w:rPr>
      </w:pPr>
      <w:r w:rsidRPr="00B45B4F">
        <w:rPr>
          <w:rFonts w:ascii="Verdana" w:hAnsi="Verdana"/>
          <w:sz w:val="20"/>
          <w:szCs w:val="20"/>
          <w:lang w:eastAsia="en-US"/>
        </w:rPr>
        <w:t xml:space="preserve">ОПНОИР </w:t>
      </w:r>
      <w:r w:rsidR="005106CE" w:rsidRPr="00B45B4F">
        <w:rPr>
          <w:rFonts w:ascii="Verdana" w:hAnsi="Verdana"/>
          <w:sz w:val="20"/>
          <w:szCs w:val="20"/>
          <w:lang w:eastAsia="en-US"/>
        </w:rPr>
        <w:t>2014–2020</w:t>
      </w:r>
      <w:r w:rsidRPr="00B45B4F">
        <w:rPr>
          <w:rFonts w:ascii="Verdana" w:hAnsi="Verdana"/>
          <w:sz w:val="20"/>
          <w:szCs w:val="20"/>
          <w:lang w:eastAsia="en-US"/>
        </w:rPr>
        <w:t xml:space="preserve"> отразява в голяма степен набелязаните в стратегията мерки за постигане на целите по отношение на двете основни задачи на стратегията: (1) Повишаване на интензивността, резултатността и ефективността на научноизследователската и развойна дейност в полза на икономиката и обществото и (2) изграждане на устойчива връзка образование-наука-бизнес като основа за развитие на икономика,</w:t>
      </w:r>
      <w:r w:rsidR="002D4C3A">
        <w:rPr>
          <w:rFonts w:ascii="Verdana" w:hAnsi="Verdana"/>
          <w:sz w:val="20"/>
          <w:szCs w:val="20"/>
          <w:lang w:eastAsia="en-US"/>
        </w:rPr>
        <w:t xml:space="preserve"> </w:t>
      </w:r>
      <w:r w:rsidRPr="00B45B4F">
        <w:rPr>
          <w:rFonts w:ascii="Verdana" w:hAnsi="Verdana"/>
          <w:sz w:val="20"/>
          <w:szCs w:val="20"/>
          <w:lang w:eastAsia="en-US"/>
        </w:rPr>
        <w:t>базирана на знанието.</w:t>
      </w:r>
    </w:p>
    <w:p w:rsidR="00F0475F" w:rsidRPr="00B45B4F" w:rsidRDefault="004020E1" w:rsidP="00F0475F">
      <w:pPr>
        <w:keepNext/>
        <w:pBdr>
          <w:bottom w:val="single" w:sz="4" w:space="1" w:color="0070C0"/>
        </w:pBdr>
        <w:spacing w:before="360" w:after="120"/>
        <w:jc w:val="both"/>
        <w:rPr>
          <w:rFonts w:ascii="Verdana" w:hAnsi="Verdana"/>
          <w:color w:val="0070C0"/>
          <w:sz w:val="20"/>
          <w:szCs w:val="20"/>
          <w:lang w:val="bg-BG" w:eastAsia="cs-CZ"/>
        </w:rPr>
      </w:pPr>
      <w:hyperlink r:id="rId40" w:tooltip="Национална пътна карта за научна инфраструктура" w:history="1">
        <w:r w:rsidR="00DF1209" w:rsidRPr="00B45B4F">
          <w:rPr>
            <w:rFonts w:ascii="Verdana" w:hAnsi="Verdana"/>
            <w:color w:val="0070C0"/>
            <w:sz w:val="20"/>
            <w:szCs w:val="20"/>
            <w:lang w:val="bg-BG" w:eastAsia="cs-CZ"/>
          </w:rPr>
          <w:t>Национална пътна карта за научна инфраструктура</w:t>
        </w:r>
      </w:hyperlink>
    </w:p>
    <w:p w:rsidR="00F0475F" w:rsidRPr="00B45B4F" w:rsidRDefault="00F0475F" w:rsidP="001B6329">
      <w:pPr>
        <w:pStyle w:val="BodyText"/>
        <w:widowControl w:val="0"/>
        <w:spacing w:line="276" w:lineRule="auto"/>
        <w:jc w:val="both"/>
        <w:rPr>
          <w:rFonts w:ascii="Verdana" w:hAnsi="Verdana"/>
          <w:sz w:val="20"/>
          <w:szCs w:val="20"/>
          <w:lang w:eastAsia="en-US"/>
        </w:rPr>
      </w:pPr>
      <w:r w:rsidRPr="00B45B4F">
        <w:rPr>
          <w:rFonts w:ascii="Verdana" w:hAnsi="Verdana"/>
          <w:sz w:val="20"/>
          <w:szCs w:val="20"/>
          <w:lang w:eastAsia="en-US"/>
        </w:rPr>
        <w:t>Националната пътна карта за научна инфраструктура е изработена съобразно Заключенията на Съвета относно „Европейските изследователски инфраструктури и техните регионални измерения” и е неделима част от визията на Европа за изграждането на интегрирано Европейско изследователско пространство (ЕИП). Пътната карта обхваща национално значими научни комплекси и/или съоръжения, разположени на територията на страната, които имат потенциал за развитие в национален, регионален или европейски мащаб. Пътната карта има отношение към специфичн</w:t>
      </w:r>
      <w:r w:rsidR="00334168" w:rsidRPr="00B45B4F">
        <w:rPr>
          <w:rFonts w:ascii="Verdana" w:hAnsi="Verdana"/>
          <w:sz w:val="20"/>
          <w:szCs w:val="20"/>
          <w:lang w:eastAsia="en-US"/>
        </w:rPr>
        <w:t>а</w:t>
      </w:r>
      <w:r w:rsidRPr="00B45B4F">
        <w:rPr>
          <w:rFonts w:ascii="Verdana" w:hAnsi="Verdana"/>
          <w:sz w:val="20"/>
          <w:szCs w:val="20"/>
          <w:lang w:eastAsia="en-US"/>
        </w:rPr>
        <w:t>т</w:t>
      </w:r>
      <w:r w:rsidR="00334168" w:rsidRPr="00B45B4F">
        <w:rPr>
          <w:rFonts w:ascii="Verdana" w:hAnsi="Verdana"/>
          <w:sz w:val="20"/>
          <w:szCs w:val="20"/>
          <w:lang w:eastAsia="en-US"/>
        </w:rPr>
        <w:t>а</w:t>
      </w:r>
      <w:r w:rsidRPr="00B45B4F">
        <w:rPr>
          <w:rFonts w:ascii="Verdana" w:hAnsi="Verdana"/>
          <w:sz w:val="20"/>
          <w:szCs w:val="20"/>
          <w:lang w:eastAsia="en-US"/>
        </w:rPr>
        <w:t xml:space="preserve"> цел</w:t>
      </w:r>
      <w:r w:rsidR="00334168" w:rsidRPr="00B45B4F">
        <w:rPr>
          <w:rFonts w:ascii="Verdana" w:hAnsi="Verdana"/>
          <w:sz w:val="20"/>
          <w:szCs w:val="20"/>
          <w:lang w:eastAsia="en-US"/>
        </w:rPr>
        <w:t xml:space="preserve"> на програмата насочена, към модернизиране и изграждане на националната научна инфраструктура като посочва приоритетите за страната, включително по отношение на регионални и партньорски съоръжения към европейски научни инфраструктури. ОПНОИР </w:t>
      </w:r>
      <w:r w:rsidR="005106CE" w:rsidRPr="00B45B4F">
        <w:rPr>
          <w:rFonts w:ascii="Verdana" w:hAnsi="Verdana"/>
          <w:sz w:val="20"/>
          <w:szCs w:val="20"/>
          <w:lang w:eastAsia="en-US"/>
        </w:rPr>
        <w:t>2014–2020</w:t>
      </w:r>
      <w:r w:rsidR="004A7C92" w:rsidRPr="00B45B4F">
        <w:rPr>
          <w:rFonts w:ascii="Verdana" w:hAnsi="Verdana"/>
          <w:sz w:val="20"/>
          <w:szCs w:val="20"/>
          <w:lang w:eastAsia="en-US"/>
        </w:rPr>
        <w:t xml:space="preserve">в стратегическата си част, </w:t>
      </w:r>
      <w:r w:rsidR="00334168" w:rsidRPr="00B45B4F">
        <w:rPr>
          <w:rFonts w:ascii="Verdana" w:hAnsi="Verdana"/>
          <w:sz w:val="20"/>
          <w:szCs w:val="20"/>
          <w:lang w:eastAsia="en-US"/>
        </w:rPr>
        <w:t>реферира към приоритетите, по</w:t>
      </w:r>
      <w:r w:rsidR="004A7C92" w:rsidRPr="00B45B4F">
        <w:rPr>
          <w:rFonts w:ascii="Verdana" w:hAnsi="Verdana"/>
          <w:sz w:val="20"/>
          <w:szCs w:val="20"/>
          <w:lang w:eastAsia="en-US"/>
        </w:rPr>
        <w:t xml:space="preserve">сочени в пътната карта. Националната пътна карта е в процес на актуализиране, което към момента възпрепятства използването на документа за фокусиране на предвидената подкрепа по оперативната програма. </w:t>
      </w:r>
    </w:p>
    <w:p w:rsidR="00CF2162" w:rsidRPr="00B45B4F" w:rsidRDefault="00CF2162" w:rsidP="00CF2162">
      <w:pPr>
        <w:keepNext/>
        <w:pBdr>
          <w:bottom w:val="single" w:sz="4" w:space="1" w:color="0070C0"/>
        </w:pBdr>
        <w:spacing w:before="360" w:after="120"/>
        <w:jc w:val="both"/>
        <w:rPr>
          <w:rFonts w:ascii="Verdana" w:hAnsi="Verdana"/>
          <w:color w:val="0070C0"/>
          <w:sz w:val="20"/>
          <w:szCs w:val="20"/>
          <w:lang w:val="bg-BG" w:eastAsia="cs-CZ"/>
        </w:rPr>
      </w:pPr>
      <w:r w:rsidRPr="00B45B4F">
        <w:rPr>
          <w:rFonts w:ascii="Verdana" w:hAnsi="Verdana"/>
          <w:color w:val="0070C0"/>
          <w:sz w:val="20"/>
          <w:szCs w:val="20"/>
          <w:lang w:val="bg-BG" w:eastAsia="cs-CZ"/>
        </w:rPr>
        <w:t>Националната квалификационна рамка, приета с РМС 96 от 2 февруари 2012 г.</w:t>
      </w:r>
    </w:p>
    <w:p w:rsidR="00CF2162" w:rsidRPr="00B45B4F" w:rsidRDefault="00CF2162" w:rsidP="001B6329">
      <w:pPr>
        <w:pStyle w:val="BodyText"/>
        <w:widowControl w:val="0"/>
        <w:tabs>
          <w:tab w:val="left" w:pos="9090"/>
        </w:tabs>
        <w:spacing w:line="276" w:lineRule="auto"/>
        <w:jc w:val="both"/>
        <w:rPr>
          <w:rFonts w:ascii="Verdana" w:hAnsi="Verdana"/>
          <w:sz w:val="20"/>
          <w:szCs w:val="20"/>
          <w:lang w:eastAsia="en-US"/>
        </w:rPr>
      </w:pPr>
      <w:r w:rsidRPr="00B45B4F">
        <w:rPr>
          <w:rFonts w:ascii="Verdana" w:hAnsi="Verdana"/>
          <w:sz w:val="20"/>
          <w:szCs w:val="20"/>
          <w:lang w:eastAsia="en-US"/>
        </w:rPr>
        <w:t xml:space="preserve">Националната квалификационна рамка определя квалификационните степени. Тя е създадена в изпълнение на Препоръката на Европейския парламент и на Съвета за създаване на Европейска квалификационна рамка (ЕКР) за учене през целия живот, която от своя </w:t>
      </w:r>
      <w:r w:rsidR="00AD6A0C" w:rsidRPr="00B45B4F">
        <w:rPr>
          <w:rFonts w:ascii="Verdana" w:hAnsi="Verdana"/>
          <w:sz w:val="20"/>
          <w:szCs w:val="20"/>
          <w:lang w:eastAsia="en-US"/>
        </w:rPr>
        <w:t>страна ц</w:t>
      </w:r>
      <w:r w:rsidRPr="00B45B4F">
        <w:rPr>
          <w:rFonts w:ascii="Verdana" w:hAnsi="Verdana"/>
          <w:sz w:val="20"/>
          <w:szCs w:val="20"/>
          <w:lang w:eastAsia="en-US"/>
        </w:rPr>
        <w:t xml:space="preserve">ели да осигури обща европейска основа (отправна точка) за съпоставяне на отделните квалификационни нива от националните квалификационни системи. Документът има общо отношение към ОПНОИР </w:t>
      </w:r>
      <w:r w:rsidR="005106CE" w:rsidRPr="00B45B4F">
        <w:rPr>
          <w:rFonts w:ascii="Verdana" w:hAnsi="Verdana"/>
          <w:sz w:val="20"/>
          <w:szCs w:val="20"/>
          <w:lang w:eastAsia="en-US"/>
        </w:rPr>
        <w:t>2014–2020</w:t>
      </w:r>
      <w:r w:rsidRPr="00B45B4F">
        <w:rPr>
          <w:rFonts w:ascii="Verdana" w:hAnsi="Verdana"/>
          <w:sz w:val="20"/>
          <w:szCs w:val="20"/>
          <w:lang w:eastAsia="en-US"/>
        </w:rPr>
        <w:t xml:space="preserve">, </w:t>
      </w:r>
      <w:r w:rsidR="00AD6A0C" w:rsidRPr="00B45B4F">
        <w:rPr>
          <w:rFonts w:ascii="Verdana" w:hAnsi="Verdana"/>
          <w:sz w:val="20"/>
          <w:szCs w:val="20"/>
          <w:lang w:eastAsia="en-US"/>
        </w:rPr>
        <w:t>доколкото</w:t>
      </w:r>
      <w:r w:rsidRPr="00B45B4F">
        <w:rPr>
          <w:rFonts w:ascii="Verdana" w:hAnsi="Verdana"/>
          <w:sz w:val="20"/>
          <w:szCs w:val="20"/>
          <w:lang w:eastAsia="en-US"/>
        </w:rPr>
        <w:t xml:space="preserve"> програмата касае подкрепа за образование. </w:t>
      </w:r>
    </w:p>
    <w:p w:rsidR="00531AD1" w:rsidRPr="00B45B4F" w:rsidRDefault="00531AD1" w:rsidP="00314D11">
      <w:pPr>
        <w:keepNext/>
        <w:pBdr>
          <w:bottom w:val="single" w:sz="4" w:space="1" w:color="0070C0"/>
        </w:pBdr>
        <w:spacing w:before="360" w:after="120"/>
        <w:jc w:val="both"/>
        <w:rPr>
          <w:rFonts w:ascii="Verdana" w:hAnsi="Verdana"/>
          <w:color w:val="0070C0"/>
          <w:sz w:val="20"/>
          <w:szCs w:val="20"/>
          <w:lang w:val="bg-BG" w:eastAsia="cs-CZ"/>
        </w:rPr>
      </w:pPr>
      <w:r w:rsidRPr="00B45B4F">
        <w:rPr>
          <w:rFonts w:ascii="Verdana" w:hAnsi="Verdana"/>
          <w:color w:val="0070C0"/>
          <w:sz w:val="20"/>
          <w:szCs w:val="20"/>
          <w:lang w:val="bg-BG" w:eastAsia="cs-CZ"/>
        </w:rPr>
        <w:t xml:space="preserve">Национална стратегия </w:t>
      </w:r>
      <w:r w:rsidR="00314D11" w:rsidRPr="00B45B4F">
        <w:rPr>
          <w:rFonts w:ascii="Verdana" w:hAnsi="Verdana"/>
          <w:color w:val="0070C0"/>
          <w:sz w:val="20"/>
          <w:szCs w:val="20"/>
          <w:lang w:val="bg-BG" w:eastAsia="cs-CZ"/>
        </w:rPr>
        <w:t>за развитие на висшето образование</w:t>
      </w:r>
    </w:p>
    <w:p w:rsidR="00314D11" w:rsidRPr="00B45B4F" w:rsidRDefault="00314D11" w:rsidP="00314D11">
      <w:pPr>
        <w:pStyle w:val="BodyText"/>
        <w:widowControl w:val="0"/>
        <w:spacing w:line="276" w:lineRule="auto"/>
        <w:jc w:val="both"/>
        <w:rPr>
          <w:rFonts w:ascii="Verdana" w:hAnsi="Verdana"/>
          <w:sz w:val="20"/>
          <w:szCs w:val="20"/>
          <w:lang w:eastAsia="en-US"/>
        </w:rPr>
      </w:pPr>
      <w:r w:rsidRPr="00B45B4F">
        <w:rPr>
          <w:rFonts w:ascii="Verdana" w:hAnsi="Verdana"/>
          <w:sz w:val="20"/>
          <w:szCs w:val="20"/>
          <w:lang w:eastAsia="en-US"/>
        </w:rPr>
        <w:t>Стратегията е в процес на подготовка</w:t>
      </w:r>
      <w:r w:rsidR="00DE2361" w:rsidRPr="00B45B4F">
        <w:rPr>
          <w:rFonts w:ascii="Verdana" w:hAnsi="Verdana"/>
          <w:sz w:val="20"/>
          <w:szCs w:val="20"/>
          <w:lang w:eastAsia="en-US"/>
        </w:rPr>
        <w:t>.</w:t>
      </w:r>
    </w:p>
    <w:p w:rsidR="00314D11" w:rsidRPr="00B45B4F" w:rsidRDefault="00314D11" w:rsidP="00314D11">
      <w:pPr>
        <w:keepNext/>
        <w:pBdr>
          <w:bottom w:val="single" w:sz="4" w:space="1" w:color="0070C0"/>
        </w:pBdr>
        <w:spacing w:before="360" w:after="120"/>
        <w:jc w:val="both"/>
        <w:rPr>
          <w:rFonts w:ascii="Verdana" w:hAnsi="Verdana"/>
          <w:color w:val="0070C0"/>
          <w:sz w:val="20"/>
          <w:szCs w:val="20"/>
          <w:lang w:val="bg-BG" w:eastAsia="cs-CZ"/>
        </w:rPr>
      </w:pPr>
      <w:r w:rsidRPr="00B45B4F">
        <w:rPr>
          <w:rFonts w:ascii="Verdana" w:hAnsi="Verdana"/>
          <w:color w:val="0070C0"/>
          <w:sz w:val="20"/>
          <w:szCs w:val="20"/>
          <w:lang w:val="bg-BG" w:eastAsia="cs-CZ"/>
        </w:rPr>
        <w:lastRenderedPageBreak/>
        <w:t>Национална стратегия за интелигентна специализация</w:t>
      </w:r>
    </w:p>
    <w:p w:rsidR="00314D11" w:rsidRPr="00B45B4F" w:rsidRDefault="00314D11" w:rsidP="00314D11">
      <w:pPr>
        <w:pStyle w:val="BodyText"/>
        <w:widowControl w:val="0"/>
        <w:spacing w:line="276" w:lineRule="auto"/>
        <w:jc w:val="both"/>
        <w:rPr>
          <w:rFonts w:ascii="Verdana" w:hAnsi="Verdana"/>
          <w:sz w:val="20"/>
          <w:szCs w:val="20"/>
          <w:lang w:eastAsia="en-US"/>
        </w:rPr>
      </w:pPr>
      <w:r w:rsidRPr="00B45B4F">
        <w:rPr>
          <w:rFonts w:ascii="Verdana" w:hAnsi="Verdana"/>
          <w:sz w:val="20"/>
          <w:szCs w:val="20"/>
          <w:lang w:eastAsia="en-US"/>
        </w:rPr>
        <w:t>Стратегията е в процес на подготовка</w:t>
      </w:r>
      <w:r w:rsidR="00DE2361" w:rsidRPr="00B45B4F">
        <w:rPr>
          <w:rFonts w:ascii="Verdana" w:hAnsi="Verdana"/>
          <w:sz w:val="20"/>
          <w:szCs w:val="20"/>
          <w:lang w:eastAsia="en-US"/>
        </w:rPr>
        <w:t>.</w:t>
      </w:r>
    </w:p>
    <w:p w:rsidR="00BA31D0" w:rsidRPr="00B45B4F" w:rsidRDefault="00BA31D0" w:rsidP="00BA31D0">
      <w:pPr>
        <w:keepNext/>
        <w:pBdr>
          <w:bottom w:val="single" w:sz="4" w:space="1" w:color="0070C0"/>
        </w:pBdr>
        <w:spacing w:before="360" w:after="120"/>
        <w:jc w:val="both"/>
        <w:rPr>
          <w:rFonts w:ascii="Verdana" w:hAnsi="Verdana"/>
          <w:color w:val="0070C0"/>
          <w:sz w:val="20"/>
          <w:szCs w:val="20"/>
          <w:lang w:val="bg-BG" w:eastAsia="cs-CZ"/>
        </w:rPr>
      </w:pPr>
      <w:r w:rsidRPr="00B45B4F">
        <w:rPr>
          <w:rFonts w:ascii="Verdana" w:hAnsi="Verdana"/>
          <w:color w:val="0070C0"/>
          <w:sz w:val="20"/>
          <w:szCs w:val="20"/>
          <w:lang w:val="bg-BG" w:eastAsia="cs-CZ"/>
        </w:rPr>
        <w:t>Стратегия за превенция и намаляване на дела на отпадащите и преждевременно напусналите образователната система 2013-2020</w:t>
      </w:r>
      <w:r w:rsidR="00212550" w:rsidRPr="00B45B4F">
        <w:rPr>
          <w:rFonts w:ascii="Verdana" w:hAnsi="Verdana"/>
          <w:color w:val="0070C0"/>
          <w:sz w:val="20"/>
          <w:szCs w:val="20"/>
          <w:lang w:val="bg-BG" w:eastAsia="cs-CZ"/>
        </w:rPr>
        <w:t xml:space="preserve"> г.</w:t>
      </w:r>
    </w:p>
    <w:p w:rsidR="00BA31D0" w:rsidRPr="00B45B4F" w:rsidRDefault="00BA31D0" w:rsidP="001B6329">
      <w:pPr>
        <w:pStyle w:val="BodyText"/>
        <w:widowControl w:val="0"/>
        <w:spacing w:line="276" w:lineRule="auto"/>
        <w:jc w:val="both"/>
        <w:rPr>
          <w:rFonts w:ascii="Verdana" w:hAnsi="Verdana"/>
          <w:sz w:val="20"/>
          <w:szCs w:val="20"/>
          <w:lang w:eastAsia="en-US"/>
        </w:rPr>
      </w:pPr>
      <w:r w:rsidRPr="00B45B4F">
        <w:rPr>
          <w:rFonts w:ascii="Verdana" w:hAnsi="Verdana"/>
          <w:sz w:val="20"/>
          <w:szCs w:val="20"/>
          <w:lang w:eastAsia="en-US"/>
        </w:rPr>
        <w:t>Стратегията дефинира три вида политики:</w:t>
      </w:r>
    </w:p>
    <w:p w:rsidR="00BA31D0" w:rsidRPr="00B45B4F" w:rsidRDefault="00BA31D0" w:rsidP="001B6329">
      <w:pPr>
        <w:pStyle w:val="BodyText"/>
        <w:widowControl w:val="0"/>
        <w:spacing w:line="276" w:lineRule="auto"/>
        <w:jc w:val="both"/>
        <w:rPr>
          <w:rFonts w:ascii="Verdana" w:hAnsi="Verdana"/>
          <w:sz w:val="20"/>
          <w:szCs w:val="20"/>
          <w:lang w:eastAsia="en-US"/>
        </w:rPr>
      </w:pPr>
      <w:r w:rsidRPr="00B45B4F">
        <w:rPr>
          <w:rFonts w:ascii="Verdana" w:hAnsi="Verdana"/>
          <w:i/>
          <w:sz w:val="20"/>
          <w:szCs w:val="20"/>
          <w:lang w:eastAsia="en-US"/>
        </w:rPr>
        <w:t>Политики за превенция</w:t>
      </w:r>
      <w:r w:rsidRPr="00B45B4F">
        <w:rPr>
          <w:rFonts w:ascii="Verdana" w:hAnsi="Verdana"/>
          <w:sz w:val="20"/>
          <w:szCs w:val="20"/>
          <w:lang w:eastAsia="en-US"/>
        </w:rPr>
        <w:t>, включващи: осигуряване на подходяща образователна среда, повишаване качеството на образованието и осигуряване на достъп и качествено образовани</w:t>
      </w:r>
      <w:r w:rsidR="00DE2361" w:rsidRPr="00B45B4F">
        <w:rPr>
          <w:rFonts w:ascii="Verdana" w:hAnsi="Verdana"/>
          <w:sz w:val="20"/>
          <w:szCs w:val="20"/>
          <w:lang w:eastAsia="en-US"/>
        </w:rPr>
        <w:t>е</w:t>
      </w:r>
      <w:r w:rsidRPr="00B45B4F">
        <w:rPr>
          <w:rFonts w:ascii="Verdana" w:hAnsi="Verdana"/>
          <w:sz w:val="20"/>
          <w:szCs w:val="20"/>
          <w:lang w:eastAsia="en-US"/>
        </w:rPr>
        <w:t xml:space="preserve"> на деца от уязвими етнически общности и деца със специални</w:t>
      </w:r>
      <w:r w:rsidR="00DE2361" w:rsidRPr="00B45B4F">
        <w:rPr>
          <w:rFonts w:ascii="Verdana" w:hAnsi="Verdana"/>
          <w:sz w:val="20"/>
          <w:szCs w:val="20"/>
          <w:lang w:eastAsia="en-US"/>
        </w:rPr>
        <w:t xml:space="preserve"> образователни потребности</w:t>
      </w:r>
      <w:r w:rsidRPr="00B45B4F">
        <w:rPr>
          <w:rFonts w:ascii="Verdana" w:hAnsi="Verdana"/>
          <w:sz w:val="20"/>
          <w:szCs w:val="20"/>
          <w:lang w:eastAsia="en-US"/>
        </w:rPr>
        <w:t>.</w:t>
      </w:r>
    </w:p>
    <w:p w:rsidR="00BA31D0" w:rsidRPr="00B45B4F" w:rsidRDefault="00BA31D0" w:rsidP="001B6329">
      <w:pPr>
        <w:pStyle w:val="BodyText"/>
        <w:widowControl w:val="0"/>
        <w:spacing w:line="276" w:lineRule="auto"/>
        <w:jc w:val="both"/>
        <w:rPr>
          <w:rFonts w:ascii="Verdana" w:hAnsi="Verdana"/>
          <w:sz w:val="20"/>
          <w:szCs w:val="20"/>
          <w:lang w:eastAsia="en-US"/>
        </w:rPr>
      </w:pPr>
      <w:r w:rsidRPr="00B45B4F">
        <w:rPr>
          <w:rFonts w:ascii="Verdana" w:hAnsi="Verdana"/>
          <w:i/>
          <w:sz w:val="20"/>
          <w:szCs w:val="20"/>
          <w:lang w:eastAsia="en-US"/>
        </w:rPr>
        <w:t xml:space="preserve">Политики за интервенция, </w:t>
      </w:r>
      <w:r w:rsidRPr="00B45B4F">
        <w:rPr>
          <w:rFonts w:ascii="Verdana" w:hAnsi="Verdana"/>
          <w:sz w:val="20"/>
          <w:szCs w:val="20"/>
          <w:lang w:eastAsia="en-US"/>
        </w:rPr>
        <w:t>включващи: по-добро участие и ангажираност на родителите, индивидуално и групово наставничество, кариерно и личностно развитие, занимания по интереси, придобиване на професионална квалификация, финансово подпомагане.</w:t>
      </w:r>
    </w:p>
    <w:p w:rsidR="00BA31D0" w:rsidRPr="00B45B4F" w:rsidRDefault="00BA31D0" w:rsidP="001B6329">
      <w:pPr>
        <w:pStyle w:val="BodyText"/>
        <w:widowControl w:val="0"/>
        <w:spacing w:line="276" w:lineRule="auto"/>
        <w:jc w:val="both"/>
        <w:rPr>
          <w:rFonts w:ascii="Verdana" w:hAnsi="Verdana"/>
          <w:sz w:val="20"/>
          <w:szCs w:val="20"/>
          <w:lang w:eastAsia="en-US"/>
        </w:rPr>
      </w:pPr>
      <w:r w:rsidRPr="00B45B4F">
        <w:rPr>
          <w:rFonts w:ascii="Verdana" w:hAnsi="Verdana"/>
          <w:i/>
          <w:sz w:val="20"/>
          <w:szCs w:val="20"/>
          <w:lang w:eastAsia="en-US"/>
        </w:rPr>
        <w:t xml:space="preserve">Политики за компенсиране, </w:t>
      </w:r>
      <w:r w:rsidRPr="00B45B4F">
        <w:rPr>
          <w:rFonts w:ascii="Verdana" w:hAnsi="Verdana"/>
          <w:sz w:val="20"/>
          <w:szCs w:val="20"/>
          <w:lang w:eastAsia="en-US"/>
        </w:rPr>
        <w:t xml:space="preserve">включващи: – създаване на условия за </w:t>
      </w:r>
      <w:proofErr w:type="spellStart"/>
      <w:r w:rsidRPr="00B45B4F">
        <w:rPr>
          <w:rFonts w:ascii="Verdana" w:hAnsi="Verdana"/>
          <w:sz w:val="20"/>
          <w:szCs w:val="20"/>
          <w:lang w:eastAsia="en-US"/>
        </w:rPr>
        <w:t>реинтегриране</w:t>
      </w:r>
      <w:proofErr w:type="spellEnd"/>
      <w:r w:rsidRPr="00B45B4F">
        <w:rPr>
          <w:rFonts w:ascii="Verdana" w:hAnsi="Verdana"/>
          <w:sz w:val="20"/>
          <w:szCs w:val="20"/>
          <w:lang w:eastAsia="en-US"/>
        </w:rPr>
        <w:t>, система за валидиране на компетентности, придобити чрез неформално учене.</w:t>
      </w:r>
    </w:p>
    <w:p w:rsidR="00BA31D0" w:rsidRPr="00B45B4F" w:rsidRDefault="00AD6A0C" w:rsidP="001B6329">
      <w:pPr>
        <w:pStyle w:val="BodyText"/>
        <w:widowControl w:val="0"/>
        <w:spacing w:line="276" w:lineRule="auto"/>
        <w:jc w:val="both"/>
        <w:rPr>
          <w:rFonts w:ascii="Verdana" w:hAnsi="Verdana"/>
          <w:sz w:val="20"/>
          <w:szCs w:val="20"/>
          <w:lang w:eastAsia="en-US"/>
        </w:rPr>
      </w:pPr>
      <w:r w:rsidRPr="00B45B4F">
        <w:rPr>
          <w:rFonts w:ascii="Verdana" w:hAnsi="Verdana"/>
          <w:sz w:val="20"/>
          <w:szCs w:val="20"/>
          <w:lang w:eastAsia="en-US"/>
        </w:rPr>
        <w:t>Четири от</w:t>
      </w:r>
      <w:r w:rsidR="00BA31D0" w:rsidRPr="00B45B4F">
        <w:rPr>
          <w:rFonts w:ascii="Verdana" w:hAnsi="Verdana"/>
          <w:sz w:val="20"/>
          <w:szCs w:val="20"/>
          <w:lang w:eastAsia="en-US"/>
        </w:rPr>
        <w:t xml:space="preserve"> приоритетите на ОПНОИ</w:t>
      </w:r>
      <w:r w:rsidR="00212550" w:rsidRPr="00B45B4F">
        <w:rPr>
          <w:rFonts w:ascii="Verdana" w:hAnsi="Verdana"/>
          <w:sz w:val="20"/>
          <w:szCs w:val="20"/>
          <w:lang w:eastAsia="en-US"/>
        </w:rPr>
        <w:t>Р адресират изложените по-горе политики и мерки на стратегията – приоритетите за (1) Превенция и намаляване на преждевременно напускане на училище и насърчаване на равния достъп до висококачествено предучилищно, основно и средно образование</w:t>
      </w:r>
      <w:r w:rsidRPr="00B45B4F">
        <w:rPr>
          <w:rFonts w:ascii="Verdana" w:hAnsi="Verdana"/>
          <w:sz w:val="20"/>
          <w:szCs w:val="20"/>
          <w:lang w:eastAsia="en-US"/>
        </w:rPr>
        <w:t xml:space="preserve">, </w:t>
      </w:r>
      <w:r w:rsidR="00212550" w:rsidRPr="00B45B4F">
        <w:rPr>
          <w:rFonts w:ascii="Verdana" w:hAnsi="Verdana"/>
          <w:sz w:val="20"/>
          <w:szCs w:val="20"/>
          <w:lang w:eastAsia="en-US"/>
        </w:rPr>
        <w:t xml:space="preserve">(2) </w:t>
      </w:r>
      <w:r w:rsidRPr="00B45B4F">
        <w:rPr>
          <w:rFonts w:ascii="Verdana" w:hAnsi="Verdana"/>
          <w:sz w:val="20"/>
          <w:szCs w:val="20"/>
          <w:lang w:eastAsia="en-US"/>
        </w:rPr>
        <w:t>Активно приобщаване, особено с оглед на подобряване на пригодността за заетост (3)</w:t>
      </w:r>
      <w:r w:rsidR="00212550" w:rsidRPr="00B45B4F">
        <w:rPr>
          <w:rFonts w:ascii="Verdana" w:hAnsi="Verdana"/>
          <w:sz w:val="20"/>
          <w:szCs w:val="20"/>
          <w:lang w:eastAsia="en-US"/>
        </w:rPr>
        <w:t xml:space="preserve">Интеграция на </w:t>
      </w:r>
      <w:proofErr w:type="spellStart"/>
      <w:r w:rsidR="00212550" w:rsidRPr="00B45B4F">
        <w:rPr>
          <w:rFonts w:ascii="Verdana" w:hAnsi="Verdana"/>
          <w:sz w:val="20"/>
          <w:szCs w:val="20"/>
          <w:lang w:eastAsia="en-US"/>
        </w:rPr>
        <w:t>марги</w:t>
      </w:r>
      <w:r w:rsidRPr="00B45B4F">
        <w:rPr>
          <w:rFonts w:ascii="Verdana" w:hAnsi="Verdana"/>
          <w:sz w:val="20"/>
          <w:szCs w:val="20"/>
          <w:lang w:eastAsia="en-US"/>
        </w:rPr>
        <w:t>нализирани</w:t>
      </w:r>
      <w:proofErr w:type="spellEnd"/>
      <w:r w:rsidRPr="00B45B4F">
        <w:rPr>
          <w:rFonts w:ascii="Verdana" w:hAnsi="Verdana"/>
          <w:sz w:val="20"/>
          <w:szCs w:val="20"/>
          <w:lang w:eastAsia="en-US"/>
        </w:rPr>
        <w:t xml:space="preserve"> общности като ромите и (4)Подобряване на достъпа до възможностите за учене през целия живот, подобряване на уменията и квалификацията на работната ръка и повишаване на адекватността на системите за образование и обучение спрямо пазара на труда включително подобряване на качеството на професионалното образование и обучение и създаване и развитие на схеми за учене чрез работа и чиракуване като например </w:t>
      </w:r>
      <w:proofErr w:type="spellStart"/>
      <w:r w:rsidRPr="00B45B4F">
        <w:rPr>
          <w:rFonts w:ascii="Verdana" w:hAnsi="Verdana"/>
          <w:sz w:val="20"/>
          <w:szCs w:val="20"/>
          <w:lang w:eastAsia="en-US"/>
        </w:rPr>
        <w:t>дуалната</w:t>
      </w:r>
      <w:proofErr w:type="spellEnd"/>
      <w:r w:rsidRPr="00B45B4F">
        <w:rPr>
          <w:rFonts w:ascii="Verdana" w:hAnsi="Verdana"/>
          <w:sz w:val="20"/>
          <w:szCs w:val="20"/>
          <w:lang w:eastAsia="en-US"/>
        </w:rPr>
        <w:t xml:space="preserve"> система.</w:t>
      </w:r>
    </w:p>
    <w:p w:rsidR="00314D11" w:rsidRPr="00B45B4F" w:rsidRDefault="00314D11" w:rsidP="00314D11">
      <w:pPr>
        <w:keepNext/>
        <w:pBdr>
          <w:bottom w:val="single" w:sz="4" w:space="1" w:color="0070C0"/>
        </w:pBdr>
        <w:spacing w:before="360" w:after="120"/>
        <w:jc w:val="both"/>
        <w:rPr>
          <w:rFonts w:ascii="Verdana" w:hAnsi="Verdana"/>
          <w:color w:val="0070C0"/>
          <w:sz w:val="20"/>
          <w:szCs w:val="20"/>
          <w:lang w:val="bg-BG" w:eastAsia="cs-CZ"/>
        </w:rPr>
      </w:pPr>
      <w:r w:rsidRPr="00B45B4F">
        <w:rPr>
          <w:rFonts w:ascii="Verdana" w:hAnsi="Verdana"/>
          <w:color w:val="0070C0"/>
          <w:sz w:val="20"/>
          <w:szCs w:val="20"/>
          <w:lang w:val="bg-BG" w:eastAsia="cs-CZ"/>
        </w:rPr>
        <w:t>Национална стратегия за развитие на педагогическите кадри</w:t>
      </w:r>
    </w:p>
    <w:p w:rsidR="00416243" w:rsidRPr="00B45B4F" w:rsidRDefault="00314D11" w:rsidP="00314D11">
      <w:pPr>
        <w:pStyle w:val="BodyText"/>
        <w:widowControl w:val="0"/>
        <w:spacing w:line="276" w:lineRule="auto"/>
        <w:jc w:val="both"/>
        <w:rPr>
          <w:rFonts w:ascii="Verdana" w:hAnsi="Verdana"/>
          <w:sz w:val="20"/>
          <w:szCs w:val="20"/>
          <w:lang w:eastAsia="en-US"/>
        </w:rPr>
      </w:pPr>
      <w:r w:rsidRPr="00B45B4F">
        <w:rPr>
          <w:rFonts w:ascii="Verdana" w:hAnsi="Verdana"/>
          <w:sz w:val="20"/>
          <w:szCs w:val="20"/>
          <w:lang w:eastAsia="en-US"/>
        </w:rPr>
        <w:t>Стратегията е в процес на подготовка</w:t>
      </w:r>
      <w:r w:rsidR="00DE2361" w:rsidRPr="00B45B4F">
        <w:rPr>
          <w:rFonts w:ascii="Verdana" w:hAnsi="Verdana"/>
          <w:sz w:val="20"/>
          <w:szCs w:val="20"/>
          <w:lang w:eastAsia="en-US"/>
        </w:rPr>
        <w:t>.</w:t>
      </w:r>
    </w:p>
    <w:p w:rsidR="00314D11" w:rsidRPr="00B45B4F" w:rsidRDefault="00314D11" w:rsidP="00314D11">
      <w:pPr>
        <w:keepNext/>
        <w:pBdr>
          <w:bottom w:val="single" w:sz="4" w:space="1" w:color="0070C0"/>
        </w:pBdr>
        <w:spacing w:before="360" w:after="120"/>
        <w:jc w:val="both"/>
        <w:rPr>
          <w:rFonts w:ascii="Verdana" w:hAnsi="Verdana"/>
          <w:color w:val="0070C0"/>
          <w:sz w:val="20"/>
          <w:szCs w:val="20"/>
          <w:lang w:val="bg-BG" w:eastAsia="cs-CZ"/>
        </w:rPr>
      </w:pPr>
      <w:r w:rsidRPr="00B45B4F">
        <w:rPr>
          <w:rFonts w:ascii="Verdana" w:hAnsi="Verdana"/>
          <w:color w:val="0070C0"/>
          <w:sz w:val="20"/>
          <w:szCs w:val="20"/>
          <w:lang w:val="bg-BG" w:eastAsia="cs-CZ"/>
        </w:rPr>
        <w:t>Стратегия за ефективно прилагане на информационни и комуникационни технологии в образованието и</w:t>
      </w:r>
      <w:r w:rsidR="00212550" w:rsidRPr="00B45B4F">
        <w:rPr>
          <w:rFonts w:ascii="Verdana" w:hAnsi="Verdana"/>
          <w:color w:val="0070C0"/>
          <w:sz w:val="20"/>
          <w:szCs w:val="20"/>
          <w:lang w:val="bg-BG" w:eastAsia="cs-CZ"/>
        </w:rPr>
        <w:t xml:space="preserve"> науката на Република България </w:t>
      </w:r>
      <w:r w:rsidR="005106CE" w:rsidRPr="00B45B4F">
        <w:rPr>
          <w:rFonts w:ascii="Verdana" w:hAnsi="Verdana"/>
          <w:color w:val="0070C0"/>
          <w:sz w:val="20"/>
          <w:szCs w:val="20"/>
          <w:lang w:val="bg-BG" w:eastAsia="cs-CZ"/>
        </w:rPr>
        <w:t>2014–2020</w:t>
      </w:r>
      <w:r w:rsidRPr="00B45B4F">
        <w:rPr>
          <w:rFonts w:ascii="Verdana" w:hAnsi="Verdana"/>
          <w:color w:val="0070C0"/>
          <w:sz w:val="20"/>
          <w:szCs w:val="20"/>
          <w:lang w:val="bg-BG" w:eastAsia="cs-CZ"/>
        </w:rPr>
        <w:t xml:space="preserve"> г.</w:t>
      </w:r>
    </w:p>
    <w:p w:rsidR="00DF1209" w:rsidRPr="00B45B4F" w:rsidRDefault="00314D11" w:rsidP="00DF1209">
      <w:pPr>
        <w:pStyle w:val="BodyText"/>
        <w:tabs>
          <w:tab w:val="left" w:pos="0"/>
          <w:tab w:val="right" w:pos="9214"/>
        </w:tabs>
        <w:spacing w:before="120" w:line="276" w:lineRule="auto"/>
        <w:jc w:val="both"/>
        <w:rPr>
          <w:rFonts w:ascii="Verdana" w:hAnsi="Verdana"/>
          <w:sz w:val="20"/>
          <w:szCs w:val="20"/>
        </w:rPr>
      </w:pPr>
      <w:r w:rsidRPr="00B45B4F">
        <w:rPr>
          <w:rFonts w:ascii="Verdana" w:hAnsi="Verdana"/>
          <w:sz w:val="20"/>
          <w:szCs w:val="20"/>
        </w:rPr>
        <w:t>Стратегията е в процес на подготовка</w:t>
      </w:r>
      <w:r w:rsidR="00DE2361" w:rsidRPr="00B45B4F">
        <w:rPr>
          <w:rFonts w:ascii="Verdana" w:hAnsi="Verdana"/>
          <w:sz w:val="20"/>
          <w:szCs w:val="20"/>
        </w:rPr>
        <w:t>.</w:t>
      </w:r>
    </w:p>
    <w:p w:rsidR="00314D11" w:rsidRPr="00B45B4F" w:rsidRDefault="00314D11" w:rsidP="00314D11">
      <w:pPr>
        <w:keepNext/>
        <w:pBdr>
          <w:bottom w:val="single" w:sz="4" w:space="1" w:color="0070C0"/>
        </w:pBdr>
        <w:spacing w:before="360" w:after="120"/>
        <w:jc w:val="both"/>
        <w:rPr>
          <w:rFonts w:ascii="Verdana" w:hAnsi="Verdana"/>
          <w:color w:val="0070C0"/>
          <w:sz w:val="20"/>
          <w:szCs w:val="20"/>
          <w:lang w:val="bg-BG" w:eastAsia="cs-CZ"/>
        </w:rPr>
      </w:pPr>
      <w:r w:rsidRPr="00B45B4F">
        <w:rPr>
          <w:rFonts w:ascii="Verdana" w:hAnsi="Verdana"/>
          <w:color w:val="0070C0"/>
          <w:sz w:val="20"/>
          <w:szCs w:val="20"/>
          <w:lang w:val="bg-BG" w:eastAsia="cs-CZ"/>
        </w:rPr>
        <w:t>Национална стратегия на Република Бъл</w:t>
      </w:r>
      <w:r w:rsidR="00CE227E" w:rsidRPr="00B45B4F">
        <w:rPr>
          <w:rFonts w:ascii="Verdana" w:hAnsi="Verdana"/>
          <w:color w:val="0070C0"/>
          <w:sz w:val="20"/>
          <w:szCs w:val="20"/>
          <w:lang w:val="bg-BG" w:eastAsia="cs-CZ"/>
        </w:rPr>
        <w:t xml:space="preserve">гария за интегриране на ромите </w:t>
      </w:r>
      <w:r w:rsidRPr="00B45B4F">
        <w:rPr>
          <w:rFonts w:ascii="Verdana" w:hAnsi="Verdana"/>
          <w:color w:val="0070C0"/>
          <w:sz w:val="20"/>
          <w:szCs w:val="20"/>
          <w:lang w:val="bg-BG" w:eastAsia="cs-CZ"/>
        </w:rPr>
        <w:t>2012-2020</w:t>
      </w:r>
    </w:p>
    <w:p w:rsidR="00314D11" w:rsidRPr="00B45B4F" w:rsidRDefault="00CE227E" w:rsidP="00D04CA2">
      <w:pPr>
        <w:pStyle w:val="BodyText"/>
        <w:tabs>
          <w:tab w:val="left" w:pos="0"/>
          <w:tab w:val="right" w:pos="9214"/>
        </w:tabs>
        <w:spacing w:before="120" w:after="360" w:line="276" w:lineRule="auto"/>
        <w:jc w:val="both"/>
        <w:rPr>
          <w:rFonts w:ascii="Verdana" w:hAnsi="Verdana"/>
          <w:sz w:val="20"/>
          <w:szCs w:val="20"/>
        </w:rPr>
      </w:pPr>
      <w:r w:rsidRPr="00B45B4F">
        <w:rPr>
          <w:rFonts w:ascii="Verdana" w:hAnsi="Verdana"/>
          <w:sz w:val="20"/>
          <w:szCs w:val="20"/>
        </w:rPr>
        <w:t xml:space="preserve">ОПНОИР </w:t>
      </w:r>
      <w:r w:rsidR="005106CE" w:rsidRPr="00B45B4F">
        <w:rPr>
          <w:rFonts w:ascii="Verdana" w:hAnsi="Verdana"/>
          <w:sz w:val="20"/>
          <w:szCs w:val="20"/>
        </w:rPr>
        <w:t>2014–2020</w:t>
      </w:r>
      <w:r w:rsidRPr="00B45B4F">
        <w:rPr>
          <w:rFonts w:ascii="Verdana" w:hAnsi="Verdana"/>
          <w:sz w:val="20"/>
          <w:szCs w:val="20"/>
        </w:rPr>
        <w:t xml:space="preserve"> г. интегрира цели и мерки на стратегията, свързани с обхващане и задържане на ромските деца и уч</w:t>
      </w:r>
      <w:r w:rsidR="004A34DA" w:rsidRPr="00B45B4F">
        <w:rPr>
          <w:rFonts w:ascii="Verdana" w:hAnsi="Verdana"/>
          <w:sz w:val="20"/>
          <w:szCs w:val="20"/>
        </w:rPr>
        <w:t>еници в образователната система и</w:t>
      </w:r>
      <w:r w:rsidRPr="00B45B4F">
        <w:rPr>
          <w:rFonts w:ascii="Verdana" w:hAnsi="Verdana"/>
          <w:sz w:val="20"/>
          <w:szCs w:val="20"/>
        </w:rPr>
        <w:t xml:space="preserve"> осигуряване на качествено образование в мултикултурна образователна среда. Един от инвестиционните приоритети на програмата е насочен към интегриране на ромски деца в образователната система.</w:t>
      </w:r>
    </w:p>
    <w:tbl>
      <w:tblPr>
        <w:tblW w:w="0" w:type="auto"/>
        <w:tblInd w:w="108" w:type="dxa"/>
        <w:tblBorders>
          <w:top w:val="single" w:sz="4" w:space="0" w:color="auto"/>
          <w:bottom w:val="single" w:sz="4" w:space="0" w:color="auto"/>
        </w:tblBorders>
        <w:tblLook w:val="04A0" w:firstRow="1" w:lastRow="0" w:firstColumn="1" w:lastColumn="0" w:noHBand="0" w:noVBand="1"/>
      </w:tblPr>
      <w:tblGrid>
        <w:gridCol w:w="538"/>
        <w:gridCol w:w="8444"/>
      </w:tblGrid>
      <w:tr w:rsidR="00DF1209" w:rsidRPr="009872C0" w:rsidTr="00D04CA2">
        <w:trPr>
          <w:trHeight w:val="599"/>
        </w:trPr>
        <w:tc>
          <w:tcPr>
            <w:tcW w:w="538" w:type="dxa"/>
            <w:vAlign w:val="center"/>
          </w:tcPr>
          <w:p w:rsidR="00DF1209" w:rsidRPr="009872C0" w:rsidRDefault="00723E65" w:rsidP="0015412F">
            <w:pPr>
              <w:pStyle w:val="BodyText"/>
              <w:spacing w:after="0" w:line="276" w:lineRule="auto"/>
              <w:jc w:val="center"/>
              <w:rPr>
                <w:rFonts w:ascii="Verdana" w:hAnsi="Verdana"/>
                <w:color w:val="548DD4"/>
                <w:sz w:val="20"/>
                <w:szCs w:val="20"/>
              </w:rPr>
            </w:pPr>
            <w:r w:rsidRPr="009872C0">
              <w:rPr>
                <w:rFonts w:ascii="Verdana" w:hAnsi="Verdana"/>
                <w:color w:val="548DD4"/>
                <w:sz w:val="36"/>
                <w:szCs w:val="36"/>
              </w:rPr>
              <w:lastRenderedPageBreak/>
              <w:t>?</w:t>
            </w:r>
          </w:p>
        </w:tc>
        <w:tc>
          <w:tcPr>
            <w:tcW w:w="8444" w:type="dxa"/>
            <w:shd w:val="clear" w:color="auto" w:fill="B8CCE4"/>
            <w:vAlign w:val="center"/>
          </w:tcPr>
          <w:p w:rsidR="00DF1209" w:rsidRPr="009872C0" w:rsidRDefault="00DE2361" w:rsidP="00D4496B">
            <w:pPr>
              <w:suppressAutoHyphens/>
              <w:spacing w:before="120" w:after="120" w:line="240" w:lineRule="auto"/>
              <w:ind w:left="115"/>
              <w:rPr>
                <w:rFonts w:ascii="Verdana" w:hAnsi="Verdana" w:cs="TimesNewRomanPSMT"/>
                <w:sz w:val="20"/>
                <w:szCs w:val="20"/>
                <w:lang w:val="bg-BG" w:eastAsia="bg-BG"/>
              </w:rPr>
            </w:pPr>
            <w:r w:rsidRPr="009872C0">
              <w:rPr>
                <w:rFonts w:ascii="Verdana" w:hAnsi="Verdana"/>
                <w:sz w:val="20"/>
                <w:szCs w:val="20"/>
                <w:lang w:val="bg-BG"/>
              </w:rPr>
              <w:t xml:space="preserve">Съгласуваност със Споразумението </w:t>
            </w:r>
            <w:r w:rsidR="00DF1209" w:rsidRPr="009872C0">
              <w:rPr>
                <w:rFonts w:ascii="Verdana" w:hAnsi="Verdana"/>
                <w:sz w:val="20"/>
                <w:szCs w:val="20"/>
                <w:lang w:val="bg-BG"/>
              </w:rPr>
              <w:t>за партньорство</w:t>
            </w:r>
          </w:p>
        </w:tc>
      </w:tr>
    </w:tbl>
    <w:p w:rsidR="00DF1209" w:rsidRPr="00B45B4F" w:rsidRDefault="00DF1209" w:rsidP="00416243">
      <w:pPr>
        <w:keepNext/>
        <w:pBdr>
          <w:bottom w:val="single" w:sz="4" w:space="1" w:color="0070C0"/>
        </w:pBdr>
        <w:spacing w:before="360" w:after="120"/>
        <w:jc w:val="both"/>
        <w:rPr>
          <w:rFonts w:ascii="Verdana" w:hAnsi="Verdana"/>
          <w:color w:val="0070C0"/>
          <w:sz w:val="20"/>
          <w:szCs w:val="20"/>
          <w:lang w:val="bg-BG" w:eastAsia="cs-CZ"/>
        </w:rPr>
      </w:pPr>
      <w:r w:rsidRPr="00B45B4F">
        <w:rPr>
          <w:rFonts w:ascii="Verdana" w:hAnsi="Verdana"/>
          <w:color w:val="0070C0"/>
          <w:sz w:val="20"/>
          <w:szCs w:val="20"/>
          <w:lang w:val="bg-BG" w:eastAsia="cs-CZ"/>
        </w:rPr>
        <w:t xml:space="preserve">Споразумение за партньорство и развитие за България за периода </w:t>
      </w:r>
      <w:r w:rsidR="005106CE" w:rsidRPr="00B45B4F">
        <w:rPr>
          <w:rFonts w:ascii="Verdana" w:hAnsi="Verdana"/>
          <w:color w:val="0070C0"/>
          <w:sz w:val="20"/>
          <w:szCs w:val="20"/>
          <w:lang w:val="bg-BG" w:eastAsia="cs-CZ"/>
        </w:rPr>
        <w:t>2014–2020</w:t>
      </w:r>
      <w:r w:rsidRPr="00B45B4F">
        <w:rPr>
          <w:rFonts w:ascii="Verdana" w:hAnsi="Verdana"/>
          <w:color w:val="0070C0"/>
          <w:sz w:val="20"/>
          <w:szCs w:val="20"/>
          <w:lang w:val="bg-BG" w:eastAsia="cs-CZ"/>
        </w:rPr>
        <w:t> г.</w:t>
      </w:r>
    </w:p>
    <w:p w:rsidR="00416243" w:rsidRPr="00B45B4F" w:rsidRDefault="0037753D" w:rsidP="00416243">
      <w:pPr>
        <w:pStyle w:val="BodyText"/>
        <w:widowControl w:val="0"/>
        <w:spacing w:before="120" w:line="276" w:lineRule="auto"/>
        <w:jc w:val="both"/>
        <w:rPr>
          <w:rFonts w:ascii="Verdana" w:hAnsi="Verdana"/>
          <w:sz w:val="20"/>
          <w:szCs w:val="20"/>
          <w:lang w:eastAsia="en-US"/>
        </w:rPr>
      </w:pPr>
      <w:r w:rsidRPr="00B45B4F">
        <w:rPr>
          <w:rFonts w:ascii="Verdana" w:hAnsi="Verdana"/>
          <w:sz w:val="20"/>
          <w:szCs w:val="20"/>
          <w:lang w:eastAsia="en-US"/>
        </w:rPr>
        <w:t>Споразумението за партньорство (СП) посочва ОПНОИР като кореспондираща програма</w:t>
      </w:r>
      <w:r w:rsidR="00731228" w:rsidRPr="00B45B4F">
        <w:rPr>
          <w:rFonts w:ascii="Verdana" w:hAnsi="Verdana"/>
          <w:sz w:val="20"/>
          <w:szCs w:val="20"/>
          <w:lang w:eastAsia="en-US"/>
        </w:rPr>
        <w:t xml:space="preserve">, </w:t>
      </w:r>
      <w:r w:rsidR="00AD6A0C" w:rsidRPr="00B45B4F">
        <w:rPr>
          <w:rFonts w:ascii="Verdana" w:hAnsi="Verdana"/>
          <w:sz w:val="20"/>
          <w:szCs w:val="20"/>
          <w:lang w:eastAsia="en-US"/>
        </w:rPr>
        <w:t>а също така</w:t>
      </w:r>
      <w:r w:rsidR="00731228" w:rsidRPr="00B45B4F">
        <w:rPr>
          <w:rFonts w:ascii="Verdana" w:hAnsi="Verdana"/>
          <w:sz w:val="20"/>
          <w:szCs w:val="20"/>
          <w:lang w:eastAsia="en-US"/>
        </w:rPr>
        <w:t xml:space="preserve"> и в партньорство с други програми</w:t>
      </w:r>
      <w:r w:rsidR="003A52BB" w:rsidRPr="00B45B4F">
        <w:rPr>
          <w:rFonts w:ascii="Verdana" w:hAnsi="Verdana"/>
          <w:sz w:val="20"/>
          <w:szCs w:val="20"/>
          <w:lang w:eastAsia="en-US"/>
        </w:rPr>
        <w:t>, като инструмент</w:t>
      </w:r>
      <w:r w:rsidRPr="00B45B4F">
        <w:rPr>
          <w:rFonts w:ascii="Verdana" w:hAnsi="Verdana"/>
          <w:sz w:val="20"/>
          <w:szCs w:val="20"/>
          <w:lang w:eastAsia="en-US"/>
        </w:rPr>
        <w:t xml:space="preserve"> за </w:t>
      </w:r>
      <w:r w:rsidR="003A52BB" w:rsidRPr="00B45B4F">
        <w:rPr>
          <w:rFonts w:ascii="Verdana" w:hAnsi="Verdana"/>
          <w:sz w:val="20"/>
          <w:szCs w:val="20"/>
          <w:lang w:eastAsia="en-US"/>
        </w:rPr>
        <w:t xml:space="preserve">реализацията </w:t>
      </w:r>
      <w:r w:rsidRPr="00B45B4F">
        <w:rPr>
          <w:rFonts w:ascii="Verdana" w:hAnsi="Verdana"/>
          <w:sz w:val="20"/>
          <w:szCs w:val="20"/>
          <w:lang w:eastAsia="en-US"/>
        </w:rPr>
        <w:t>на следните тематични цели:</w:t>
      </w:r>
    </w:p>
    <w:p w:rsidR="0037753D" w:rsidRPr="00B45B4F" w:rsidRDefault="0037753D" w:rsidP="0037753D">
      <w:pPr>
        <w:pStyle w:val="BodyText"/>
        <w:widowControl w:val="0"/>
        <w:spacing w:before="120" w:line="276" w:lineRule="auto"/>
        <w:jc w:val="both"/>
        <w:rPr>
          <w:rFonts w:ascii="Verdana" w:hAnsi="Verdana"/>
          <w:sz w:val="20"/>
          <w:szCs w:val="20"/>
          <w:lang w:eastAsia="en-US"/>
        </w:rPr>
      </w:pPr>
      <w:r w:rsidRPr="00B45B4F">
        <w:rPr>
          <w:rFonts w:ascii="Verdana" w:hAnsi="Verdana"/>
          <w:sz w:val="20"/>
          <w:szCs w:val="20"/>
          <w:lang w:eastAsia="en-US"/>
        </w:rPr>
        <w:t>1) Засилване на научноизследователска дейност, технологично развитие и иновациите;</w:t>
      </w:r>
    </w:p>
    <w:p w:rsidR="00731228" w:rsidRPr="00B45B4F" w:rsidRDefault="00731228" w:rsidP="00731228">
      <w:pPr>
        <w:pStyle w:val="BodyText"/>
        <w:widowControl w:val="0"/>
        <w:spacing w:before="120" w:line="276" w:lineRule="auto"/>
        <w:jc w:val="both"/>
        <w:rPr>
          <w:rFonts w:ascii="Verdana" w:hAnsi="Verdana"/>
          <w:sz w:val="20"/>
          <w:szCs w:val="20"/>
          <w:lang w:eastAsia="en-US"/>
        </w:rPr>
      </w:pPr>
      <w:r w:rsidRPr="00B45B4F">
        <w:rPr>
          <w:rFonts w:ascii="Verdana" w:hAnsi="Verdana"/>
          <w:sz w:val="20"/>
          <w:szCs w:val="20"/>
          <w:lang w:eastAsia="en-US"/>
        </w:rPr>
        <w:t>9) Насърчаване на социалното приобщаване, борба с бедността и всяка форма на дискриминация;</w:t>
      </w:r>
    </w:p>
    <w:p w:rsidR="00731228" w:rsidRPr="00B45B4F" w:rsidRDefault="00731228" w:rsidP="00731228">
      <w:pPr>
        <w:pStyle w:val="BodyText"/>
        <w:widowControl w:val="0"/>
        <w:spacing w:before="120" w:line="276" w:lineRule="auto"/>
        <w:jc w:val="both"/>
        <w:rPr>
          <w:rFonts w:ascii="Verdana" w:hAnsi="Verdana"/>
          <w:sz w:val="20"/>
          <w:szCs w:val="20"/>
          <w:lang w:eastAsia="en-US"/>
        </w:rPr>
      </w:pPr>
      <w:r w:rsidRPr="00B45B4F">
        <w:rPr>
          <w:rFonts w:ascii="Verdana" w:hAnsi="Verdana"/>
          <w:sz w:val="20"/>
          <w:szCs w:val="20"/>
          <w:lang w:eastAsia="en-US"/>
        </w:rPr>
        <w:t>10) Инвестиции в образованието, обучението, включително професионално обучение за придобиване на умения и ученето през целия живот;</w:t>
      </w:r>
    </w:p>
    <w:p w:rsidR="00731228" w:rsidRPr="00B45B4F" w:rsidRDefault="00731228" w:rsidP="0037753D">
      <w:pPr>
        <w:pStyle w:val="BodyText"/>
        <w:widowControl w:val="0"/>
        <w:spacing w:before="120" w:line="276" w:lineRule="auto"/>
        <w:jc w:val="both"/>
        <w:rPr>
          <w:rFonts w:ascii="Verdana" w:hAnsi="Verdana"/>
          <w:sz w:val="20"/>
          <w:szCs w:val="20"/>
          <w:lang w:eastAsia="en-US"/>
        </w:rPr>
      </w:pPr>
      <w:r w:rsidRPr="00B45B4F">
        <w:rPr>
          <w:rFonts w:ascii="Verdana" w:hAnsi="Verdana"/>
          <w:sz w:val="20"/>
          <w:szCs w:val="20"/>
          <w:lang w:eastAsia="en-US"/>
        </w:rPr>
        <w:t>Съответните тематични цели са залегнали при избора на инвестиционни приоритети на програмата.</w:t>
      </w:r>
    </w:p>
    <w:p w:rsidR="0037753D" w:rsidRPr="00B45B4F" w:rsidRDefault="002D3B8B" w:rsidP="00416243">
      <w:pPr>
        <w:pStyle w:val="BodyText"/>
        <w:widowControl w:val="0"/>
        <w:spacing w:before="120" w:line="276" w:lineRule="auto"/>
        <w:jc w:val="both"/>
        <w:rPr>
          <w:rFonts w:ascii="Verdana" w:hAnsi="Verdana"/>
          <w:sz w:val="20"/>
          <w:szCs w:val="20"/>
          <w:lang w:eastAsia="en-US"/>
        </w:rPr>
      </w:pPr>
      <w:r w:rsidRPr="00B45B4F">
        <w:rPr>
          <w:rFonts w:ascii="Verdana" w:hAnsi="Verdana"/>
          <w:sz w:val="20"/>
          <w:szCs w:val="20"/>
          <w:lang w:eastAsia="en-US"/>
        </w:rPr>
        <w:t xml:space="preserve">Предвидените в СП мерки по съответните тематични цели, както цяло са залегнали в ОПНОИР </w:t>
      </w:r>
      <w:r w:rsidR="005106CE" w:rsidRPr="00B45B4F">
        <w:rPr>
          <w:rFonts w:ascii="Verdana" w:hAnsi="Verdana"/>
          <w:sz w:val="20"/>
          <w:szCs w:val="20"/>
          <w:lang w:eastAsia="en-US"/>
        </w:rPr>
        <w:t>2014–2020</w:t>
      </w:r>
      <w:r w:rsidRPr="00B45B4F">
        <w:rPr>
          <w:rFonts w:ascii="Verdana" w:hAnsi="Verdana"/>
          <w:sz w:val="20"/>
          <w:szCs w:val="20"/>
          <w:lang w:eastAsia="en-US"/>
        </w:rPr>
        <w:t>. Отразени са мерки като:</w:t>
      </w:r>
    </w:p>
    <w:p w:rsidR="002D3B8B" w:rsidRPr="00B45B4F" w:rsidRDefault="000112FE" w:rsidP="006861B0">
      <w:pPr>
        <w:pStyle w:val="BodyText"/>
        <w:widowControl w:val="0"/>
        <w:numPr>
          <w:ilvl w:val="0"/>
          <w:numId w:val="20"/>
        </w:numPr>
        <w:spacing w:before="120" w:line="276" w:lineRule="auto"/>
        <w:jc w:val="both"/>
        <w:rPr>
          <w:rFonts w:ascii="Verdana" w:hAnsi="Verdana"/>
          <w:sz w:val="20"/>
          <w:szCs w:val="20"/>
          <w:lang w:eastAsia="en-US"/>
        </w:rPr>
      </w:pPr>
      <w:r w:rsidRPr="00B45B4F">
        <w:rPr>
          <w:rFonts w:ascii="Verdana" w:hAnsi="Verdana"/>
          <w:sz w:val="20"/>
          <w:szCs w:val="20"/>
          <w:lang w:eastAsia="en-US"/>
        </w:rPr>
        <w:t xml:space="preserve">Подобряване на образователната структура и учебните програми, целодневна организация на учебния ден, квалификация на кадрите, ранно оценяване на образователните потребности и интегриране в образование на децата от етнически малцинства и </w:t>
      </w:r>
      <w:r w:rsidR="00AD6A0C" w:rsidRPr="00B45B4F">
        <w:rPr>
          <w:rFonts w:ascii="Verdana" w:hAnsi="Verdana"/>
          <w:sz w:val="20"/>
          <w:szCs w:val="20"/>
          <w:lang w:eastAsia="en-US"/>
        </w:rPr>
        <w:t xml:space="preserve">деца </w:t>
      </w:r>
      <w:r w:rsidRPr="00B45B4F">
        <w:rPr>
          <w:rFonts w:ascii="Verdana" w:hAnsi="Verdana"/>
          <w:sz w:val="20"/>
          <w:szCs w:val="20"/>
          <w:lang w:eastAsia="en-US"/>
        </w:rPr>
        <w:t>със СОП</w:t>
      </w:r>
      <w:r w:rsidR="004E60FF" w:rsidRPr="00B45B4F">
        <w:rPr>
          <w:rFonts w:ascii="Verdana" w:hAnsi="Verdana"/>
          <w:sz w:val="20"/>
          <w:szCs w:val="20"/>
          <w:lang w:eastAsia="en-US"/>
        </w:rPr>
        <w:t>;</w:t>
      </w:r>
    </w:p>
    <w:p w:rsidR="000112FE" w:rsidRPr="00B45B4F" w:rsidRDefault="000112FE" w:rsidP="006861B0">
      <w:pPr>
        <w:pStyle w:val="BodyText"/>
        <w:widowControl w:val="0"/>
        <w:numPr>
          <w:ilvl w:val="0"/>
          <w:numId w:val="20"/>
        </w:numPr>
        <w:spacing w:before="120" w:line="276" w:lineRule="auto"/>
        <w:jc w:val="both"/>
        <w:rPr>
          <w:rFonts w:ascii="Verdana" w:hAnsi="Verdana"/>
          <w:sz w:val="20"/>
          <w:szCs w:val="20"/>
          <w:lang w:eastAsia="en-US"/>
        </w:rPr>
      </w:pPr>
      <w:r w:rsidRPr="00B45B4F">
        <w:rPr>
          <w:rFonts w:ascii="Verdana" w:hAnsi="Verdana"/>
          <w:sz w:val="20"/>
          <w:szCs w:val="20"/>
          <w:lang w:eastAsia="en-US"/>
        </w:rPr>
        <w:t xml:space="preserve">Повишаване качеството на професионалното образование, </w:t>
      </w:r>
      <w:r w:rsidR="00C87639" w:rsidRPr="00B45B4F">
        <w:rPr>
          <w:rFonts w:ascii="Verdana" w:hAnsi="Verdana"/>
          <w:sz w:val="20"/>
          <w:szCs w:val="20"/>
          <w:lang w:eastAsia="en-US"/>
        </w:rPr>
        <w:t>кредитна система и система за валидиране на знания, засилване на връзката между професионалните гимназии и бизнеса</w:t>
      </w:r>
      <w:r w:rsidR="004E60FF" w:rsidRPr="00B45B4F">
        <w:rPr>
          <w:rFonts w:ascii="Verdana" w:hAnsi="Verdana"/>
          <w:sz w:val="20"/>
          <w:szCs w:val="20"/>
          <w:lang w:eastAsia="en-US"/>
        </w:rPr>
        <w:t>;</w:t>
      </w:r>
    </w:p>
    <w:p w:rsidR="00C87639" w:rsidRPr="00B45B4F" w:rsidRDefault="00C87639" w:rsidP="006861B0">
      <w:pPr>
        <w:pStyle w:val="BodyText"/>
        <w:widowControl w:val="0"/>
        <w:numPr>
          <w:ilvl w:val="0"/>
          <w:numId w:val="20"/>
        </w:numPr>
        <w:spacing w:before="120" w:line="276" w:lineRule="auto"/>
        <w:jc w:val="both"/>
        <w:rPr>
          <w:rFonts w:ascii="Verdana" w:hAnsi="Verdana"/>
          <w:sz w:val="20"/>
          <w:szCs w:val="20"/>
          <w:lang w:eastAsia="en-US"/>
        </w:rPr>
      </w:pPr>
      <w:r w:rsidRPr="00B45B4F">
        <w:rPr>
          <w:rFonts w:ascii="Verdana" w:hAnsi="Verdana"/>
          <w:sz w:val="20"/>
          <w:szCs w:val="20"/>
          <w:lang w:eastAsia="en-US"/>
        </w:rPr>
        <w:t>Въвеждане на ИКТ и интерактивни методи за преподаване училищата</w:t>
      </w:r>
      <w:r w:rsidR="004E60FF" w:rsidRPr="00B45B4F">
        <w:rPr>
          <w:rFonts w:ascii="Verdana" w:hAnsi="Verdana"/>
          <w:sz w:val="20"/>
          <w:szCs w:val="20"/>
          <w:lang w:eastAsia="en-US"/>
        </w:rPr>
        <w:t>;</w:t>
      </w:r>
    </w:p>
    <w:p w:rsidR="00C87639" w:rsidRPr="00B45B4F" w:rsidRDefault="00C87639" w:rsidP="006861B0">
      <w:pPr>
        <w:pStyle w:val="BodyText"/>
        <w:widowControl w:val="0"/>
        <w:numPr>
          <w:ilvl w:val="0"/>
          <w:numId w:val="20"/>
        </w:numPr>
        <w:spacing w:before="120" w:line="276" w:lineRule="auto"/>
        <w:jc w:val="both"/>
        <w:rPr>
          <w:rFonts w:ascii="Verdana" w:hAnsi="Verdana"/>
          <w:sz w:val="20"/>
          <w:szCs w:val="20"/>
          <w:lang w:eastAsia="en-US"/>
        </w:rPr>
      </w:pPr>
      <w:r w:rsidRPr="00B45B4F">
        <w:rPr>
          <w:rFonts w:ascii="Verdana" w:hAnsi="Verdana"/>
          <w:sz w:val="20"/>
          <w:szCs w:val="20"/>
          <w:lang w:eastAsia="en-US"/>
        </w:rPr>
        <w:t>Подобряване капацитета за управление на висшите училища</w:t>
      </w:r>
      <w:r w:rsidR="004E60FF" w:rsidRPr="00B45B4F">
        <w:rPr>
          <w:rFonts w:ascii="Verdana" w:hAnsi="Verdana"/>
          <w:sz w:val="20"/>
          <w:szCs w:val="20"/>
          <w:lang w:eastAsia="en-US"/>
        </w:rPr>
        <w:t>;</w:t>
      </w:r>
    </w:p>
    <w:p w:rsidR="00751D42" w:rsidRPr="00B45B4F" w:rsidRDefault="00751D42" w:rsidP="006861B0">
      <w:pPr>
        <w:pStyle w:val="BodyText"/>
        <w:widowControl w:val="0"/>
        <w:numPr>
          <w:ilvl w:val="0"/>
          <w:numId w:val="20"/>
        </w:numPr>
        <w:spacing w:before="120" w:line="276" w:lineRule="auto"/>
        <w:jc w:val="both"/>
        <w:rPr>
          <w:rFonts w:ascii="Verdana" w:hAnsi="Verdana"/>
          <w:sz w:val="20"/>
          <w:szCs w:val="20"/>
          <w:lang w:eastAsia="en-US"/>
        </w:rPr>
      </w:pPr>
      <w:r w:rsidRPr="00B45B4F">
        <w:rPr>
          <w:rFonts w:ascii="Verdana" w:hAnsi="Verdana"/>
          <w:sz w:val="20"/>
          <w:szCs w:val="20"/>
          <w:lang w:eastAsia="en-US"/>
        </w:rPr>
        <w:t>Трансфер на опит и добри практики в областта на науката</w:t>
      </w:r>
      <w:r w:rsidR="004E60FF" w:rsidRPr="00B45B4F">
        <w:rPr>
          <w:rFonts w:ascii="Verdana" w:hAnsi="Verdana"/>
          <w:sz w:val="20"/>
          <w:szCs w:val="20"/>
          <w:lang w:eastAsia="en-US"/>
        </w:rPr>
        <w:t>;</w:t>
      </w:r>
    </w:p>
    <w:p w:rsidR="00751D42" w:rsidRPr="00B45B4F" w:rsidRDefault="00751D42" w:rsidP="006861B0">
      <w:pPr>
        <w:pStyle w:val="BodyText"/>
        <w:widowControl w:val="0"/>
        <w:numPr>
          <w:ilvl w:val="0"/>
          <w:numId w:val="20"/>
        </w:numPr>
        <w:spacing w:before="120" w:line="276" w:lineRule="auto"/>
        <w:jc w:val="both"/>
        <w:rPr>
          <w:rFonts w:ascii="Verdana" w:hAnsi="Verdana"/>
          <w:sz w:val="20"/>
          <w:szCs w:val="20"/>
          <w:lang w:eastAsia="en-US"/>
        </w:rPr>
      </w:pPr>
      <w:r w:rsidRPr="00B45B4F">
        <w:rPr>
          <w:rFonts w:ascii="Verdana" w:hAnsi="Verdana"/>
          <w:sz w:val="20"/>
          <w:szCs w:val="20"/>
          <w:lang w:eastAsia="en-US"/>
        </w:rPr>
        <w:t>Подобряване на подготовката на кадрите в образованието</w:t>
      </w:r>
      <w:r w:rsidR="004E60FF" w:rsidRPr="00B45B4F">
        <w:rPr>
          <w:rFonts w:ascii="Verdana" w:hAnsi="Verdana"/>
          <w:sz w:val="20"/>
          <w:szCs w:val="20"/>
          <w:lang w:eastAsia="en-US"/>
        </w:rPr>
        <w:t>;</w:t>
      </w:r>
    </w:p>
    <w:p w:rsidR="00751D42" w:rsidRPr="00B45B4F" w:rsidRDefault="00751D42" w:rsidP="006861B0">
      <w:pPr>
        <w:pStyle w:val="BodyText"/>
        <w:widowControl w:val="0"/>
        <w:numPr>
          <w:ilvl w:val="0"/>
          <w:numId w:val="20"/>
        </w:numPr>
        <w:spacing w:before="120" w:line="276" w:lineRule="auto"/>
        <w:jc w:val="both"/>
        <w:rPr>
          <w:rFonts w:ascii="Verdana" w:hAnsi="Verdana"/>
          <w:sz w:val="20"/>
          <w:szCs w:val="20"/>
          <w:lang w:eastAsia="en-US"/>
        </w:rPr>
      </w:pPr>
      <w:r w:rsidRPr="00B45B4F">
        <w:rPr>
          <w:rFonts w:ascii="Verdana" w:hAnsi="Verdana"/>
          <w:sz w:val="20"/>
          <w:szCs w:val="20"/>
          <w:lang w:eastAsia="en-US"/>
        </w:rPr>
        <w:t>Повишаване качеството на висшето образование</w:t>
      </w:r>
      <w:r w:rsidR="004E60FF" w:rsidRPr="00B45B4F">
        <w:rPr>
          <w:rFonts w:ascii="Verdana" w:hAnsi="Verdana"/>
          <w:sz w:val="20"/>
          <w:szCs w:val="20"/>
          <w:lang w:eastAsia="en-US"/>
        </w:rPr>
        <w:t>;</w:t>
      </w:r>
    </w:p>
    <w:p w:rsidR="00751D42" w:rsidRPr="00B45B4F" w:rsidRDefault="00751D42" w:rsidP="006861B0">
      <w:pPr>
        <w:pStyle w:val="BodyText"/>
        <w:widowControl w:val="0"/>
        <w:numPr>
          <w:ilvl w:val="0"/>
          <w:numId w:val="20"/>
        </w:numPr>
        <w:spacing w:before="120" w:line="276" w:lineRule="auto"/>
        <w:jc w:val="both"/>
        <w:rPr>
          <w:rFonts w:ascii="Verdana" w:hAnsi="Verdana"/>
          <w:sz w:val="20"/>
          <w:szCs w:val="20"/>
          <w:lang w:eastAsia="en-US"/>
        </w:rPr>
      </w:pPr>
      <w:r w:rsidRPr="00B45B4F">
        <w:rPr>
          <w:rFonts w:ascii="Verdana" w:hAnsi="Verdana"/>
          <w:sz w:val="20"/>
          <w:szCs w:val="20"/>
          <w:lang w:eastAsia="en-US"/>
        </w:rPr>
        <w:t>Насърчаване на мобилността на всички равнища</w:t>
      </w:r>
      <w:r w:rsidR="004F1020" w:rsidRPr="00B45B4F">
        <w:rPr>
          <w:rFonts w:ascii="Verdana" w:hAnsi="Verdana"/>
          <w:sz w:val="20"/>
          <w:szCs w:val="20"/>
          <w:lang w:eastAsia="en-US"/>
        </w:rPr>
        <w:t>;</w:t>
      </w:r>
    </w:p>
    <w:p w:rsidR="004F1020" w:rsidRPr="00B45B4F" w:rsidRDefault="004F1020" w:rsidP="006861B0">
      <w:pPr>
        <w:pStyle w:val="BodyText"/>
        <w:widowControl w:val="0"/>
        <w:numPr>
          <w:ilvl w:val="0"/>
          <w:numId w:val="20"/>
        </w:numPr>
        <w:spacing w:before="120" w:line="276" w:lineRule="auto"/>
        <w:jc w:val="both"/>
        <w:rPr>
          <w:rFonts w:ascii="Verdana" w:hAnsi="Verdana"/>
          <w:sz w:val="20"/>
          <w:szCs w:val="20"/>
          <w:lang w:eastAsia="en-US"/>
        </w:rPr>
      </w:pPr>
      <w:r w:rsidRPr="00B45B4F">
        <w:rPr>
          <w:rFonts w:ascii="Verdana" w:hAnsi="Verdana"/>
          <w:sz w:val="20"/>
          <w:szCs w:val="20"/>
          <w:lang w:eastAsia="en-US"/>
        </w:rPr>
        <w:t>Развитие на инфраструктура за иновации и изследвания;</w:t>
      </w:r>
    </w:p>
    <w:p w:rsidR="004F1020" w:rsidRPr="00B45B4F" w:rsidRDefault="004F1020" w:rsidP="006861B0">
      <w:pPr>
        <w:pStyle w:val="BodyText"/>
        <w:widowControl w:val="0"/>
        <w:numPr>
          <w:ilvl w:val="0"/>
          <w:numId w:val="20"/>
        </w:numPr>
        <w:spacing w:before="120" w:line="276" w:lineRule="auto"/>
        <w:jc w:val="both"/>
        <w:rPr>
          <w:rFonts w:ascii="Verdana" w:hAnsi="Verdana"/>
          <w:sz w:val="20"/>
          <w:szCs w:val="20"/>
          <w:lang w:eastAsia="en-US"/>
        </w:rPr>
      </w:pPr>
      <w:r w:rsidRPr="00B45B4F">
        <w:rPr>
          <w:rFonts w:ascii="Verdana" w:hAnsi="Verdana"/>
          <w:sz w:val="20"/>
          <w:szCs w:val="20"/>
          <w:lang w:eastAsia="en-US"/>
        </w:rPr>
        <w:t>Участие на България в европейските технологични платформи и Европейския институт за иновации и технологии</w:t>
      </w:r>
    </w:p>
    <w:p w:rsidR="00C87639" w:rsidRPr="00B45B4F" w:rsidRDefault="00C87639" w:rsidP="00416243">
      <w:pPr>
        <w:pStyle w:val="BodyText"/>
        <w:widowControl w:val="0"/>
        <w:spacing w:before="120" w:line="276" w:lineRule="auto"/>
        <w:jc w:val="both"/>
        <w:rPr>
          <w:rFonts w:ascii="Verdana" w:hAnsi="Verdana"/>
          <w:sz w:val="20"/>
          <w:szCs w:val="20"/>
          <w:lang w:eastAsia="en-US"/>
        </w:rPr>
      </w:pPr>
      <w:r w:rsidRPr="00B45B4F">
        <w:rPr>
          <w:rFonts w:ascii="Verdana" w:hAnsi="Verdana"/>
          <w:sz w:val="20"/>
          <w:szCs w:val="20"/>
          <w:lang w:eastAsia="en-US"/>
        </w:rPr>
        <w:t>Следните мерки са по-слабо или неясно отразени:</w:t>
      </w:r>
    </w:p>
    <w:p w:rsidR="00C87639" w:rsidRPr="00B45B4F" w:rsidRDefault="00C87639" w:rsidP="006861B0">
      <w:pPr>
        <w:pStyle w:val="BodyText"/>
        <w:widowControl w:val="0"/>
        <w:numPr>
          <w:ilvl w:val="0"/>
          <w:numId w:val="19"/>
        </w:numPr>
        <w:spacing w:before="120" w:line="276" w:lineRule="auto"/>
        <w:jc w:val="both"/>
        <w:rPr>
          <w:rFonts w:ascii="Verdana" w:hAnsi="Verdana"/>
          <w:sz w:val="20"/>
          <w:szCs w:val="20"/>
          <w:lang w:eastAsia="en-US"/>
        </w:rPr>
      </w:pPr>
      <w:r w:rsidRPr="00B45B4F">
        <w:rPr>
          <w:rFonts w:ascii="Verdana" w:hAnsi="Verdana"/>
          <w:sz w:val="20"/>
          <w:szCs w:val="20"/>
          <w:lang w:eastAsia="en-US"/>
        </w:rPr>
        <w:t>Създаване и укрепване на партньорства между висшето образование, предприятията и научните изследвания</w:t>
      </w:r>
      <w:r w:rsidR="00D25CD5" w:rsidRPr="00B45B4F">
        <w:rPr>
          <w:rFonts w:ascii="Verdana" w:hAnsi="Verdana"/>
          <w:sz w:val="20"/>
          <w:szCs w:val="20"/>
          <w:lang w:eastAsia="en-US"/>
        </w:rPr>
        <w:t>;</w:t>
      </w:r>
    </w:p>
    <w:p w:rsidR="00C87639" w:rsidRPr="00B45B4F" w:rsidRDefault="004F1020" w:rsidP="006861B0">
      <w:pPr>
        <w:pStyle w:val="BodyText"/>
        <w:widowControl w:val="0"/>
        <w:numPr>
          <w:ilvl w:val="0"/>
          <w:numId w:val="19"/>
        </w:numPr>
        <w:spacing w:before="120" w:line="276" w:lineRule="auto"/>
        <w:jc w:val="both"/>
        <w:rPr>
          <w:rFonts w:ascii="Verdana" w:hAnsi="Verdana"/>
          <w:sz w:val="20"/>
          <w:szCs w:val="20"/>
          <w:lang w:eastAsia="en-US"/>
        </w:rPr>
      </w:pPr>
      <w:r w:rsidRPr="00B45B4F">
        <w:rPr>
          <w:rFonts w:ascii="Verdana" w:hAnsi="Verdana"/>
          <w:sz w:val="20"/>
          <w:szCs w:val="20"/>
          <w:lang w:eastAsia="en-US"/>
        </w:rPr>
        <w:t xml:space="preserve">Повишаване </w:t>
      </w:r>
      <w:r w:rsidR="00C87639" w:rsidRPr="00B45B4F">
        <w:rPr>
          <w:rFonts w:ascii="Verdana" w:hAnsi="Verdana"/>
          <w:sz w:val="20"/>
          <w:szCs w:val="20"/>
          <w:lang w:eastAsia="en-US"/>
        </w:rPr>
        <w:t xml:space="preserve">капацитета за управление на научните </w:t>
      </w:r>
      <w:r w:rsidRPr="00B45B4F">
        <w:rPr>
          <w:rFonts w:ascii="Verdana" w:hAnsi="Verdana"/>
          <w:sz w:val="20"/>
          <w:szCs w:val="20"/>
          <w:lang w:eastAsia="en-US"/>
        </w:rPr>
        <w:t>заведения</w:t>
      </w:r>
      <w:r w:rsidR="006C721D" w:rsidRPr="00B45B4F">
        <w:rPr>
          <w:rFonts w:ascii="Verdana" w:hAnsi="Verdana"/>
          <w:sz w:val="20"/>
          <w:szCs w:val="20"/>
          <w:lang w:eastAsia="en-US"/>
        </w:rPr>
        <w:t>;</w:t>
      </w:r>
    </w:p>
    <w:p w:rsidR="00751D42" w:rsidRPr="00B45B4F" w:rsidRDefault="00751D42" w:rsidP="006861B0">
      <w:pPr>
        <w:pStyle w:val="BodyText"/>
        <w:widowControl w:val="0"/>
        <w:numPr>
          <w:ilvl w:val="0"/>
          <w:numId w:val="19"/>
        </w:numPr>
        <w:spacing w:before="120" w:line="276" w:lineRule="auto"/>
        <w:jc w:val="both"/>
        <w:rPr>
          <w:rFonts w:ascii="Verdana" w:hAnsi="Verdana"/>
          <w:sz w:val="20"/>
          <w:szCs w:val="20"/>
          <w:lang w:eastAsia="en-US"/>
        </w:rPr>
      </w:pPr>
      <w:r w:rsidRPr="00B45B4F">
        <w:rPr>
          <w:rFonts w:ascii="Verdana" w:hAnsi="Verdana"/>
          <w:sz w:val="20"/>
          <w:szCs w:val="20"/>
          <w:lang w:eastAsia="en-US"/>
        </w:rPr>
        <w:lastRenderedPageBreak/>
        <w:t>Създаване на възможности за стажове на изследователи в предприятия</w:t>
      </w:r>
      <w:r w:rsidR="004F1020" w:rsidRPr="00B45B4F">
        <w:rPr>
          <w:rFonts w:ascii="Verdana" w:hAnsi="Verdana"/>
          <w:sz w:val="20"/>
          <w:szCs w:val="20"/>
          <w:lang w:eastAsia="en-US"/>
        </w:rPr>
        <w:t>;</w:t>
      </w:r>
    </w:p>
    <w:p w:rsidR="00751D42" w:rsidRPr="00B45B4F" w:rsidRDefault="00751D42" w:rsidP="006861B0">
      <w:pPr>
        <w:pStyle w:val="BodyText"/>
        <w:widowControl w:val="0"/>
        <w:numPr>
          <w:ilvl w:val="0"/>
          <w:numId w:val="19"/>
        </w:numPr>
        <w:spacing w:before="120" w:line="276" w:lineRule="auto"/>
        <w:jc w:val="both"/>
        <w:rPr>
          <w:rFonts w:ascii="Verdana" w:hAnsi="Verdana"/>
          <w:sz w:val="20"/>
          <w:szCs w:val="20"/>
          <w:lang w:eastAsia="en-US"/>
        </w:rPr>
      </w:pPr>
      <w:r w:rsidRPr="00B45B4F">
        <w:rPr>
          <w:rFonts w:ascii="Verdana" w:hAnsi="Verdana"/>
          <w:sz w:val="20"/>
          <w:szCs w:val="20"/>
          <w:lang w:eastAsia="en-US"/>
        </w:rPr>
        <w:t xml:space="preserve">Стимулиране на образователните </w:t>
      </w:r>
      <w:r w:rsidR="004E60FF" w:rsidRPr="00B45B4F">
        <w:rPr>
          <w:rFonts w:ascii="Verdana" w:hAnsi="Verdana"/>
          <w:sz w:val="20"/>
          <w:szCs w:val="20"/>
          <w:lang w:eastAsia="en-US"/>
        </w:rPr>
        <w:t>институции</w:t>
      </w:r>
      <w:r w:rsidRPr="00B45B4F">
        <w:rPr>
          <w:rFonts w:ascii="Verdana" w:hAnsi="Verdana"/>
          <w:sz w:val="20"/>
          <w:szCs w:val="20"/>
          <w:lang w:eastAsia="en-US"/>
        </w:rPr>
        <w:t xml:space="preserve"> да предоставят образователни услуги извън рамките на своята инфраструктура на базата</w:t>
      </w:r>
      <w:r w:rsidR="002D4C3A">
        <w:rPr>
          <w:rFonts w:ascii="Verdana" w:hAnsi="Verdana"/>
          <w:sz w:val="20"/>
          <w:szCs w:val="20"/>
          <w:lang w:eastAsia="en-US"/>
        </w:rPr>
        <w:t xml:space="preserve"> </w:t>
      </w:r>
      <w:r w:rsidRPr="00B45B4F">
        <w:rPr>
          <w:rFonts w:ascii="Verdana" w:hAnsi="Verdana"/>
          <w:sz w:val="20"/>
          <w:szCs w:val="20"/>
          <w:lang w:eastAsia="en-US"/>
        </w:rPr>
        <w:t>на партньорство с работодатели, държавни и общински институции и други заинтересовани страни</w:t>
      </w:r>
      <w:r w:rsidR="004F1020" w:rsidRPr="00B45B4F">
        <w:rPr>
          <w:rFonts w:ascii="Verdana" w:hAnsi="Verdana"/>
          <w:sz w:val="20"/>
          <w:szCs w:val="20"/>
          <w:lang w:eastAsia="en-US"/>
        </w:rPr>
        <w:t>;</w:t>
      </w:r>
    </w:p>
    <w:p w:rsidR="004E60FF" w:rsidRPr="00B45B4F" w:rsidRDefault="004E60FF" w:rsidP="006861B0">
      <w:pPr>
        <w:pStyle w:val="BodyText"/>
        <w:widowControl w:val="0"/>
        <w:numPr>
          <w:ilvl w:val="0"/>
          <w:numId w:val="19"/>
        </w:numPr>
        <w:spacing w:before="120" w:line="276" w:lineRule="auto"/>
        <w:jc w:val="both"/>
        <w:rPr>
          <w:rFonts w:ascii="Verdana" w:hAnsi="Verdana"/>
          <w:sz w:val="20"/>
          <w:szCs w:val="20"/>
          <w:lang w:eastAsia="en-US"/>
        </w:rPr>
      </w:pPr>
      <w:r w:rsidRPr="00B45B4F">
        <w:rPr>
          <w:rFonts w:ascii="Verdana" w:hAnsi="Verdana"/>
          <w:sz w:val="20"/>
          <w:szCs w:val="20"/>
          <w:lang w:eastAsia="en-US"/>
        </w:rPr>
        <w:t>Развитие на партньорства между бизнеса и научните среди.</w:t>
      </w:r>
    </w:p>
    <w:p w:rsidR="00DF1209" w:rsidRPr="00B45B4F" w:rsidRDefault="00DF1209" w:rsidP="00416243">
      <w:pPr>
        <w:keepNext/>
        <w:pBdr>
          <w:bottom w:val="single" w:sz="4" w:space="1" w:color="0070C0"/>
        </w:pBdr>
        <w:spacing w:before="360" w:after="120"/>
        <w:jc w:val="both"/>
        <w:rPr>
          <w:rFonts w:ascii="Verdana" w:hAnsi="Verdana"/>
          <w:color w:val="0070C0"/>
          <w:sz w:val="20"/>
          <w:szCs w:val="20"/>
          <w:lang w:val="bg-BG" w:eastAsia="cs-CZ"/>
        </w:rPr>
      </w:pPr>
      <w:r w:rsidRPr="00B45B4F">
        <w:rPr>
          <w:rFonts w:ascii="Verdana" w:hAnsi="Verdana"/>
          <w:color w:val="0070C0"/>
          <w:sz w:val="20"/>
          <w:szCs w:val="20"/>
          <w:lang w:val="bg-BG" w:eastAsia="cs-CZ"/>
        </w:rPr>
        <w:t xml:space="preserve">Позиция на службите на Комисията относно изготвянето на Споразумение за партньорство и програми в България за периода </w:t>
      </w:r>
      <w:r w:rsidR="005106CE" w:rsidRPr="00B45B4F">
        <w:rPr>
          <w:rFonts w:ascii="Verdana" w:hAnsi="Verdana"/>
          <w:color w:val="0070C0"/>
          <w:sz w:val="20"/>
          <w:szCs w:val="20"/>
          <w:lang w:val="bg-BG" w:eastAsia="cs-CZ"/>
        </w:rPr>
        <w:t>2014–2020</w:t>
      </w:r>
      <w:r w:rsidRPr="00B45B4F">
        <w:rPr>
          <w:rFonts w:ascii="Verdana" w:hAnsi="Verdana"/>
          <w:color w:val="0070C0"/>
          <w:sz w:val="20"/>
          <w:szCs w:val="20"/>
          <w:lang w:val="bg-BG" w:eastAsia="cs-CZ"/>
        </w:rPr>
        <w:t xml:space="preserve"> г.</w:t>
      </w:r>
    </w:p>
    <w:p w:rsidR="004E60FF" w:rsidRPr="00B45B4F" w:rsidRDefault="004E60FF" w:rsidP="00890623">
      <w:pPr>
        <w:pStyle w:val="BodyText"/>
        <w:tabs>
          <w:tab w:val="left" w:pos="0"/>
          <w:tab w:val="right" w:pos="9214"/>
        </w:tabs>
        <w:spacing w:line="276" w:lineRule="auto"/>
        <w:jc w:val="both"/>
        <w:rPr>
          <w:rFonts w:ascii="Verdana" w:hAnsi="Verdana"/>
          <w:sz w:val="20"/>
          <w:szCs w:val="20"/>
        </w:rPr>
      </w:pPr>
      <w:r w:rsidRPr="00B45B4F">
        <w:rPr>
          <w:rFonts w:ascii="Verdana" w:hAnsi="Verdana"/>
          <w:sz w:val="20"/>
          <w:szCs w:val="20"/>
        </w:rPr>
        <w:t>В позицията на службите на Комисията относно СП в областта на образованието се посочва, че „</w:t>
      </w:r>
      <w:r w:rsidRPr="00B45B4F">
        <w:rPr>
          <w:rFonts w:ascii="Verdana" w:hAnsi="Verdana"/>
          <w:i/>
          <w:sz w:val="20"/>
          <w:szCs w:val="20"/>
        </w:rPr>
        <w:t>инвестициите следва да се насочат към намаляване на преждевременното напускане на училище (със специална насоченост към ромите), придобиване на технически и бизнес умения, насърчаване на ефективен достъп до висококачествено образование в ранна детска възраст и начално и средно образование без сегрегация, както и повишаване на качеството, ефективността и достъпността на висшето образование. Фондовете по ОСР следва да спомогнат за подобряване на качеството на образованието чрез модернизиране на учебните планове, обучение и професионално развитие за преподавателите и на работещите в сферата на висшето образование, увеличено използване на ИКТ, обучение по предприемачество и въвеждане на системи за гарантиране и мониторинг на качеството. Модернизирането на образованието и обучението също така ще изисква значителни инвестиции в инфраструктурата</w:t>
      </w:r>
      <w:r w:rsidRPr="00B45B4F">
        <w:rPr>
          <w:rFonts w:ascii="Verdana" w:hAnsi="Verdana"/>
          <w:sz w:val="20"/>
          <w:szCs w:val="20"/>
        </w:rPr>
        <w:t>“.</w:t>
      </w:r>
    </w:p>
    <w:p w:rsidR="007B7894" w:rsidRPr="00B45B4F" w:rsidRDefault="004E60FF" w:rsidP="00890623">
      <w:pPr>
        <w:pStyle w:val="BodyText"/>
        <w:widowControl w:val="0"/>
        <w:tabs>
          <w:tab w:val="left" w:pos="0"/>
          <w:tab w:val="right" w:pos="9214"/>
        </w:tabs>
        <w:spacing w:line="276" w:lineRule="auto"/>
        <w:jc w:val="both"/>
        <w:rPr>
          <w:rFonts w:ascii="Verdana" w:hAnsi="Verdana"/>
          <w:sz w:val="20"/>
          <w:szCs w:val="20"/>
        </w:rPr>
      </w:pPr>
      <w:r w:rsidRPr="00B45B4F">
        <w:rPr>
          <w:rFonts w:ascii="Verdana" w:hAnsi="Verdana"/>
          <w:sz w:val="20"/>
          <w:szCs w:val="20"/>
        </w:rPr>
        <w:t xml:space="preserve">По отношение на научните изследвания и иновациите </w:t>
      </w:r>
      <w:r w:rsidR="00141703" w:rsidRPr="00B45B4F">
        <w:rPr>
          <w:rFonts w:ascii="Verdana" w:hAnsi="Verdana"/>
          <w:sz w:val="20"/>
          <w:szCs w:val="20"/>
        </w:rPr>
        <w:t>се посочва, че „</w:t>
      </w:r>
      <w:r w:rsidRPr="00B45B4F">
        <w:rPr>
          <w:rFonts w:ascii="Verdana" w:hAnsi="Verdana"/>
          <w:i/>
          <w:sz w:val="20"/>
          <w:szCs w:val="20"/>
        </w:rPr>
        <w:t>създаването на висококачествена система за научни изследвания и иновации следва да започне с разумна национална стратегия за научни изследвания и иновации. Този приоритет за финансиране следва да получи много по-голяма подкрепа както в абсолютно, така и в относително финансово изражение, в сравнение с програмния период от 2007—2013</w:t>
      </w:r>
      <w:r w:rsidR="0072412E" w:rsidRPr="00B45B4F">
        <w:rPr>
          <w:rFonts w:ascii="Verdana" w:hAnsi="Verdana"/>
          <w:i/>
          <w:sz w:val="20"/>
          <w:szCs w:val="20"/>
        </w:rPr>
        <w:t> </w:t>
      </w:r>
      <w:r w:rsidRPr="00B45B4F">
        <w:rPr>
          <w:rFonts w:ascii="Verdana" w:hAnsi="Verdana"/>
          <w:i/>
          <w:sz w:val="20"/>
          <w:szCs w:val="20"/>
        </w:rPr>
        <w:t>г., като по-специално трябва да се мобилизират значителни ресурси за постигане на целта за 1,5 % от БВП, заложена в стратегията „Европа 2020“</w:t>
      </w:r>
      <w:r w:rsidRPr="00B45B4F">
        <w:rPr>
          <w:rFonts w:ascii="Verdana" w:hAnsi="Verdana"/>
          <w:sz w:val="20"/>
          <w:szCs w:val="20"/>
        </w:rPr>
        <w:t xml:space="preserve">. </w:t>
      </w:r>
    </w:p>
    <w:p w:rsidR="00141703" w:rsidRDefault="00141703" w:rsidP="00D04CA2">
      <w:pPr>
        <w:pStyle w:val="BodyText"/>
        <w:tabs>
          <w:tab w:val="left" w:pos="0"/>
          <w:tab w:val="right" w:pos="9214"/>
        </w:tabs>
        <w:spacing w:after="360" w:line="276" w:lineRule="auto"/>
        <w:jc w:val="both"/>
        <w:rPr>
          <w:rFonts w:ascii="Verdana" w:hAnsi="Verdana"/>
          <w:sz w:val="20"/>
          <w:szCs w:val="20"/>
        </w:rPr>
      </w:pPr>
      <w:r w:rsidRPr="00B45B4F">
        <w:rPr>
          <w:rFonts w:ascii="Verdana" w:hAnsi="Verdana"/>
          <w:sz w:val="20"/>
          <w:szCs w:val="20"/>
        </w:rPr>
        <w:t xml:space="preserve">ОПНОИР </w:t>
      </w:r>
      <w:r w:rsidR="005106CE" w:rsidRPr="00B45B4F">
        <w:rPr>
          <w:rFonts w:ascii="Verdana" w:hAnsi="Verdana"/>
          <w:sz w:val="20"/>
          <w:szCs w:val="20"/>
        </w:rPr>
        <w:t>2014–2020</w:t>
      </w:r>
      <w:r w:rsidR="00C92756" w:rsidRPr="00B45B4F">
        <w:rPr>
          <w:rFonts w:ascii="Verdana" w:hAnsi="Verdana"/>
          <w:sz w:val="20"/>
          <w:szCs w:val="20"/>
        </w:rPr>
        <w:t xml:space="preserve"> отразява препоръките в позиция</w:t>
      </w:r>
      <w:r w:rsidRPr="00B45B4F">
        <w:rPr>
          <w:rFonts w:ascii="Verdana" w:hAnsi="Verdana"/>
          <w:sz w:val="20"/>
          <w:szCs w:val="20"/>
        </w:rPr>
        <w:t>та на службите на Комисията</w:t>
      </w:r>
      <w:r w:rsidR="00C92756" w:rsidRPr="00B45B4F">
        <w:rPr>
          <w:rFonts w:ascii="Verdana" w:hAnsi="Verdana"/>
          <w:sz w:val="20"/>
          <w:szCs w:val="20"/>
        </w:rPr>
        <w:t xml:space="preserve"> по отношение на тематичния обхват</w:t>
      </w:r>
      <w:r w:rsidR="0072412E" w:rsidRPr="00B45B4F">
        <w:rPr>
          <w:rFonts w:ascii="Verdana" w:hAnsi="Verdana"/>
          <w:sz w:val="20"/>
          <w:szCs w:val="20"/>
        </w:rPr>
        <w:t>. Предвидени са приоритети насочени към намаляване на проц</w:t>
      </w:r>
      <w:r w:rsidR="00544705" w:rsidRPr="00B45B4F">
        <w:rPr>
          <w:rFonts w:ascii="Verdana" w:hAnsi="Verdana"/>
          <w:sz w:val="20"/>
          <w:szCs w:val="20"/>
        </w:rPr>
        <w:t>ента на преждевременно напусналите</w:t>
      </w:r>
      <w:r w:rsidR="0072412E" w:rsidRPr="00B45B4F">
        <w:rPr>
          <w:rFonts w:ascii="Verdana" w:hAnsi="Verdana"/>
          <w:sz w:val="20"/>
          <w:szCs w:val="20"/>
        </w:rPr>
        <w:t xml:space="preserve"> училище, интегриране в образование</w:t>
      </w:r>
      <w:r w:rsidR="00FB7F9E" w:rsidRPr="00B45B4F">
        <w:rPr>
          <w:rFonts w:ascii="Verdana" w:hAnsi="Verdana"/>
          <w:sz w:val="20"/>
          <w:szCs w:val="20"/>
        </w:rPr>
        <w:t xml:space="preserve">то на етнически малцинства, в частност </w:t>
      </w:r>
      <w:r w:rsidR="0072412E" w:rsidRPr="00B45B4F">
        <w:rPr>
          <w:rFonts w:ascii="Verdana" w:hAnsi="Verdana"/>
          <w:sz w:val="20"/>
          <w:szCs w:val="20"/>
        </w:rPr>
        <w:t xml:space="preserve">ромите и повишаване достъпа </w:t>
      </w:r>
      <w:r w:rsidR="00D25CD5" w:rsidRPr="00B45B4F">
        <w:rPr>
          <w:rFonts w:ascii="Verdana" w:hAnsi="Verdana"/>
          <w:sz w:val="20"/>
          <w:szCs w:val="20"/>
        </w:rPr>
        <w:t xml:space="preserve">и качеството </w:t>
      </w:r>
      <w:r w:rsidR="00544705" w:rsidRPr="00B45B4F">
        <w:rPr>
          <w:rFonts w:ascii="Verdana" w:hAnsi="Verdana"/>
          <w:sz w:val="20"/>
          <w:szCs w:val="20"/>
        </w:rPr>
        <w:t>на</w:t>
      </w:r>
      <w:r w:rsidR="0072412E" w:rsidRPr="00B45B4F">
        <w:rPr>
          <w:rFonts w:ascii="Verdana" w:hAnsi="Verdana"/>
          <w:sz w:val="20"/>
          <w:szCs w:val="20"/>
        </w:rPr>
        <w:t xml:space="preserve"> образование</w:t>
      </w:r>
      <w:r w:rsidR="00544705" w:rsidRPr="00B45B4F">
        <w:rPr>
          <w:rFonts w:ascii="Verdana" w:hAnsi="Verdana"/>
          <w:sz w:val="20"/>
          <w:szCs w:val="20"/>
        </w:rPr>
        <w:t>то. В много по-малка степен</w:t>
      </w:r>
      <w:r w:rsidR="0072412E" w:rsidRPr="00B45B4F">
        <w:rPr>
          <w:rFonts w:ascii="Verdana" w:hAnsi="Verdana"/>
          <w:sz w:val="20"/>
          <w:szCs w:val="20"/>
        </w:rPr>
        <w:t xml:space="preserve"> в програмата прозира стратегически подход при подкрепата за научни изследвания и иновации.</w:t>
      </w:r>
    </w:p>
    <w:p w:rsidR="00666C98" w:rsidRDefault="00666C98" w:rsidP="00D04CA2">
      <w:pPr>
        <w:pStyle w:val="BodyText"/>
        <w:tabs>
          <w:tab w:val="left" w:pos="0"/>
          <w:tab w:val="right" w:pos="9214"/>
        </w:tabs>
        <w:spacing w:after="360" w:line="276" w:lineRule="auto"/>
        <w:jc w:val="both"/>
        <w:rPr>
          <w:rFonts w:ascii="Verdana" w:hAnsi="Verdana"/>
          <w:sz w:val="20"/>
          <w:szCs w:val="20"/>
        </w:rPr>
      </w:pPr>
    </w:p>
    <w:p w:rsidR="00666C98" w:rsidRPr="00B45B4F" w:rsidRDefault="00666C98" w:rsidP="00D04CA2">
      <w:pPr>
        <w:pStyle w:val="BodyText"/>
        <w:tabs>
          <w:tab w:val="left" w:pos="0"/>
          <w:tab w:val="right" w:pos="9214"/>
        </w:tabs>
        <w:spacing w:after="360" w:line="276" w:lineRule="auto"/>
        <w:jc w:val="both"/>
        <w:rPr>
          <w:rFonts w:ascii="Verdana" w:hAnsi="Verdana"/>
          <w:sz w:val="20"/>
          <w:szCs w:val="20"/>
        </w:rPr>
      </w:pPr>
    </w:p>
    <w:tbl>
      <w:tblPr>
        <w:tblW w:w="0" w:type="auto"/>
        <w:tblInd w:w="108" w:type="dxa"/>
        <w:tblBorders>
          <w:top w:val="single" w:sz="4" w:space="0" w:color="auto"/>
          <w:bottom w:val="single" w:sz="4" w:space="0" w:color="auto"/>
        </w:tblBorders>
        <w:tblLook w:val="04A0" w:firstRow="1" w:lastRow="0" w:firstColumn="1" w:lastColumn="0" w:noHBand="0" w:noVBand="1"/>
      </w:tblPr>
      <w:tblGrid>
        <w:gridCol w:w="538"/>
        <w:gridCol w:w="8444"/>
      </w:tblGrid>
      <w:tr w:rsidR="00DF1209" w:rsidRPr="009872C0" w:rsidTr="00D04CA2">
        <w:trPr>
          <w:trHeight w:val="518"/>
        </w:trPr>
        <w:tc>
          <w:tcPr>
            <w:tcW w:w="538" w:type="dxa"/>
            <w:vAlign w:val="center"/>
          </w:tcPr>
          <w:p w:rsidR="00DF1209" w:rsidRPr="009872C0" w:rsidRDefault="00723E65" w:rsidP="00666C98">
            <w:pPr>
              <w:pStyle w:val="BodyText"/>
              <w:keepNext/>
              <w:spacing w:after="0" w:line="276" w:lineRule="auto"/>
              <w:jc w:val="center"/>
              <w:rPr>
                <w:rFonts w:ascii="Verdana" w:hAnsi="Verdana"/>
                <w:color w:val="548DD4"/>
                <w:sz w:val="20"/>
                <w:szCs w:val="20"/>
              </w:rPr>
            </w:pPr>
            <w:r w:rsidRPr="009872C0">
              <w:rPr>
                <w:rFonts w:ascii="Verdana" w:hAnsi="Verdana"/>
                <w:color w:val="548DD4"/>
                <w:sz w:val="36"/>
                <w:szCs w:val="36"/>
              </w:rPr>
              <w:lastRenderedPageBreak/>
              <w:t>?</w:t>
            </w:r>
          </w:p>
        </w:tc>
        <w:tc>
          <w:tcPr>
            <w:tcW w:w="8444" w:type="dxa"/>
            <w:shd w:val="clear" w:color="auto" w:fill="B8CCE4"/>
            <w:vAlign w:val="center"/>
          </w:tcPr>
          <w:p w:rsidR="00DF1209" w:rsidRPr="009872C0" w:rsidRDefault="00DF1209" w:rsidP="00666C98">
            <w:pPr>
              <w:keepNext/>
              <w:suppressAutoHyphens/>
              <w:spacing w:before="120" w:after="120" w:line="240" w:lineRule="auto"/>
              <w:ind w:left="115"/>
              <w:rPr>
                <w:rFonts w:ascii="Verdana" w:hAnsi="Verdana" w:cs="TimesNewRomanPSMT"/>
                <w:sz w:val="20"/>
                <w:szCs w:val="20"/>
                <w:lang w:val="bg-BG" w:eastAsia="bg-BG"/>
              </w:rPr>
            </w:pPr>
            <w:r w:rsidRPr="009872C0">
              <w:rPr>
                <w:rFonts w:ascii="Verdana" w:hAnsi="Verdana"/>
                <w:sz w:val="20"/>
                <w:szCs w:val="20"/>
                <w:lang w:val="bg-BG"/>
              </w:rPr>
              <w:t>Съгласуваност с други оперативни програми</w:t>
            </w:r>
          </w:p>
        </w:tc>
      </w:tr>
    </w:tbl>
    <w:p w:rsidR="00DF1209" w:rsidRPr="00B45B4F" w:rsidRDefault="00DF1209" w:rsidP="00416243">
      <w:pPr>
        <w:keepNext/>
        <w:pBdr>
          <w:bottom w:val="single" w:sz="4" w:space="1" w:color="0070C0"/>
        </w:pBdr>
        <w:spacing w:before="360" w:after="120"/>
        <w:jc w:val="both"/>
        <w:rPr>
          <w:rFonts w:ascii="Verdana" w:hAnsi="Verdana"/>
          <w:color w:val="0070C0"/>
          <w:sz w:val="20"/>
          <w:szCs w:val="20"/>
          <w:lang w:val="bg-BG" w:eastAsia="cs-CZ"/>
        </w:rPr>
      </w:pPr>
      <w:r w:rsidRPr="00B45B4F">
        <w:rPr>
          <w:rFonts w:ascii="Verdana" w:hAnsi="Verdana"/>
          <w:color w:val="0070C0"/>
          <w:sz w:val="20"/>
          <w:szCs w:val="20"/>
          <w:lang w:val="bg-BG" w:eastAsia="cs-CZ"/>
        </w:rPr>
        <w:t xml:space="preserve">Оперативна програма „Региони в растеж” (ОПРР) </w:t>
      </w:r>
      <w:r w:rsidR="005106CE" w:rsidRPr="00B45B4F">
        <w:rPr>
          <w:rFonts w:ascii="Verdana" w:hAnsi="Verdana"/>
          <w:color w:val="0070C0"/>
          <w:sz w:val="20"/>
          <w:szCs w:val="20"/>
          <w:lang w:val="bg-BG" w:eastAsia="cs-CZ"/>
        </w:rPr>
        <w:t>2014–2020</w:t>
      </w:r>
      <w:r w:rsidRPr="00B45B4F">
        <w:rPr>
          <w:rFonts w:ascii="Verdana" w:hAnsi="Verdana"/>
          <w:color w:val="0070C0"/>
          <w:sz w:val="20"/>
          <w:szCs w:val="20"/>
          <w:lang w:val="bg-BG" w:eastAsia="cs-CZ"/>
        </w:rPr>
        <w:t xml:space="preserve"> г.</w:t>
      </w:r>
    </w:p>
    <w:p w:rsidR="00C772C9" w:rsidRPr="00B45B4F" w:rsidRDefault="00C772C9" w:rsidP="00C772C9">
      <w:pPr>
        <w:pStyle w:val="Caption"/>
        <w:jc w:val="center"/>
        <w:rPr>
          <w:rFonts w:ascii="Verdana" w:hAnsi="Verdana"/>
          <w:color w:val="006CB6"/>
        </w:rPr>
      </w:pPr>
    </w:p>
    <w:tbl>
      <w:tblPr>
        <w:tblW w:w="0" w:type="auto"/>
        <w:tblInd w:w="108" w:type="dxa"/>
        <w:tblLook w:val="04A0" w:firstRow="1" w:lastRow="0" w:firstColumn="1" w:lastColumn="0" w:noHBand="0" w:noVBand="1"/>
      </w:tblPr>
      <w:tblGrid>
        <w:gridCol w:w="9072"/>
      </w:tblGrid>
      <w:tr w:rsidR="00560E14" w:rsidRPr="00B45B4F" w:rsidTr="00FB78CA">
        <w:tc>
          <w:tcPr>
            <w:tcW w:w="9072" w:type="dxa"/>
            <w:shd w:val="clear" w:color="auto" w:fill="auto"/>
          </w:tcPr>
          <w:p w:rsidR="00C772C9" w:rsidRPr="00B45B4F" w:rsidRDefault="00C772C9" w:rsidP="006F74A8">
            <w:pPr>
              <w:pBdr>
                <w:top w:val="single" w:sz="4" w:space="0" w:color="auto"/>
                <w:left w:val="single" w:sz="4" w:space="4" w:color="auto"/>
                <w:bottom w:val="single" w:sz="4" w:space="1" w:color="auto"/>
                <w:right w:val="single" w:sz="4" w:space="4" w:color="auto"/>
              </w:pBdr>
              <w:shd w:val="clear" w:color="auto" w:fill="548DD4" w:themeFill="text2" w:themeFillTint="99"/>
              <w:rPr>
                <w:rFonts w:ascii="Verdana" w:hAnsi="Verdana"/>
                <w:color w:val="FFFFFF" w:themeColor="background1"/>
                <w:sz w:val="20"/>
                <w:szCs w:val="20"/>
                <w:lang w:val="bg-BG" w:eastAsia="fr-BE"/>
              </w:rPr>
            </w:pPr>
            <w:r w:rsidRPr="00B45B4F">
              <w:rPr>
                <w:rFonts w:ascii="Verdana" w:hAnsi="Verdana"/>
                <w:color w:val="FFFFFF" w:themeColor="background1"/>
                <w:sz w:val="20"/>
                <w:szCs w:val="20"/>
                <w:lang w:val="bg-BG" w:eastAsia="fr-BE"/>
              </w:rPr>
              <w:t xml:space="preserve">Приоритетна ос 1: Устойчиво и интегрирано градско развитие </w:t>
            </w:r>
          </w:p>
          <w:p w:rsidR="00C772C9" w:rsidRPr="00B45B4F" w:rsidRDefault="00C772C9" w:rsidP="006861B0">
            <w:pPr>
              <w:pStyle w:val="ListParagraph"/>
              <w:numPr>
                <w:ilvl w:val="1"/>
                <w:numId w:val="37"/>
              </w:numPr>
              <w:autoSpaceDE w:val="0"/>
              <w:autoSpaceDN w:val="0"/>
              <w:adjustRightInd w:val="0"/>
              <w:spacing w:after="120"/>
              <w:ind w:left="540" w:hanging="450"/>
              <w:jc w:val="both"/>
              <w:rPr>
                <w:rFonts w:ascii="Verdana" w:hAnsi="Verdana"/>
                <w:sz w:val="20"/>
                <w:szCs w:val="20"/>
                <w:lang w:val="bg-BG" w:eastAsia="bg-BG"/>
              </w:rPr>
            </w:pPr>
            <w:r w:rsidRPr="00B45B4F">
              <w:rPr>
                <w:rFonts w:ascii="Verdana" w:hAnsi="Verdana"/>
                <w:bCs/>
                <w:sz w:val="20"/>
                <w:szCs w:val="20"/>
                <w:lang w:val="bg-BG"/>
              </w:rPr>
              <w:t xml:space="preserve">Подкрепа за енергийната ефективност, интелигентно енергийно управление и използването на енергия от възобновяеми източници в публични инфраструктури, включително в публични сгради и в жилищния сектор </w:t>
            </w:r>
          </w:p>
          <w:p w:rsidR="00C772C9" w:rsidRPr="00B45B4F" w:rsidRDefault="00C772C9" w:rsidP="006861B0">
            <w:pPr>
              <w:pStyle w:val="ListParagraph"/>
              <w:numPr>
                <w:ilvl w:val="1"/>
                <w:numId w:val="37"/>
              </w:numPr>
              <w:autoSpaceDE w:val="0"/>
              <w:autoSpaceDN w:val="0"/>
              <w:adjustRightInd w:val="0"/>
              <w:spacing w:after="120"/>
              <w:ind w:left="540" w:hanging="450"/>
              <w:jc w:val="both"/>
              <w:rPr>
                <w:rFonts w:ascii="Verdana" w:hAnsi="Verdana"/>
                <w:sz w:val="20"/>
                <w:szCs w:val="20"/>
                <w:lang w:val="bg-BG" w:eastAsia="bg-BG"/>
              </w:rPr>
            </w:pPr>
            <w:r w:rsidRPr="00B45B4F">
              <w:rPr>
                <w:rFonts w:ascii="Verdana" w:hAnsi="Verdana"/>
                <w:bCs/>
                <w:sz w:val="20"/>
                <w:szCs w:val="20"/>
                <w:lang w:val="bg-BG"/>
              </w:rPr>
              <w:t xml:space="preserve">Действия за подобряване на градската околна среда, обновяване на градовете, възстановяване и почистване на терените за вторично застрояване (включително зони за конверсия), намаляване на замърсяването на въздуха и насърчаване на мерки за намаляване на шума </w:t>
            </w:r>
          </w:p>
          <w:p w:rsidR="00C772C9" w:rsidRPr="00B45B4F" w:rsidRDefault="00C772C9" w:rsidP="006861B0">
            <w:pPr>
              <w:pStyle w:val="ListParagraph"/>
              <w:numPr>
                <w:ilvl w:val="1"/>
                <w:numId w:val="37"/>
              </w:numPr>
              <w:autoSpaceDE w:val="0"/>
              <w:autoSpaceDN w:val="0"/>
              <w:adjustRightInd w:val="0"/>
              <w:spacing w:after="120"/>
              <w:ind w:left="540" w:hanging="450"/>
              <w:jc w:val="both"/>
              <w:rPr>
                <w:rFonts w:ascii="Verdana" w:hAnsi="Verdana"/>
                <w:sz w:val="20"/>
                <w:szCs w:val="20"/>
                <w:lang w:val="bg-BG" w:eastAsia="bg-BG"/>
              </w:rPr>
            </w:pPr>
            <w:r w:rsidRPr="00B45B4F">
              <w:rPr>
                <w:rFonts w:ascii="Verdana" w:hAnsi="Verdana"/>
                <w:sz w:val="20"/>
                <w:szCs w:val="20"/>
                <w:lang w:val="bg-BG" w:eastAsia="bg-BG"/>
              </w:rPr>
              <w:t>Инвестиции в образованието, уменията и ученето през целия живот посредством изграждането на образователна инфраструктура и на инфраструктура за обучение</w:t>
            </w:r>
          </w:p>
          <w:p w:rsidR="00C772C9" w:rsidRPr="00B45B4F" w:rsidRDefault="00C772C9" w:rsidP="006861B0">
            <w:pPr>
              <w:pStyle w:val="ListParagraph"/>
              <w:numPr>
                <w:ilvl w:val="1"/>
                <w:numId w:val="37"/>
              </w:numPr>
              <w:autoSpaceDE w:val="0"/>
              <w:autoSpaceDN w:val="0"/>
              <w:adjustRightInd w:val="0"/>
              <w:spacing w:after="120"/>
              <w:ind w:left="540" w:hanging="450"/>
              <w:jc w:val="both"/>
              <w:rPr>
                <w:rFonts w:ascii="Verdana" w:hAnsi="Verdana"/>
                <w:sz w:val="20"/>
                <w:szCs w:val="20"/>
                <w:lang w:val="bg-BG" w:eastAsia="bg-BG"/>
              </w:rPr>
            </w:pPr>
            <w:r w:rsidRPr="00B45B4F">
              <w:rPr>
                <w:rFonts w:ascii="Verdana" w:hAnsi="Verdana"/>
                <w:sz w:val="20"/>
                <w:szCs w:val="20"/>
                <w:lang w:val="bg-BG" w:eastAsia="bg-BG"/>
              </w:rPr>
              <w:t xml:space="preserve">Инвестиране в здравна и социална инфраструктура, която допринася за националното, регионалното и местното развитие, понижаване на неравнопоставеността по отношение на здравния статус, насърчаване на социалното включване чрез подобрен достъп до социални, културни и рекреационни услуги и преминаване от институционални услуги към услуги в общността </w:t>
            </w:r>
          </w:p>
          <w:p w:rsidR="00C772C9" w:rsidRPr="00B45B4F" w:rsidRDefault="00C772C9" w:rsidP="006861B0">
            <w:pPr>
              <w:pStyle w:val="ListParagraph"/>
              <w:numPr>
                <w:ilvl w:val="1"/>
                <w:numId w:val="37"/>
              </w:numPr>
              <w:autoSpaceDE w:val="0"/>
              <w:autoSpaceDN w:val="0"/>
              <w:adjustRightInd w:val="0"/>
              <w:spacing w:after="120"/>
              <w:ind w:left="540" w:hanging="450"/>
              <w:jc w:val="both"/>
              <w:rPr>
                <w:rFonts w:ascii="Verdana" w:hAnsi="Verdana"/>
                <w:sz w:val="20"/>
                <w:szCs w:val="20"/>
                <w:lang w:val="bg-BG" w:eastAsia="bg-BG"/>
              </w:rPr>
            </w:pPr>
            <w:r w:rsidRPr="00B45B4F">
              <w:rPr>
                <w:rFonts w:ascii="Verdana" w:hAnsi="Verdana"/>
                <w:sz w:val="20"/>
                <w:szCs w:val="20"/>
                <w:lang w:val="bg-BG" w:eastAsia="bg-BG"/>
              </w:rPr>
              <w:t xml:space="preserve">Насърчаване на </w:t>
            </w:r>
            <w:proofErr w:type="spellStart"/>
            <w:r w:rsidRPr="00B45B4F">
              <w:rPr>
                <w:rFonts w:ascii="Verdana" w:hAnsi="Verdana"/>
                <w:sz w:val="20"/>
                <w:szCs w:val="20"/>
                <w:lang w:val="bg-BG" w:eastAsia="bg-BG"/>
              </w:rPr>
              <w:t>нисковъглеродни</w:t>
            </w:r>
            <w:proofErr w:type="spellEnd"/>
            <w:r w:rsidRPr="00B45B4F">
              <w:rPr>
                <w:rFonts w:ascii="Verdana" w:hAnsi="Verdana"/>
                <w:sz w:val="20"/>
                <w:szCs w:val="20"/>
                <w:lang w:val="bg-BG" w:eastAsia="bg-BG"/>
              </w:rPr>
              <w:t xml:space="preserve"> стратегии за всички типове територии, и особено градските райони, включително насърчаване на устойчива </w:t>
            </w:r>
            <w:proofErr w:type="spellStart"/>
            <w:r w:rsidRPr="00B45B4F">
              <w:rPr>
                <w:rFonts w:ascii="Verdana" w:hAnsi="Verdana"/>
                <w:sz w:val="20"/>
                <w:szCs w:val="20"/>
                <w:lang w:val="bg-BG" w:eastAsia="bg-BG"/>
              </w:rPr>
              <w:t>мултимодална</w:t>
            </w:r>
            <w:proofErr w:type="spellEnd"/>
            <w:r w:rsidRPr="00B45B4F">
              <w:rPr>
                <w:rFonts w:ascii="Verdana" w:hAnsi="Verdana"/>
                <w:sz w:val="20"/>
                <w:szCs w:val="20"/>
                <w:lang w:val="bg-BG" w:eastAsia="bg-BG"/>
              </w:rPr>
              <w:t xml:space="preserve"> градска мобилност и смекчаване на съответните адаптационни мерки </w:t>
            </w:r>
          </w:p>
          <w:p w:rsidR="00C772C9" w:rsidRPr="00B45B4F" w:rsidRDefault="00C772C9" w:rsidP="006F74A8">
            <w:pPr>
              <w:pBdr>
                <w:top w:val="single" w:sz="4" w:space="0" w:color="auto"/>
                <w:left w:val="single" w:sz="4" w:space="4" w:color="auto"/>
                <w:bottom w:val="single" w:sz="4" w:space="1" w:color="auto"/>
                <w:right w:val="single" w:sz="4" w:space="4" w:color="auto"/>
              </w:pBdr>
              <w:shd w:val="clear" w:color="auto" w:fill="548DD4" w:themeFill="text2" w:themeFillTint="99"/>
              <w:rPr>
                <w:rFonts w:ascii="Verdana" w:hAnsi="Verdana"/>
                <w:color w:val="FFFFFF" w:themeColor="background1"/>
                <w:sz w:val="20"/>
                <w:szCs w:val="20"/>
                <w:lang w:val="bg-BG" w:eastAsia="fr-BE"/>
              </w:rPr>
            </w:pPr>
            <w:bookmarkStart w:id="50" w:name="_Toc351464340"/>
            <w:r w:rsidRPr="00B45B4F">
              <w:rPr>
                <w:rFonts w:ascii="Verdana" w:hAnsi="Verdana"/>
                <w:color w:val="FFFFFF" w:themeColor="background1"/>
                <w:sz w:val="20"/>
                <w:szCs w:val="20"/>
                <w:lang w:val="bg-BG" w:eastAsia="fr-BE"/>
              </w:rPr>
              <w:t xml:space="preserve">Приоритетна ос 2: </w:t>
            </w:r>
            <w:r w:rsidRPr="00B45B4F">
              <w:rPr>
                <w:rFonts w:ascii="Verdana" w:hAnsi="Verdana"/>
                <w:bCs/>
                <w:color w:val="FFFFFF" w:themeColor="background1"/>
                <w:sz w:val="20"/>
                <w:szCs w:val="20"/>
                <w:lang w:val="bg-BG" w:eastAsia="fr-BE"/>
              </w:rPr>
              <w:t>Регионална образователна инфраструктура</w:t>
            </w:r>
          </w:p>
          <w:bookmarkEnd w:id="50"/>
          <w:p w:rsidR="00C772C9" w:rsidRPr="00B45B4F" w:rsidRDefault="00C772C9" w:rsidP="006861B0">
            <w:pPr>
              <w:pStyle w:val="ListParagraph"/>
              <w:numPr>
                <w:ilvl w:val="0"/>
                <w:numId w:val="42"/>
              </w:numPr>
              <w:autoSpaceDE w:val="0"/>
              <w:autoSpaceDN w:val="0"/>
              <w:adjustRightInd w:val="0"/>
              <w:spacing w:after="120"/>
              <w:ind w:left="540" w:hanging="450"/>
              <w:jc w:val="both"/>
              <w:rPr>
                <w:rFonts w:ascii="Verdana" w:hAnsi="Verdana"/>
                <w:sz w:val="20"/>
                <w:szCs w:val="20"/>
                <w:lang w:val="bg-BG" w:eastAsia="bg-BG"/>
              </w:rPr>
            </w:pPr>
            <w:r w:rsidRPr="00B45B4F">
              <w:rPr>
                <w:rFonts w:ascii="Verdana" w:hAnsi="Verdana"/>
                <w:bCs/>
                <w:sz w:val="20"/>
                <w:szCs w:val="20"/>
                <w:lang w:val="bg-BG"/>
              </w:rPr>
              <w:t>Инвестиции в образованието, уменията и ученето през целия живот посредством изграждането на образователна инфраструктура и на инфраструктура за обучение</w:t>
            </w:r>
          </w:p>
          <w:p w:rsidR="00C772C9" w:rsidRPr="00B45B4F" w:rsidRDefault="00C772C9" w:rsidP="006F74A8">
            <w:pPr>
              <w:pBdr>
                <w:top w:val="single" w:sz="4" w:space="0" w:color="auto"/>
                <w:left w:val="single" w:sz="4" w:space="4" w:color="auto"/>
                <w:bottom w:val="single" w:sz="4" w:space="1" w:color="auto"/>
                <w:right w:val="single" w:sz="4" w:space="4" w:color="auto"/>
              </w:pBdr>
              <w:shd w:val="clear" w:color="auto" w:fill="548DD4" w:themeFill="text2" w:themeFillTint="99"/>
              <w:rPr>
                <w:rFonts w:ascii="Verdana" w:hAnsi="Verdana"/>
                <w:color w:val="FFFFFF" w:themeColor="background1"/>
                <w:sz w:val="20"/>
                <w:szCs w:val="20"/>
                <w:lang w:val="bg-BG" w:eastAsia="fr-BE"/>
              </w:rPr>
            </w:pPr>
            <w:r w:rsidRPr="00B45B4F">
              <w:rPr>
                <w:rFonts w:ascii="Verdana" w:hAnsi="Verdana"/>
                <w:color w:val="FFFFFF" w:themeColor="background1"/>
                <w:sz w:val="20"/>
                <w:szCs w:val="20"/>
                <w:lang w:val="bg-BG" w:eastAsia="fr-BE"/>
              </w:rPr>
              <w:t xml:space="preserve">Приоритетна ос 3: Регионална здравна инфраструктура </w:t>
            </w:r>
          </w:p>
          <w:p w:rsidR="00C772C9" w:rsidRPr="00B45B4F" w:rsidRDefault="00C772C9" w:rsidP="006861B0">
            <w:pPr>
              <w:pStyle w:val="ListParagraph"/>
              <w:numPr>
                <w:ilvl w:val="1"/>
                <w:numId w:val="38"/>
              </w:numPr>
              <w:autoSpaceDE w:val="0"/>
              <w:autoSpaceDN w:val="0"/>
              <w:adjustRightInd w:val="0"/>
              <w:spacing w:after="120"/>
              <w:ind w:left="540" w:hanging="450"/>
              <w:jc w:val="both"/>
              <w:rPr>
                <w:rFonts w:ascii="Verdana" w:hAnsi="Verdana"/>
                <w:sz w:val="20"/>
                <w:szCs w:val="20"/>
                <w:lang w:val="bg-BG" w:eastAsia="bg-BG"/>
              </w:rPr>
            </w:pPr>
            <w:r w:rsidRPr="00B45B4F">
              <w:rPr>
                <w:rFonts w:ascii="Verdana" w:hAnsi="Verdana"/>
                <w:bCs/>
                <w:sz w:val="20"/>
                <w:szCs w:val="20"/>
                <w:lang w:val="bg-BG"/>
              </w:rPr>
              <w:t>Инвестиране в здравна и социална инфраструктура, която допринася за националното, регионалното и местното развитие понижаване на неравнопоставеността по отношение на здравния статус, насърчаване на социалното включване, чрез подобрен достъп до социални, културни и рекреационни услуги и преминаване от институционални услуги към услуги в общността.</w:t>
            </w:r>
          </w:p>
          <w:p w:rsidR="00C772C9" w:rsidRPr="00B45B4F" w:rsidRDefault="00C772C9" w:rsidP="006F74A8">
            <w:pPr>
              <w:pBdr>
                <w:top w:val="single" w:sz="4" w:space="0" w:color="auto"/>
                <w:left w:val="single" w:sz="4" w:space="4" w:color="auto"/>
                <w:bottom w:val="single" w:sz="4" w:space="1" w:color="auto"/>
                <w:right w:val="single" w:sz="4" w:space="4" w:color="auto"/>
              </w:pBdr>
              <w:shd w:val="clear" w:color="auto" w:fill="548DD4" w:themeFill="text2" w:themeFillTint="99"/>
              <w:rPr>
                <w:rFonts w:ascii="Verdana" w:hAnsi="Verdana"/>
                <w:color w:val="FFFFFF" w:themeColor="background1"/>
                <w:sz w:val="20"/>
                <w:szCs w:val="20"/>
                <w:lang w:val="bg-BG" w:eastAsia="fr-BE"/>
              </w:rPr>
            </w:pPr>
            <w:bookmarkStart w:id="51" w:name="_Toc351464364"/>
            <w:r w:rsidRPr="00B45B4F">
              <w:rPr>
                <w:rFonts w:ascii="Verdana" w:hAnsi="Verdana"/>
                <w:color w:val="FFFFFF" w:themeColor="background1"/>
                <w:sz w:val="20"/>
                <w:szCs w:val="20"/>
                <w:lang w:val="bg-BG" w:eastAsia="fr-BE"/>
              </w:rPr>
              <w:t>Приоритетна ос 4: Регионална социална инфраструктура</w:t>
            </w:r>
            <w:bookmarkEnd w:id="51"/>
          </w:p>
          <w:p w:rsidR="00C772C9" w:rsidRPr="00B45B4F" w:rsidRDefault="00C772C9" w:rsidP="006861B0">
            <w:pPr>
              <w:pStyle w:val="ListParagraph"/>
              <w:numPr>
                <w:ilvl w:val="1"/>
                <w:numId w:val="39"/>
              </w:numPr>
              <w:autoSpaceDE w:val="0"/>
              <w:autoSpaceDN w:val="0"/>
              <w:adjustRightInd w:val="0"/>
              <w:spacing w:after="120"/>
              <w:ind w:left="540" w:hanging="450"/>
              <w:jc w:val="both"/>
              <w:rPr>
                <w:rFonts w:ascii="Verdana" w:hAnsi="Verdana"/>
                <w:sz w:val="20"/>
                <w:szCs w:val="20"/>
                <w:lang w:val="bg-BG" w:eastAsia="bg-BG"/>
              </w:rPr>
            </w:pPr>
            <w:r w:rsidRPr="00B45B4F">
              <w:rPr>
                <w:rFonts w:ascii="Verdana" w:hAnsi="Verdana"/>
                <w:bCs/>
                <w:sz w:val="20"/>
                <w:szCs w:val="20"/>
                <w:lang w:val="bg-BG"/>
              </w:rPr>
              <w:t xml:space="preserve">Инвестиране в здравна и социална инфраструктура, която допринася за националното, регионалното и местното развитие понижаване на </w:t>
            </w:r>
            <w:r w:rsidRPr="00B45B4F">
              <w:rPr>
                <w:rFonts w:ascii="Verdana" w:hAnsi="Verdana"/>
                <w:bCs/>
                <w:sz w:val="20"/>
                <w:szCs w:val="20"/>
                <w:lang w:val="bg-BG"/>
              </w:rPr>
              <w:lastRenderedPageBreak/>
              <w:t>неравнопоставеността по отношение на здравния статус, насърчаване на социалното включване, чрез подобрен достъп до социални, културни и рекреационни услуги и преминаване от институционални услуги към услуги в общността.</w:t>
            </w:r>
          </w:p>
          <w:p w:rsidR="00C772C9" w:rsidRPr="00B45B4F" w:rsidRDefault="00C772C9" w:rsidP="006F74A8">
            <w:pPr>
              <w:pBdr>
                <w:top w:val="single" w:sz="4" w:space="0" w:color="auto"/>
                <w:left w:val="single" w:sz="4" w:space="4" w:color="auto"/>
                <w:bottom w:val="single" w:sz="4" w:space="1" w:color="auto"/>
                <w:right w:val="single" w:sz="4" w:space="4" w:color="auto"/>
              </w:pBdr>
              <w:shd w:val="clear" w:color="auto" w:fill="548DD4" w:themeFill="text2" w:themeFillTint="99"/>
              <w:rPr>
                <w:rFonts w:ascii="Verdana" w:hAnsi="Verdana"/>
                <w:color w:val="FFFFFF" w:themeColor="background1"/>
                <w:sz w:val="20"/>
                <w:szCs w:val="20"/>
                <w:lang w:val="bg-BG" w:eastAsia="fr-BE"/>
              </w:rPr>
            </w:pPr>
            <w:bookmarkStart w:id="52" w:name="_Toc351464376"/>
            <w:r w:rsidRPr="00B45B4F">
              <w:rPr>
                <w:rFonts w:ascii="Verdana" w:hAnsi="Verdana"/>
                <w:color w:val="FFFFFF" w:themeColor="background1"/>
                <w:sz w:val="20"/>
                <w:szCs w:val="20"/>
                <w:lang w:val="bg-BG" w:eastAsia="fr-BE"/>
              </w:rPr>
              <w:t>Приоритетна ос 5: Регионален туризъм</w:t>
            </w:r>
            <w:bookmarkEnd w:id="52"/>
          </w:p>
          <w:p w:rsidR="00C772C9" w:rsidRPr="00B45B4F" w:rsidRDefault="00C772C9" w:rsidP="006861B0">
            <w:pPr>
              <w:pStyle w:val="ListParagraph"/>
              <w:numPr>
                <w:ilvl w:val="1"/>
                <w:numId w:val="40"/>
              </w:numPr>
              <w:autoSpaceDE w:val="0"/>
              <w:autoSpaceDN w:val="0"/>
              <w:adjustRightInd w:val="0"/>
              <w:spacing w:after="120"/>
              <w:ind w:left="540" w:hanging="450"/>
              <w:jc w:val="both"/>
              <w:rPr>
                <w:rFonts w:ascii="Verdana" w:hAnsi="Verdana"/>
                <w:sz w:val="20"/>
                <w:szCs w:val="20"/>
                <w:lang w:val="bg-BG" w:eastAsia="bg-BG"/>
              </w:rPr>
            </w:pPr>
            <w:r w:rsidRPr="00B45B4F">
              <w:rPr>
                <w:rFonts w:ascii="Verdana" w:hAnsi="Verdana"/>
                <w:bCs/>
                <w:sz w:val="20"/>
                <w:szCs w:val="20"/>
                <w:lang w:val="bg-BG"/>
              </w:rPr>
              <w:t>Консервация, опазване, популяризиране и развитие на природното и културното наследство.</w:t>
            </w:r>
          </w:p>
          <w:p w:rsidR="00C772C9" w:rsidRPr="00B45B4F" w:rsidRDefault="00C772C9" w:rsidP="006F74A8">
            <w:pPr>
              <w:pBdr>
                <w:top w:val="single" w:sz="4" w:space="0" w:color="auto"/>
                <w:left w:val="single" w:sz="4" w:space="4" w:color="auto"/>
                <w:bottom w:val="single" w:sz="4" w:space="1" w:color="auto"/>
                <w:right w:val="single" w:sz="4" w:space="4" w:color="auto"/>
              </w:pBdr>
              <w:shd w:val="clear" w:color="auto" w:fill="548DD4" w:themeFill="text2" w:themeFillTint="99"/>
              <w:rPr>
                <w:rFonts w:ascii="Verdana" w:hAnsi="Verdana"/>
                <w:color w:val="FFFFFF" w:themeColor="background1"/>
                <w:sz w:val="20"/>
                <w:szCs w:val="20"/>
                <w:lang w:val="bg-BG" w:eastAsia="fr-BE"/>
              </w:rPr>
            </w:pPr>
            <w:bookmarkStart w:id="53" w:name="_Toc351464388"/>
            <w:r w:rsidRPr="00B45B4F">
              <w:rPr>
                <w:rFonts w:ascii="Verdana" w:hAnsi="Verdana"/>
                <w:color w:val="FFFFFF" w:themeColor="background1"/>
                <w:sz w:val="20"/>
                <w:szCs w:val="20"/>
                <w:lang w:val="bg-BG" w:eastAsia="fr-BE"/>
              </w:rPr>
              <w:t>Приоритетна ос 6: Регионална пътна инфраструктура</w:t>
            </w:r>
            <w:bookmarkEnd w:id="53"/>
          </w:p>
          <w:p w:rsidR="00C772C9" w:rsidRPr="00B45B4F" w:rsidRDefault="00C772C9" w:rsidP="006861B0">
            <w:pPr>
              <w:pStyle w:val="ListParagraph"/>
              <w:numPr>
                <w:ilvl w:val="1"/>
                <w:numId w:val="41"/>
              </w:numPr>
              <w:autoSpaceDE w:val="0"/>
              <w:autoSpaceDN w:val="0"/>
              <w:adjustRightInd w:val="0"/>
              <w:spacing w:after="120"/>
              <w:ind w:left="540" w:hanging="450"/>
              <w:jc w:val="both"/>
              <w:rPr>
                <w:rFonts w:ascii="Verdana" w:hAnsi="Verdana"/>
                <w:sz w:val="20"/>
                <w:szCs w:val="20"/>
                <w:lang w:val="bg-BG" w:eastAsia="bg-BG"/>
              </w:rPr>
            </w:pPr>
            <w:r w:rsidRPr="00B45B4F">
              <w:rPr>
                <w:rFonts w:ascii="Verdana" w:hAnsi="Verdana"/>
                <w:bCs/>
                <w:sz w:val="20"/>
                <w:szCs w:val="20"/>
                <w:lang w:val="bg-BG"/>
              </w:rPr>
              <w:t xml:space="preserve">Подобряване на мобилността на регионално равнище посредством свързването на второстепенни и третостепенни възли с инфраструктурата на транс-европейската транспортна мрежа, включително </w:t>
            </w:r>
            <w:proofErr w:type="spellStart"/>
            <w:r w:rsidRPr="00B45B4F">
              <w:rPr>
                <w:rFonts w:ascii="Verdana" w:hAnsi="Verdana"/>
                <w:bCs/>
                <w:sz w:val="20"/>
                <w:szCs w:val="20"/>
                <w:lang w:val="bg-BG"/>
              </w:rPr>
              <w:t>мултимодални</w:t>
            </w:r>
            <w:proofErr w:type="spellEnd"/>
            <w:r w:rsidRPr="00B45B4F">
              <w:rPr>
                <w:rFonts w:ascii="Verdana" w:hAnsi="Verdana"/>
                <w:bCs/>
                <w:sz w:val="20"/>
                <w:szCs w:val="20"/>
                <w:lang w:val="bg-BG"/>
              </w:rPr>
              <w:t xml:space="preserve"> възли</w:t>
            </w:r>
          </w:p>
          <w:p w:rsidR="00C772C9" w:rsidRPr="00B45B4F" w:rsidRDefault="00C772C9" w:rsidP="006F74A8">
            <w:pPr>
              <w:pBdr>
                <w:top w:val="single" w:sz="4" w:space="1" w:color="auto"/>
                <w:bottom w:val="single" w:sz="4" w:space="1" w:color="auto"/>
              </w:pBdr>
              <w:shd w:val="clear" w:color="auto" w:fill="548DD4" w:themeFill="text2" w:themeFillTint="99"/>
              <w:rPr>
                <w:rFonts w:ascii="Verdana" w:hAnsi="Verdana"/>
                <w:color w:val="FFFFFF" w:themeColor="background1"/>
                <w:sz w:val="20"/>
                <w:szCs w:val="20"/>
                <w:lang w:val="bg-BG" w:eastAsia="fr-BE"/>
              </w:rPr>
            </w:pPr>
            <w:r w:rsidRPr="00B45B4F">
              <w:rPr>
                <w:rFonts w:ascii="Verdana" w:hAnsi="Verdana"/>
                <w:color w:val="FFFFFF" w:themeColor="background1"/>
                <w:sz w:val="20"/>
                <w:szCs w:val="20"/>
                <w:lang w:val="bg-BG" w:eastAsia="fr-BE"/>
              </w:rPr>
              <w:t>Приоритетна ос 7: Превенция на риска</w:t>
            </w:r>
          </w:p>
          <w:p w:rsidR="00C772C9" w:rsidRPr="00B45B4F" w:rsidRDefault="00C772C9" w:rsidP="006F74A8">
            <w:pPr>
              <w:pStyle w:val="ListParagraph"/>
              <w:tabs>
                <w:tab w:val="left" w:pos="540"/>
              </w:tabs>
              <w:autoSpaceDE w:val="0"/>
              <w:autoSpaceDN w:val="0"/>
              <w:adjustRightInd w:val="0"/>
              <w:spacing w:after="120"/>
              <w:ind w:left="540" w:hanging="450"/>
              <w:jc w:val="both"/>
              <w:rPr>
                <w:rFonts w:ascii="Verdana" w:hAnsi="Verdana"/>
                <w:sz w:val="20"/>
                <w:szCs w:val="20"/>
                <w:lang w:val="bg-BG" w:eastAsia="bg-BG"/>
              </w:rPr>
            </w:pPr>
            <w:r w:rsidRPr="00B45B4F">
              <w:rPr>
                <w:rFonts w:ascii="Verdana" w:hAnsi="Verdana"/>
                <w:sz w:val="20"/>
                <w:szCs w:val="20"/>
                <w:lang w:val="bg-BG" w:eastAsia="bg-BG"/>
              </w:rPr>
              <w:t xml:space="preserve">7.1 </w:t>
            </w:r>
            <w:r w:rsidRPr="00B45B4F">
              <w:rPr>
                <w:rFonts w:ascii="Verdana" w:hAnsi="Verdana"/>
                <w:bCs/>
                <w:sz w:val="20"/>
                <w:szCs w:val="20"/>
                <w:lang w:val="bg-BG"/>
              </w:rPr>
              <w:t>Насърчаване на инвестициите за справяне със специфични рискове, осигуряване на устойчивост на бедствия и развитие на системи за управление на бедствията.</w:t>
            </w:r>
          </w:p>
        </w:tc>
      </w:tr>
    </w:tbl>
    <w:p w:rsidR="000C1802" w:rsidRPr="00B45B4F" w:rsidRDefault="000C1802" w:rsidP="000C1802">
      <w:pPr>
        <w:pStyle w:val="Caption"/>
        <w:jc w:val="center"/>
        <w:rPr>
          <w:rFonts w:ascii="Verdana" w:hAnsi="Verdana"/>
          <w:color w:val="006CB6"/>
        </w:rPr>
      </w:pPr>
    </w:p>
    <w:p w:rsidR="000C1802" w:rsidRPr="00B45B4F" w:rsidRDefault="000C1802" w:rsidP="004708A9">
      <w:pPr>
        <w:pStyle w:val="Caption"/>
        <w:keepNext/>
        <w:spacing w:after="120"/>
        <w:rPr>
          <w:rFonts w:ascii="Verdana" w:hAnsi="Verdana"/>
          <w:color w:val="548DD4" w:themeColor="text2" w:themeTint="99"/>
        </w:rPr>
      </w:pPr>
      <w:bookmarkStart w:id="54" w:name="_Toc395612557"/>
      <w:r w:rsidRPr="00B45B4F">
        <w:rPr>
          <w:rFonts w:ascii="Verdana" w:hAnsi="Verdana"/>
          <w:color w:val="548DD4" w:themeColor="text2" w:themeTint="99"/>
        </w:rPr>
        <w:t xml:space="preserve">Таблица </w:t>
      </w:r>
      <w:r w:rsidR="00BF1936" w:rsidRPr="00B45B4F">
        <w:rPr>
          <w:rFonts w:ascii="Verdana" w:hAnsi="Verdana"/>
          <w:color w:val="548DD4" w:themeColor="text2" w:themeTint="99"/>
        </w:rPr>
        <w:fldChar w:fldCharType="begin"/>
      </w:r>
      <w:r w:rsidRPr="00B45B4F">
        <w:rPr>
          <w:rFonts w:ascii="Verdana" w:hAnsi="Verdana"/>
          <w:color w:val="548DD4" w:themeColor="text2" w:themeTint="99"/>
        </w:rPr>
        <w:instrText>SEQ таблица \* ARABIC</w:instrText>
      </w:r>
      <w:r w:rsidR="00BF1936" w:rsidRPr="00B45B4F">
        <w:rPr>
          <w:rFonts w:ascii="Verdana" w:hAnsi="Verdana"/>
          <w:color w:val="548DD4" w:themeColor="text2" w:themeTint="99"/>
        </w:rPr>
        <w:fldChar w:fldCharType="separate"/>
      </w:r>
      <w:r w:rsidR="001361E0">
        <w:rPr>
          <w:rFonts w:ascii="Verdana" w:hAnsi="Verdana"/>
          <w:noProof/>
          <w:color w:val="548DD4" w:themeColor="text2" w:themeTint="99"/>
        </w:rPr>
        <w:t>1</w:t>
      </w:r>
      <w:r w:rsidR="00BF1936" w:rsidRPr="00B45B4F">
        <w:rPr>
          <w:rFonts w:ascii="Verdana" w:hAnsi="Verdana"/>
          <w:color w:val="548DD4" w:themeColor="text2" w:themeTint="99"/>
        </w:rPr>
        <w:fldChar w:fldCharType="end"/>
      </w:r>
      <w:r w:rsidRPr="00B45B4F">
        <w:rPr>
          <w:rFonts w:ascii="Verdana" w:hAnsi="Verdana"/>
          <w:color w:val="548DD4" w:themeColor="text2" w:themeTint="99"/>
        </w:rPr>
        <w:t>. Връзки между приоритетите на ОПНОИР и ОПРР</w:t>
      </w:r>
      <w:bookmarkEnd w:id="54"/>
    </w:p>
    <w:tbl>
      <w:tblPr>
        <w:tblW w:w="9090" w:type="dxa"/>
        <w:tblInd w:w="108" w:type="dxa"/>
        <w:tblLayout w:type="fixed"/>
        <w:tblLook w:val="04A0" w:firstRow="1" w:lastRow="0" w:firstColumn="1" w:lastColumn="0" w:noHBand="0" w:noVBand="1"/>
      </w:tblPr>
      <w:tblGrid>
        <w:gridCol w:w="2250"/>
        <w:gridCol w:w="1260"/>
        <w:gridCol w:w="810"/>
        <w:gridCol w:w="810"/>
        <w:gridCol w:w="720"/>
        <w:gridCol w:w="630"/>
        <w:gridCol w:w="630"/>
        <w:gridCol w:w="990"/>
        <w:gridCol w:w="990"/>
      </w:tblGrid>
      <w:tr w:rsidR="00C772C9" w:rsidRPr="00B45B4F" w:rsidTr="00952C4A">
        <w:trPr>
          <w:trHeight w:val="510"/>
        </w:trPr>
        <w:tc>
          <w:tcPr>
            <w:tcW w:w="2250" w:type="dxa"/>
            <w:tcBorders>
              <w:top w:val="single" w:sz="4" w:space="0" w:color="auto"/>
              <w:left w:val="single" w:sz="4" w:space="0" w:color="auto"/>
              <w:bottom w:val="single" w:sz="4" w:space="0" w:color="auto"/>
              <w:right w:val="single" w:sz="4" w:space="0" w:color="auto"/>
            </w:tcBorders>
            <w:shd w:val="clear" w:color="000000" w:fill="548DD4"/>
            <w:vAlign w:val="center"/>
            <w:hideMark/>
          </w:tcPr>
          <w:p w:rsidR="00C772C9" w:rsidRPr="00B45B4F" w:rsidRDefault="00C772C9" w:rsidP="007B43A8">
            <w:pPr>
              <w:spacing w:after="0" w:line="240" w:lineRule="auto"/>
              <w:ind w:left="-108" w:right="-18"/>
              <w:jc w:val="center"/>
              <w:rPr>
                <w:rFonts w:ascii="Verdana" w:eastAsia="Times New Roman" w:hAnsi="Verdana"/>
                <w:bCs/>
                <w:color w:val="FFFFFF"/>
                <w:sz w:val="18"/>
                <w:szCs w:val="18"/>
                <w:lang w:val="bg-BG"/>
              </w:rPr>
            </w:pPr>
            <w:r w:rsidRPr="00B45B4F">
              <w:rPr>
                <w:rFonts w:ascii="Verdana" w:eastAsia="Times New Roman" w:hAnsi="Verdana"/>
                <w:bCs/>
                <w:color w:val="FFFFFF"/>
                <w:sz w:val="18"/>
                <w:szCs w:val="18"/>
                <w:lang w:val="bg-BG"/>
              </w:rPr>
              <w:t>Оперативна програма / приоритетна ос</w:t>
            </w:r>
          </w:p>
        </w:tc>
        <w:tc>
          <w:tcPr>
            <w:tcW w:w="1260" w:type="dxa"/>
            <w:tcBorders>
              <w:top w:val="single" w:sz="4" w:space="0" w:color="auto"/>
              <w:left w:val="nil"/>
              <w:bottom w:val="single" w:sz="4" w:space="0" w:color="auto"/>
              <w:right w:val="single" w:sz="4" w:space="0" w:color="auto"/>
            </w:tcBorders>
            <w:shd w:val="clear" w:color="000000" w:fill="548DD4"/>
            <w:vAlign w:val="center"/>
            <w:hideMark/>
          </w:tcPr>
          <w:p w:rsidR="00C772C9" w:rsidRPr="00B45B4F" w:rsidRDefault="00C772C9" w:rsidP="006F74A8">
            <w:pPr>
              <w:spacing w:after="0" w:line="240" w:lineRule="auto"/>
              <w:jc w:val="center"/>
              <w:rPr>
                <w:rFonts w:ascii="Verdana" w:eastAsia="Times New Roman" w:hAnsi="Verdana"/>
                <w:bCs/>
                <w:color w:val="FFFFFF"/>
                <w:sz w:val="18"/>
                <w:szCs w:val="18"/>
                <w:lang w:val="bg-BG"/>
              </w:rPr>
            </w:pPr>
            <w:r w:rsidRPr="00B45B4F">
              <w:rPr>
                <w:rFonts w:ascii="Verdana" w:eastAsia="Times New Roman" w:hAnsi="Verdana"/>
                <w:bCs/>
                <w:color w:val="FFFFFF"/>
                <w:sz w:val="18"/>
                <w:szCs w:val="18"/>
                <w:lang w:val="bg-BG"/>
              </w:rPr>
              <w:t>ОПНОИР</w:t>
            </w:r>
          </w:p>
        </w:tc>
        <w:tc>
          <w:tcPr>
            <w:tcW w:w="1620" w:type="dxa"/>
            <w:gridSpan w:val="2"/>
            <w:tcBorders>
              <w:top w:val="single" w:sz="4" w:space="0" w:color="auto"/>
              <w:left w:val="nil"/>
              <w:bottom w:val="single" w:sz="4" w:space="0" w:color="auto"/>
              <w:right w:val="single" w:sz="4" w:space="0" w:color="auto"/>
            </w:tcBorders>
            <w:shd w:val="clear" w:color="000000" w:fill="548DD4"/>
            <w:vAlign w:val="center"/>
            <w:hideMark/>
          </w:tcPr>
          <w:p w:rsidR="00C772C9" w:rsidRPr="00B45B4F" w:rsidRDefault="00C772C9" w:rsidP="006F74A8">
            <w:pPr>
              <w:spacing w:after="0" w:line="240" w:lineRule="auto"/>
              <w:jc w:val="center"/>
              <w:rPr>
                <w:rFonts w:ascii="Verdana" w:eastAsia="Times New Roman" w:hAnsi="Verdana"/>
                <w:color w:val="FFFFFF"/>
                <w:sz w:val="18"/>
                <w:szCs w:val="18"/>
                <w:lang w:val="bg-BG"/>
              </w:rPr>
            </w:pPr>
            <w:r w:rsidRPr="00B45B4F">
              <w:rPr>
                <w:rFonts w:ascii="Verdana" w:eastAsia="Times New Roman" w:hAnsi="Verdana"/>
                <w:color w:val="FFFFFF"/>
                <w:sz w:val="18"/>
                <w:szCs w:val="18"/>
                <w:lang w:val="bg-BG"/>
              </w:rPr>
              <w:t>ПО 1: Научни изследвания и технологично развитие</w:t>
            </w:r>
          </w:p>
        </w:tc>
        <w:tc>
          <w:tcPr>
            <w:tcW w:w="1980" w:type="dxa"/>
            <w:gridSpan w:val="3"/>
            <w:tcBorders>
              <w:top w:val="single" w:sz="4" w:space="0" w:color="auto"/>
              <w:left w:val="nil"/>
              <w:bottom w:val="single" w:sz="4" w:space="0" w:color="auto"/>
              <w:right w:val="single" w:sz="4" w:space="0" w:color="auto"/>
            </w:tcBorders>
            <w:shd w:val="clear" w:color="000000" w:fill="548DD4"/>
            <w:vAlign w:val="center"/>
            <w:hideMark/>
          </w:tcPr>
          <w:p w:rsidR="00C772C9" w:rsidRPr="00B45B4F" w:rsidRDefault="00C772C9" w:rsidP="006F74A8">
            <w:pPr>
              <w:spacing w:after="0" w:line="240" w:lineRule="auto"/>
              <w:jc w:val="center"/>
              <w:rPr>
                <w:rFonts w:ascii="Verdana" w:eastAsia="Times New Roman" w:hAnsi="Verdana"/>
                <w:color w:val="FFFFFF"/>
                <w:sz w:val="18"/>
                <w:szCs w:val="18"/>
                <w:lang w:val="bg-BG"/>
              </w:rPr>
            </w:pPr>
            <w:r w:rsidRPr="00B45B4F">
              <w:rPr>
                <w:rFonts w:ascii="Verdana" w:eastAsia="Times New Roman" w:hAnsi="Verdana"/>
                <w:color w:val="FFFFFF"/>
                <w:sz w:val="18"/>
                <w:szCs w:val="18"/>
                <w:lang w:val="bg-BG"/>
              </w:rPr>
              <w:t>ПО 2: Образование и учене през целия живот</w:t>
            </w:r>
          </w:p>
        </w:tc>
        <w:tc>
          <w:tcPr>
            <w:tcW w:w="1980" w:type="dxa"/>
            <w:gridSpan w:val="2"/>
            <w:tcBorders>
              <w:top w:val="single" w:sz="4" w:space="0" w:color="auto"/>
              <w:left w:val="nil"/>
              <w:bottom w:val="single" w:sz="4" w:space="0" w:color="auto"/>
              <w:right w:val="single" w:sz="4" w:space="0" w:color="auto"/>
            </w:tcBorders>
            <w:shd w:val="clear" w:color="000000" w:fill="548DD4"/>
            <w:vAlign w:val="center"/>
            <w:hideMark/>
          </w:tcPr>
          <w:p w:rsidR="00C772C9" w:rsidRPr="00B45B4F" w:rsidRDefault="00C772C9" w:rsidP="006F74A8">
            <w:pPr>
              <w:spacing w:after="0" w:line="240" w:lineRule="auto"/>
              <w:jc w:val="center"/>
              <w:rPr>
                <w:rFonts w:ascii="Verdana" w:eastAsia="Times New Roman" w:hAnsi="Verdana"/>
                <w:color w:val="FFFFFF"/>
                <w:sz w:val="18"/>
                <w:szCs w:val="18"/>
                <w:lang w:val="bg-BG"/>
              </w:rPr>
            </w:pPr>
            <w:r w:rsidRPr="00B45B4F">
              <w:rPr>
                <w:rFonts w:ascii="Verdana" w:eastAsia="Times New Roman" w:hAnsi="Verdana"/>
                <w:color w:val="FFFFFF"/>
                <w:sz w:val="18"/>
                <w:szCs w:val="18"/>
                <w:lang w:val="bg-BG"/>
              </w:rPr>
              <w:t>ПО 3: Образователна среда за активно соц. приобщаване</w:t>
            </w:r>
          </w:p>
        </w:tc>
      </w:tr>
      <w:tr w:rsidR="00C772C9" w:rsidRPr="00B45B4F" w:rsidTr="00F629E3">
        <w:trPr>
          <w:trHeight w:val="300"/>
        </w:trPr>
        <w:tc>
          <w:tcPr>
            <w:tcW w:w="2250" w:type="dxa"/>
            <w:tcBorders>
              <w:top w:val="nil"/>
              <w:left w:val="single" w:sz="4" w:space="0" w:color="auto"/>
              <w:bottom w:val="single" w:sz="4" w:space="0" w:color="auto"/>
              <w:right w:val="single" w:sz="4" w:space="0" w:color="auto"/>
            </w:tcBorders>
            <w:shd w:val="clear" w:color="auto" w:fill="548DD4" w:themeFill="text2" w:themeFillTint="99"/>
            <w:vAlign w:val="center"/>
            <w:hideMark/>
          </w:tcPr>
          <w:p w:rsidR="00C772C9" w:rsidRPr="00B45B4F" w:rsidRDefault="00C772C9" w:rsidP="002E0D02">
            <w:pPr>
              <w:spacing w:after="0" w:line="240" w:lineRule="auto"/>
              <w:ind w:left="-108" w:right="-108"/>
              <w:jc w:val="center"/>
              <w:rPr>
                <w:rFonts w:ascii="Verdana" w:eastAsia="Times New Roman" w:hAnsi="Verdana"/>
                <w:bCs/>
                <w:color w:val="FFFFFF"/>
                <w:sz w:val="18"/>
                <w:szCs w:val="18"/>
                <w:lang w:val="bg-BG"/>
              </w:rPr>
            </w:pPr>
            <w:r w:rsidRPr="00B45B4F">
              <w:rPr>
                <w:rFonts w:ascii="Verdana" w:eastAsia="Times New Roman" w:hAnsi="Verdana"/>
                <w:bCs/>
                <w:color w:val="FFFFFF"/>
                <w:sz w:val="18"/>
                <w:szCs w:val="18"/>
                <w:lang w:val="bg-BG"/>
              </w:rPr>
              <w:t>ОПРР</w:t>
            </w:r>
          </w:p>
        </w:tc>
        <w:tc>
          <w:tcPr>
            <w:tcW w:w="1260" w:type="dxa"/>
            <w:tcBorders>
              <w:top w:val="nil"/>
              <w:left w:val="nil"/>
              <w:bottom w:val="single" w:sz="4" w:space="0" w:color="auto"/>
              <w:right w:val="single" w:sz="4" w:space="0" w:color="auto"/>
            </w:tcBorders>
            <w:shd w:val="clear" w:color="000000" w:fill="C6D9F1"/>
            <w:vAlign w:val="bottom"/>
            <w:hideMark/>
          </w:tcPr>
          <w:p w:rsidR="00C772C9" w:rsidRPr="00B45B4F" w:rsidRDefault="00C772C9"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Приоритет</w:t>
            </w:r>
          </w:p>
        </w:tc>
        <w:tc>
          <w:tcPr>
            <w:tcW w:w="810" w:type="dxa"/>
            <w:tcBorders>
              <w:top w:val="nil"/>
              <w:left w:val="nil"/>
              <w:bottom w:val="single" w:sz="4" w:space="0" w:color="auto"/>
              <w:right w:val="single" w:sz="4" w:space="0" w:color="auto"/>
            </w:tcBorders>
            <w:shd w:val="clear" w:color="000000" w:fill="C6D9F1"/>
            <w:vAlign w:val="center"/>
            <w:hideMark/>
          </w:tcPr>
          <w:p w:rsidR="00C772C9" w:rsidRPr="00B45B4F" w:rsidRDefault="00C772C9"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1.1</w:t>
            </w:r>
          </w:p>
        </w:tc>
        <w:tc>
          <w:tcPr>
            <w:tcW w:w="810" w:type="dxa"/>
            <w:tcBorders>
              <w:top w:val="nil"/>
              <w:left w:val="nil"/>
              <w:bottom w:val="single" w:sz="4" w:space="0" w:color="auto"/>
              <w:right w:val="single" w:sz="4" w:space="0" w:color="auto"/>
            </w:tcBorders>
            <w:shd w:val="clear" w:color="000000" w:fill="C6D9F1"/>
            <w:vAlign w:val="center"/>
            <w:hideMark/>
          </w:tcPr>
          <w:p w:rsidR="00C772C9" w:rsidRPr="00B45B4F" w:rsidRDefault="00C772C9"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1.2</w:t>
            </w:r>
          </w:p>
        </w:tc>
        <w:tc>
          <w:tcPr>
            <w:tcW w:w="720" w:type="dxa"/>
            <w:tcBorders>
              <w:top w:val="nil"/>
              <w:left w:val="nil"/>
              <w:bottom w:val="single" w:sz="4" w:space="0" w:color="auto"/>
              <w:right w:val="single" w:sz="4" w:space="0" w:color="auto"/>
            </w:tcBorders>
            <w:shd w:val="clear" w:color="000000" w:fill="C6D9F1"/>
            <w:vAlign w:val="center"/>
            <w:hideMark/>
          </w:tcPr>
          <w:p w:rsidR="00C772C9" w:rsidRPr="00B45B4F" w:rsidRDefault="00C772C9"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2.1</w:t>
            </w:r>
          </w:p>
        </w:tc>
        <w:tc>
          <w:tcPr>
            <w:tcW w:w="630" w:type="dxa"/>
            <w:tcBorders>
              <w:top w:val="nil"/>
              <w:left w:val="nil"/>
              <w:bottom w:val="single" w:sz="4" w:space="0" w:color="auto"/>
              <w:right w:val="single" w:sz="4" w:space="0" w:color="auto"/>
            </w:tcBorders>
            <w:shd w:val="clear" w:color="000000" w:fill="C6D9F1"/>
            <w:vAlign w:val="center"/>
            <w:hideMark/>
          </w:tcPr>
          <w:p w:rsidR="00C772C9" w:rsidRPr="00B45B4F" w:rsidRDefault="00C772C9"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2.2</w:t>
            </w:r>
          </w:p>
        </w:tc>
        <w:tc>
          <w:tcPr>
            <w:tcW w:w="630" w:type="dxa"/>
            <w:tcBorders>
              <w:top w:val="nil"/>
              <w:left w:val="nil"/>
              <w:bottom w:val="single" w:sz="4" w:space="0" w:color="auto"/>
              <w:right w:val="single" w:sz="4" w:space="0" w:color="auto"/>
            </w:tcBorders>
            <w:shd w:val="clear" w:color="000000" w:fill="C6D9F1"/>
            <w:vAlign w:val="center"/>
            <w:hideMark/>
          </w:tcPr>
          <w:p w:rsidR="00C772C9" w:rsidRPr="00B45B4F" w:rsidRDefault="00C772C9"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2.3</w:t>
            </w:r>
          </w:p>
        </w:tc>
        <w:tc>
          <w:tcPr>
            <w:tcW w:w="990" w:type="dxa"/>
            <w:tcBorders>
              <w:top w:val="nil"/>
              <w:left w:val="nil"/>
              <w:bottom w:val="single" w:sz="4" w:space="0" w:color="auto"/>
              <w:right w:val="single" w:sz="4" w:space="0" w:color="auto"/>
            </w:tcBorders>
            <w:shd w:val="clear" w:color="000000" w:fill="C6D9F1"/>
            <w:vAlign w:val="center"/>
            <w:hideMark/>
          </w:tcPr>
          <w:p w:rsidR="00C772C9" w:rsidRPr="00B45B4F" w:rsidRDefault="00C772C9"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3.1</w:t>
            </w:r>
          </w:p>
        </w:tc>
        <w:tc>
          <w:tcPr>
            <w:tcW w:w="990" w:type="dxa"/>
            <w:tcBorders>
              <w:top w:val="nil"/>
              <w:left w:val="nil"/>
              <w:bottom w:val="single" w:sz="4" w:space="0" w:color="auto"/>
              <w:right w:val="single" w:sz="4" w:space="0" w:color="auto"/>
            </w:tcBorders>
            <w:shd w:val="clear" w:color="000000" w:fill="C6D9F1"/>
            <w:vAlign w:val="center"/>
            <w:hideMark/>
          </w:tcPr>
          <w:p w:rsidR="00C772C9" w:rsidRPr="00B45B4F" w:rsidRDefault="00C772C9"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3.2</w:t>
            </w:r>
          </w:p>
        </w:tc>
      </w:tr>
      <w:tr w:rsidR="00C772C9" w:rsidRPr="00B45B4F" w:rsidTr="00F629E3">
        <w:trPr>
          <w:trHeight w:val="330"/>
        </w:trPr>
        <w:tc>
          <w:tcPr>
            <w:tcW w:w="2250" w:type="dxa"/>
            <w:vMerge w:val="restart"/>
            <w:tcBorders>
              <w:top w:val="nil"/>
              <w:left w:val="single" w:sz="4" w:space="0" w:color="auto"/>
              <w:bottom w:val="single" w:sz="4" w:space="0" w:color="auto"/>
              <w:right w:val="single" w:sz="4" w:space="0" w:color="auto"/>
            </w:tcBorders>
            <w:shd w:val="clear" w:color="auto" w:fill="548DD4" w:themeFill="text2" w:themeFillTint="99"/>
            <w:vAlign w:val="center"/>
            <w:hideMark/>
          </w:tcPr>
          <w:p w:rsidR="00C772C9" w:rsidRPr="00B45B4F" w:rsidRDefault="00C772C9" w:rsidP="002E0D02">
            <w:pPr>
              <w:spacing w:after="0" w:line="240" w:lineRule="auto"/>
              <w:ind w:left="-108" w:right="-108"/>
              <w:jc w:val="center"/>
              <w:rPr>
                <w:rFonts w:ascii="Verdana" w:eastAsia="Times New Roman" w:hAnsi="Verdana"/>
                <w:bCs/>
                <w:color w:val="FFFFFF"/>
                <w:sz w:val="18"/>
                <w:szCs w:val="18"/>
                <w:lang w:val="bg-BG"/>
              </w:rPr>
            </w:pPr>
            <w:r w:rsidRPr="00B45B4F">
              <w:rPr>
                <w:rFonts w:ascii="Verdana" w:eastAsia="Times New Roman" w:hAnsi="Verdana"/>
                <w:bCs/>
                <w:color w:val="FFFFFF"/>
                <w:sz w:val="18"/>
                <w:szCs w:val="18"/>
                <w:lang w:val="bg-BG"/>
              </w:rPr>
              <w:t>ПО 1:</w:t>
            </w:r>
            <w:r w:rsidRPr="00B45B4F">
              <w:rPr>
                <w:rFonts w:ascii="Verdana" w:eastAsia="Times New Roman" w:hAnsi="Verdana"/>
                <w:color w:val="FFFFFF"/>
                <w:sz w:val="18"/>
                <w:szCs w:val="18"/>
                <w:lang w:val="bg-BG"/>
              </w:rPr>
              <w:t xml:space="preserve"> Устойчиво и интегрирано градско развитие</w:t>
            </w:r>
          </w:p>
        </w:tc>
        <w:tc>
          <w:tcPr>
            <w:tcW w:w="1260" w:type="dxa"/>
            <w:tcBorders>
              <w:top w:val="nil"/>
              <w:left w:val="nil"/>
              <w:bottom w:val="single" w:sz="4" w:space="0" w:color="auto"/>
              <w:right w:val="single" w:sz="4" w:space="0" w:color="auto"/>
            </w:tcBorders>
            <w:shd w:val="clear" w:color="000000" w:fill="C6D9F1"/>
            <w:vAlign w:val="center"/>
            <w:hideMark/>
          </w:tcPr>
          <w:p w:rsidR="00C772C9" w:rsidRPr="00B45B4F" w:rsidRDefault="00C772C9"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1.1</w:t>
            </w:r>
          </w:p>
        </w:tc>
        <w:tc>
          <w:tcPr>
            <w:tcW w:w="81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c>
          <w:tcPr>
            <w:tcW w:w="81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c>
          <w:tcPr>
            <w:tcW w:w="72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c>
          <w:tcPr>
            <w:tcW w:w="63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c>
          <w:tcPr>
            <w:tcW w:w="63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c>
          <w:tcPr>
            <w:tcW w:w="99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c>
          <w:tcPr>
            <w:tcW w:w="99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r>
      <w:tr w:rsidR="00C772C9" w:rsidRPr="00B45B4F" w:rsidTr="00F629E3">
        <w:trPr>
          <w:trHeight w:val="330"/>
        </w:trPr>
        <w:tc>
          <w:tcPr>
            <w:tcW w:w="2250" w:type="dxa"/>
            <w:vMerge/>
            <w:tcBorders>
              <w:top w:val="nil"/>
              <w:left w:val="single" w:sz="4" w:space="0" w:color="auto"/>
              <w:bottom w:val="single" w:sz="4" w:space="0" w:color="auto"/>
              <w:right w:val="single" w:sz="4" w:space="0" w:color="auto"/>
            </w:tcBorders>
            <w:shd w:val="clear" w:color="auto" w:fill="548DD4" w:themeFill="text2" w:themeFillTint="99"/>
            <w:vAlign w:val="center"/>
            <w:hideMark/>
          </w:tcPr>
          <w:p w:rsidR="00C772C9" w:rsidRPr="00B45B4F" w:rsidRDefault="00C772C9" w:rsidP="002E0D02">
            <w:pPr>
              <w:spacing w:after="0" w:line="240" w:lineRule="auto"/>
              <w:ind w:left="-108" w:right="-108"/>
              <w:jc w:val="center"/>
              <w:rPr>
                <w:rFonts w:ascii="Verdana" w:eastAsia="Times New Roman" w:hAnsi="Verdana"/>
                <w:bCs/>
                <w:color w:val="FFFFFF"/>
                <w:sz w:val="18"/>
                <w:szCs w:val="18"/>
                <w:lang w:val="bg-BG"/>
              </w:rPr>
            </w:pPr>
          </w:p>
        </w:tc>
        <w:tc>
          <w:tcPr>
            <w:tcW w:w="1260" w:type="dxa"/>
            <w:tcBorders>
              <w:top w:val="nil"/>
              <w:left w:val="nil"/>
              <w:bottom w:val="single" w:sz="4" w:space="0" w:color="auto"/>
              <w:right w:val="single" w:sz="4" w:space="0" w:color="auto"/>
            </w:tcBorders>
            <w:shd w:val="clear" w:color="000000" w:fill="C6D9F1"/>
            <w:vAlign w:val="center"/>
            <w:hideMark/>
          </w:tcPr>
          <w:p w:rsidR="00C772C9" w:rsidRPr="00B45B4F" w:rsidRDefault="00C772C9"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1.2</w:t>
            </w:r>
          </w:p>
        </w:tc>
        <w:tc>
          <w:tcPr>
            <w:tcW w:w="81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c>
          <w:tcPr>
            <w:tcW w:w="81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c>
          <w:tcPr>
            <w:tcW w:w="72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c>
          <w:tcPr>
            <w:tcW w:w="63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c>
          <w:tcPr>
            <w:tcW w:w="63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c>
          <w:tcPr>
            <w:tcW w:w="99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c>
          <w:tcPr>
            <w:tcW w:w="99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r>
      <w:tr w:rsidR="00C757F1" w:rsidRPr="00B45B4F" w:rsidTr="00F629E3">
        <w:trPr>
          <w:trHeight w:val="330"/>
        </w:trPr>
        <w:tc>
          <w:tcPr>
            <w:tcW w:w="2250" w:type="dxa"/>
            <w:vMerge/>
            <w:tcBorders>
              <w:top w:val="nil"/>
              <w:left w:val="single" w:sz="4" w:space="0" w:color="auto"/>
              <w:bottom w:val="single" w:sz="4" w:space="0" w:color="auto"/>
              <w:right w:val="single" w:sz="4" w:space="0" w:color="auto"/>
            </w:tcBorders>
            <w:shd w:val="clear" w:color="auto" w:fill="548DD4" w:themeFill="text2" w:themeFillTint="99"/>
            <w:vAlign w:val="center"/>
            <w:hideMark/>
          </w:tcPr>
          <w:p w:rsidR="00C757F1" w:rsidRPr="00B45B4F" w:rsidRDefault="00C757F1" w:rsidP="002E0D02">
            <w:pPr>
              <w:spacing w:after="0" w:line="240" w:lineRule="auto"/>
              <w:ind w:left="-108" w:right="-108"/>
              <w:jc w:val="center"/>
              <w:rPr>
                <w:rFonts w:ascii="Verdana" w:eastAsia="Times New Roman" w:hAnsi="Verdana"/>
                <w:bCs/>
                <w:color w:val="FFFFFF"/>
                <w:sz w:val="18"/>
                <w:szCs w:val="18"/>
                <w:lang w:val="bg-BG"/>
              </w:rPr>
            </w:pPr>
          </w:p>
        </w:tc>
        <w:tc>
          <w:tcPr>
            <w:tcW w:w="1260" w:type="dxa"/>
            <w:tcBorders>
              <w:top w:val="nil"/>
              <w:left w:val="nil"/>
              <w:bottom w:val="single" w:sz="4" w:space="0" w:color="auto"/>
              <w:right w:val="single" w:sz="4" w:space="0" w:color="auto"/>
            </w:tcBorders>
            <w:shd w:val="clear" w:color="000000" w:fill="C6D9F1"/>
            <w:vAlign w:val="center"/>
            <w:hideMark/>
          </w:tcPr>
          <w:p w:rsidR="00C757F1" w:rsidRPr="00B45B4F" w:rsidRDefault="00C757F1"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1.3</w:t>
            </w:r>
          </w:p>
        </w:tc>
        <w:tc>
          <w:tcPr>
            <w:tcW w:w="810" w:type="dxa"/>
            <w:tcBorders>
              <w:top w:val="nil"/>
              <w:left w:val="nil"/>
              <w:bottom w:val="single" w:sz="4" w:space="0" w:color="auto"/>
              <w:right w:val="single" w:sz="4" w:space="0" w:color="auto"/>
            </w:tcBorders>
            <w:shd w:val="clear" w:color="auto" w:fill="auto"/>
            <w:vAlign w:val="center"/>
            <w:hideMark/>
          </w:tcPr>
          <w:p w:rsidR="00C757F1" w:rsidRPr="00B45B4F" w:rsidRDefault="00C757F1" w:rsidP="00C757F1">
            <w:pPr>
              <w:spacing w:after="0" w:line="240" w:lineRule="auto"/>
              <w:jc w:val="center"/>
              <w:rPr>
                <w:rFonts w:ascii="Wingdings 2" w:eastAsia="Times New Roman" w:hAnsi="Wingdings 2"/>
                <w:color w:val="0070C0"/>
                <w:sz w:val="18"/>
                <w:szCs w:val="18"/>
                <w:lang w:val="bg-BG"/>
              </w:rPr>
            </w:pPr>
            <w:r w:rsidRPr="00B45B4F">
              <w:rPr>
                <w:rFonts w:ascii="Wingdings 2" w:eastAsia="Times New Roman" w:hAnsi="Wingdings 2"/>
                <w:color w:val="0070C0"/>
                <w:sz w:val="26"/>
                <w:szCs w:val="26"/>
                <w:lang w:val="bg-BG"/>
              </w:rPr>
              <w:t></w:t>
            </w:r>
          </w:p>
        </w:tc>
        <w:tc>
          <w:tcPr>
            <w:tcW w:w="810" w:type="dxa"/>
            <w:tcBorders>
              <w:top w:val="nil"/>
              <w:left w:val="nil"/>
              <w:bottom w:val="single" w:sz="4" w:space="0" w:color="auto"/>
              <w:right w:val="single" w:sz="4" w:space="0" w:color="auto"/>
            </w:tcBorders>
            <w:shd w:val="clear" w:color="auto" w:fill="auto"/>
            <w:vAlign w:val="center"/>
            <w:hideMark/>
          </w:tcPr>
          <w:p w:rsidR="00C757F1" w:rsidRPr="00B45B4F" w:rsidRDefault="00C757F1" w:rsidP="00C757F1">
            <w:pPr>
              <w:spacing w:after="0" w:line="240" w:lineRule="auto"/>
              <w:jc w:val="center"/>
              <w:rPr>
                <w:rFonts w:ascii="Wingdings 2" w:eastAsia="Times New Roman" w:hAnsi="Wingdings 2"/>
                <w:color w:val="0070C0"/>
                <w:sz w:val="18"/>
                <w:szCs w:val="18"/>
                <w:lang w:val="bg-BG"/>
              </w:rPr>
            </w:pPr>
          </w:p>
        </w:tc>
        <w:tc>
          <w:tcPr>
            <w:tcW w:w="720" w:type="dxa"/>
            <w:tcBorders>
              <w:top w:val="nil"/>
              <w:left w:val="nil"/>
              <w:bottom w:val="single" w:sz="4" w:space="0" w:color="auto"/>
              <w:right w:val="single" w:sz="4" w:space="0" w:color="auto"/>
            </w:tcBorders>
            <w:shd w:val="clear" w:color="auto" w:fill="auto"/>
            <w:vAlign w:val="center"/>
            <w:hideMark/>
          </w:tcPr>
          <w:p w:rsidR="00C757F1" w:rsidRPr="00B45B4F" w:rsidRDefault="00C757F1" w:rsidP="00C757F1">
            <w:pPr>
              <w:spacing w:after="0" w:line="240" w:lineRule="auto"/>
              <w:ind w:left="-108" w:right="-108"/>
              <w:jc w:val="center"/>
              <w:rPr>
                <w:rFonts w:ascii="Wingdings 2" w:eastAsia="Times New Roman" w:hAnsi="Wingdings 2"/>
                <w:color w:val="0070C0"/>
                <w:sz w:val="18"/>
                <w:szCs w:val="18"/>
                <w:lang w:val="bg-BG"/>
              </w:rPr>
            </w:pPr>
            <w:r w:rsidRPr="00B45B4F">
              <w:rPr>
                <w:rFonts w:ascii="Wingdings 2" w:eastAsia="Times New Roman" w:hAnsi="Wingdings 2"/>
                <w:color w:val="0070C0"/>
                <w:sz w:val="26"/>
                <w:szCs w:val="26"/>
                <w:lang w:val="bg-BG"/>
              </w:rPr>
              <w:t></w:t>
            </w:r>
            <w:r w:rsidRPr="00B45B4F">
              <w:rPr>
                <w:rFonts w:ascii="Wingdings 2" w:eastAsia="Times New Roman" w:hAnsi="Wingdings 2"/>
                <w:color w:val="0070C0"/>
                <w:sz w:val="26"/>
                <w:szCs w:val="26"/>
                <w:lang w:val="bg-BG"/>
              </w:rPr>
              <w:t></w:t>
            </w:r>
            <w:r w:rsidRPr="00B45B4F">
              <w:rPr>
                <w:rFonts w:ascii="Wingdings 2" w:eastAsia="Times New Roman" w:hAnsi="Wingdings 2"/>
                <w:color w:val="0070C0"/>
                <w:sz w:val="26"/>
                <w:szCs w:val="26"/>
                <w:lang w:val="bg-BG"/>
              </w:rPr>
              <w:t></w:t>
            </w:r>
          </w:p>
        </w:tc>
        <w:tc>
          <w:tcPr>
            <w:tcW w:w="630" w:type="dxa"/>
            <w:tcBorders>
              <w:top w:val="nil"/>
              <w:left w:val="nil"/>
              <w:bottom w:val="single" w:sz="4" w:space="0" w:color="auto"/>
              <w:right w:val="single" w:sz="4" w:space="0" w:color="auto"/>
            </w:tcBorders>
            <w:shd w:val="clear" w:color="auto" w:fill="auto"/>
            <w:vAlign w:val="center"/>
            <w:hideMark/>
          </w:tcPr>
          <w:p w:rsidR="00C757F1" w:rsidRPr="00B45B4F" w:rsidRDefault="00C757F1" w:rsidP="00C757F1">
            <w:pPr>
              <w:spacing w:after="0"/>
              <w:jc w:val="center"/>
              <w:rPr>
                <w:lang w:val="bg-BG"/>
              </w:rPr>
            </w:pPr>
            <w:r w:rsidRPr="00B45B4F">
              <w:rPr>
                <w:rFonts w:ascii="Wingdings 2" w:eastAsia="Times New Roman" w:hAnsi="Wingdings 2"/>
                <w:color w:val="0070C0"/>
                <w:sz w:val="26"/>
                <w:szCs w:val="26"/>
                <w:lang w:val="bg-BG"/>
              </w:rPr>
              <w:t></w:t>
            </w:r>
          </w:p>
        </w:tc>
        <w:tc>
          <w:tcPr>
            <w:tcW w:w="630" w:type="dxa"/>
            <w:tcBorders>
              <w:top w:val="nil"/>
              <w:left w:val="nil"/>
              <w:bottom w:val="single" w:sz="4" w:space="0" w:color="auto"/>
              <w:right w:val="single" w:sz="4" w:space="0" w:color="auto"/>
            </w:tcBorders>
            <w:shd w:val="clear" w:color="auto" w:fill="auto"/>
            <w:vAlign w:val="center"/>
            <w:hideMark/>
          </w:tcPr>
          <w:p w:rsidR="00C757F1" w:rsidRPr="00B45B4F" w:rsidRDefault="00C757F1" w:rsidP="00C757F1">
            <w:pPr>
              <w:spacing w:after="0"/>
              <w:jc w:val="center"/>
              <w:rPr>
                <w:lang w:val="bg-BG"/>
              </w:rPr>
            </w:pPr>
            <w:r w:rsidRPr="00B45B4F">
              <w:rPr>
                <w:rFonts w:ascii="Wingdings 2" w:eastAsia="Times New Roman" w:hAnsi="Wingdings 2"/>
                <w:color w:val="0070C0"/>
                <w:sz w:val="26"/>
                <w:szCs w:val="26"/>
                <w:lang w:val="bg-BG"/>
              </w:rPr>
              <w:t></w:t>
            </w:r>
          </w:p>
        </w:tc>
        <w:tc>
          <w:tcPr>
            <w:tcW w:w="990" w:type="dxa"/>
            <w:tcBorders>
              <w:top w:val="nil"/>
              <w:left w:val="nil"/>
              <w:bottom w:val="single" w:sz="4" w:space="0" w:color="auto"/>
              <w:right w:val="single" w:sz="4" w:space="0" w:color="auto"/>
            </w:tcBorders>
            <w:shd w:val="clear" w:color="auto" w:fill="auto"/>
            <w:vAlign w:val="center"/>
            <w:hideMark/>
          </w:tcPr>
          <w:p w:rsidR="00C757F1" w:rsidRPr="00B45B4F" w:rsidRDefault="00C757F1" w:rsidP="006F74A8">
            <w:pPr>
              <w:spacing w:after="0" w:line="240" w:lineRule="auto"/>
              <w:jc w:val="center"/>
              <w:rPr>
                <w:rFonts w:ascii="Wingdings 2" w:eastAsia="Times New Roman" w:hAnsi="Wingdings 2"/>
                <w:color w:val="0070C0"/>
                <w:sz w:val="18"/>
                <w:szCs w:val="18"/>
                <w:lang w:val="bg-BG"/>
              </w:rPr>
            </w:pPr>
          </w:p>
        </w:tc>
        <w:tc>
          <w:tcPr>
            <w:tcW w:w="990" w:type="dxa"/>
            <w:tcBorders>
              <w:top w:val="nil"/>
              <w:left w:val="nil"/>
              <w:bottom w:val="single" w:sz="4" w:space="0" w:color="auto"/>
              <w:right w:val="single" w:sz="4" w:space="0" w:color="auto"/>
            </w:tcBorders>
            <w:shd w:val="clear" w:color="auto" w:fill="auto"/>
            <w:vAlign w:val="center"/>
            <w:hideMark/>
          </w:tcPr>
          <w:p w:rsidR="00C757F1" w:rsidRPr="00B45B4F" w:rsidRDefault="00C757F1" w:rsidP="006F74A8">
            <w:pPr>
              <w:spacing w:after="0" w:line="240" w:lineRule="auto"/>
              <w:jc w:val="center"/>
              <w:rPr>
                <w:rFonts w:ascii="Wingdings 2" w:eastAsia="Times New Roman" w:hAnsi="Wingdings 2"/>
                <w:color w:val="0070C0"/>
                <w:sz w:val="18"/>
                <w:szCs w:val="18"/>
                <w:lang w:val="bg-BG"/>
              </w:rPr>
            </w:pPr>
          </w:p>
        </w:tc>
      </w:tr>
      <w:tr w:rsidR="00C772C9" w:rsidRPr="00B45B4F" w:rsidTr="00F629E3">
        <w:trPr>
          <w:trHeight w:val="330"/>
        </w:trPr>
        <w:tc>
          <w:tcPr>
            <w:tcW w:w="2250" w:type="dxa"/>
            <w:vMerge/>
            <w:tcBorders>
              <w:top w:val="nil"/>
              <w:left w:val="single" w:sz="4" w:space="0" w:color="auto"/>
              <w:bottom w:val="single" w:sz="4" w:space="0" w:color="auto"/>
              <w:right w:val="single" w:sz="4" w:space="0" w:color="auto"/>
            </w:tcBorders>
            <w:shd w:val="clear" w:color="auto" w:fill="548DD4" w:themeFill="text2" w:themeFillTint="99"/>
            <w:vAlign w:val="center"/>
            <w:hideMark/>
          </w:tcPr>
          <w:p w:rsidR="00C772C9" w:rsidRPr="00B45B4F" w:rsidRDefault="00C772C9" w:rsidP="002E0D02">
            <w:pPr>
              <w:spacing w:after="0" w:line="240" w:lineRule="auto"/>
              <w:ind w:left="-108" w:right="-108"/>
              <w:jc w:val="center"/>
              <w:rPr>
                <w:rFonts w:ascii="Verdana" w:eastAsia="Times New Roman" w:hAnsi="Verdana"/>
                <w:bCs/>
                <w:color w:val="FFFFFF"/>
                <w:sz w:val="18"/>
                <w:szCs w:val="18"/>
                <w:lang w:val="bg-BG"/>
              </w:rPr>
            </w:pPr>
          </w:p>
        </w:tc>
        <w:tc>
          <w:tcPr>
            <w:tcW w:w="1260" w:type="dxa"/>
            <w:tcBorders>
              <w:top w:val="nil"/>
              <w:left w:val="nil"/>
              <w:bottom w:val="single" w:sz="4" w:space="0" w:color="auto"/>
              <w:right w:val="single" w:sz="4" w:space="0" w:color="auto"/>
            </w:tcBorders>
            <w:shd w:val="clear" w:color="000000" w:fill="C6D9F1"/>
            <w:vAlign w:val="center"/>
            <w:hideMark/>
          </w:tcPr>
          <w:p w:rsidR="00C772C9" w:rsidRPr="00B45B4F" w:rsidRDefault="00C772C9"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1.4</w:t>
            </w:r>
          </w:p>
        </w:tc>
        <w:tc>
          <w:tcPr>
            <w:tcW w:w="81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C757F1">
            <w:pPr>
              <w:spacing w:after="0" w:line="240" w:lineRule="auto"/>
              <w:jc w:val="center"/>
              <w:rPr>
                <w:rFonts w:ascii="Wingdings 2" w:eastAsia="Times New Roman" w:hAnsi="Wingdings 2"/>
                <w:color w:val="0070C0"/>
                <w:sz w:val="18"/>
                <w:szCs w:val="18"/>
                <w:lang w:val="bg-BG"/>
              </w:rPr>
            </w:pPr>
          </w:p>
        </w:tc>
        <w:tc>
          <w:tcPr>
            <w:tcW w:w="81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C757F1">
            <w:pPr>
              <w:spacing w:after="0" w:line="240" w:lineRule="auto"/>
              <w:jc w:val="center"/>
              <w:rPr>
                <w:rFonts w:ascii="Wingdings 2" w:eastAsia="Times New Roman" w:hAnsi="Wingdings 2"/>
                <w:color w:val="0070C0"/>
                <w:sz w:val="18"/>
                <w:szCs w:val="18"/>
                <w:lang w:val="bg-BG"/>
              </w:rPr>
            </w:pPr>
          </w:p>
        </w:tc>
        <w:tc>
          <w:tcPr>
            <w:tcW w:w="72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C757F1">
            <w:pPr>
              <w:spacing w:after="0" w:line="240" w:lineRule="auto"/>
              <w:ind w:left="-108" w:right="-108"/>
              <w:jc w:val="center"/>
              <w:rPr>
                <w:rFonts w:ascii="Wingdings 2" w:eastAsia="Times New Roman" w:hAnsi="Wingdings 2"/>
                <w:color w:val="0070C0"/>
                <w:sz w:val="18"/>
                <w:szCs w:val="18"/>
                <w:lang w:val="bg-BG"/>
              </w:rPr>
            </w:pPr>
          </w:p>
        </w:tc>
        <w:tc>
          <w:tcPr>
            <w:tcW w:w="63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C757F1">
            <w:pPr>
              <w:spacing w:after="0" w:line="240" w:lineRule="auto"/>
              <w:jc w:val="center"/>
              <w:rPr>
                <w:rFonts w:ascii="Wingdings 2" w:eastAsia="Times New Roman" w:hAnsi="Wingdings 2"/>
                <w:color w:val="0070C0"/>
                <w:sz w:val="18"/>
                <w:szCs w:val="18"/>
                <w:lang w:val="bg-BG"/>
              </w:rPr>
            </w:pPr>
          </w:p>
        </w:tc>
        <w:tc>
          <w:tcPr>
            <w:tcW w:w="63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C757F1">
            <w:pPr>
              <w:spacing w:after="0" w:line="240" w:lineRule="auto"/>
              <w:jc w:val="center"/>
              <w:rPr>
                <w:rFonts w:ascii="Wingdings 2" w:eastAsia="Times New Roman" w:hAnsi="Wingdings 2"/>
                <w:color w:val="0070C0"/>
                <w:sz w:val="18"/>
                <w:szCs w:val="18"/>
                <w:lang w:val="bg-BG"/>
              </w:rPr>
            </w:pPr>
          </w:p>
        </w:tc>
        <w:tc>
          <w:tcPr>
            <w:tcW w:w="99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c>
          <w:tcPr>
            <w:tcW w:w="99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r>
      <w:tr w:rsidR="00C772C9" w:rsidRPr="00B45B4F" w:rsidTr="00F629E3">
        <w:trPr>
          <w:trHeight w:val="323"/>
        </w:trPr>
        <w:tc>
          <w:tcPr>
            <w:tcW w:w="2250" w:type="dxa"/>
            <w:vMerge/>
            <w:tcBorders>
              <w:top w:val="nil"/>
              <w:left w:val="single" w:sz="4" w:space="0" w:color="auto"/>
              <w:bottom w:val="single" w:sz="4" w:space="0" w:color="auto"/>
              <w:right w:val="single" w:sz="4" w:space="0" w:color="auto"/>
            </w:tcBorders>
            <w:shd w:val="clear" w:color="auto" w:fill="548DD4" w:themeFill="text2" w:themeFillTint="99"/>
            <w:vAlign w:val="center"/>
            <w:hideMark/>
          </w:tcPr>
          <w:p w:rsidR="00C772C9" w:rsidRPr="00B45B4F" w:rsidRDefault="00C772C9" w:rsidP="002E0D02">
            <w:pPr>
              <w:spacing w:after="0" w:line="240" w:lineRule="auto"/>
              <w:ind w:left="-108" w:right="-108"/>
              <w:jc w:val="center"/>
              <w:rPr>
                <w:rFonts w:ascii="Verdana" w:eastAsia="Times New Roman" w:hAnsi="Verdana"/>
                <w:bCs/>
                <w:color w:val="FFFFFF"/>
                <w:sz w:val="18"/>
                <w:szCs w:val="18"/>
                <w:lang w:val="bg-BG"/>
              </w:rPr>
            </w:pPr>
          </w:p>
        </w:tc>
        <w:tc>
          <w:tcPr>
            <w:tcW w:w="1260" w:type="dxa"/>
            <w:tcBorders>
              <w:top w:val="nil"/>
              <w:left w:val="nil"/>
              <w:bottom w:val="single" w:sz="4" w:space="0" w:color="auto"/>
              <w:right w:val="single" w:sz="4" w:space="0" w:color="auto"/>
            </w:tcBorders>
            <w:shd w:val="clear" w:color="000000" w:fill="C6D9F1"/>
            <w:vAlign w:val="center"/>
            <w:hideMark/>
          </w:tcPr>
          <w:p w:rsidR="00C772C9" w:rsidRPr="00B45B4F" w:rsidRDefault="00C772C9"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1.5</w:t>
            </w:r>
          </w:p>
        </w:tc>
        <w:tc>
          <w:tcPr>
            <w:tcW w:w="81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C757F1">
            <w:pPr>
              <w:spacing w:after="0" w:line="240" w:lineRule="auto"/>
              <w:jc w:val="center"/>
              <w:rPr>
                <w:rFonts w:ascii="Wingdings 2" w:eastAsia="Times New Roman" w:hAnsi="Wingdings 2"/>
                <w:color w:val="0070C0"/>
                <w:sz w:val="18"/>
                <w:szCs w:val="18"/>
                <w:lang w:val="bg-BG"/>
              </w:rPr>
            </w:pPr>
          </w:p>
        </w:tc>
        <w:tc>
          <w:tcPr>
            <w:tcW w:w="81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C757F1">
            <w:pPr>
              <w:spacing w:after="0" w:line="240" w:lineRule="auto"/>
              <w:jc w:val="center"/>
              <w:rPr>
                <w:rFonts w:ascii="Wingdings 2" w:eastAsia="Times New Roman" w:hAnsi="Wingdings 2"/>
                <w:color w:val="0070C0"/>
                <w:sz w:val="18"/>
                <w:szCs w:val="18"/>
                <w:lang w:val="bg-BG"/>
              </w:rPr>
            </w:pPr>
          </w:p>
        </w:tc>
        <w:tc>
          <w:tcPr>
            <w:tcW w:w="72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C757F1">
            <w:pPr>
              <w:spacing w:after="0" w:line="240" w:lineRule="auto"/>
              <w:ind w:left="-108" w:right="-108"/>
              <w:jc w:val="center"/>
              <w:rPr>
                <w:rFonts w:ascii="Wingdings 2" w:eastAsia="Times New Roman" w:hAnsi="Wingdings 2"/>
                <w:color w:val="0070C0"/>
                <w:sz w:val="18"/>
                <w:szCs w:val="18"/>
                <w:lang w:val="bg-BG"/>
              </w:rPr>
            </w:pPr>
          </w:p>
        </w:tc>
        <w:tc>
          <w:tcPr>
            <w:tcW w:w="63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C757F1">
            <w:pPr>
              <w:spacing w:after="0" w:line="240" w:lineRule="auto"/>
              <w:jc w:val="center"/>
              <w:rPr>
                <w:rFonts w:ascii="Wingdings 2" w:eastAsia="Times New Roman" w:hAnsi="Wingdings 2"/>
                <w:color w:val="0070C0"/>
                <w:sz w:val="18"/>
                <w:szCs w:val="18"/>
                <w:lang w:val="bg-BG"/>
              </w:rPr>
            </w:pPr>
          </w:p>
        </w:tc>
        <w:tc>
          <w:tcPr>
            <w:tcW w:w="63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C757F1">
            <w:pPr>
              <w:spacing w:after="0" w:line="240" w:lineRule="auto"/>
              <w:jc w:val="center"/>
              <w:rPr>
                <w:rFonts w:ascii="Wingdings 2" w:eastAsia="Times New Roman" w:hAnsi="Wingdings 2"/>
                <w:color w:val="0070C0"/>
                <w:sz w:val="18"/>
                <w:szCs w:val="18"/>
                <w:lang w:val="bg-BG"/>
              </w:rPr>
            </w:pPr>
          </w:p>
        </w:tc>
        <w:tc>
          <w:tcPr>
            <w:tcW w:w="99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c>
          <w:tcPr>
            <w:tcW w:w="99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r>
      <w:tr w:rsidR="00C757F1" w:rsidRPr="00B45B4F" w:rsidTr="00F629E3">
        <w:trPr>
          <w:trHeight w:val="539"/>
        </w:trPr>
        <w:tc>
          <w:tcPr>
            <w:tcW w:w="2250" w:type="dxa"/>
            <w:tcBorders>
              <w:top w:val="nil"/>
              <w:left w:val="single" w:sz="4" w:space="0" w:color="auto"/>
              <w:bottom w:val="single" w:sz="4" w:space="0" w:color="auto"/>
              <w:right w:val="single" w:sz="4" w:space="0" w:color="auto"/>
            </w:tcBorders>
            <w:shd w:val="clear" w:color="auto" w:fill="548DD4" w:themeFill="text2" w:themeFillTint="99"/>
            <w:vAlign w:val="center"/>
            <w:hideMark/>
          </w:tcPr>
          <w:p w:rsidR="00C757F1" w:rsidRPr="00B45B4F" w:rsidRDefault="00C757F1" w:rsidP="002E0D02">
            <w:pPr>
              <w:spacing w:after="0" w:line="240" w:lineRule="auto"/>
              <w:ind w:left="-108" w:right="-108"/>
              <w:jc w:val="center"/>
              <w:rPr>
                <w:rFonts w:ascii="Verdana" w:eastAsia="Times New Roman" w:hAnsi="Verdana"/>
                <w:color w:val="FFFFFF"/>
                <w:sz w:val="18"/>
                <w:szCs w:val="18"/>
                <w:lang w:val="bg-BG"/>
              </w:rPr>
            </w:pPr>
            <w:r w:rsidRPr="00B45B4F">
              <w:rPr>
                <w:rFonts w:ascii="Verdana" w:eastAsia="Times New Roman" w:hAnsi="Verdana"/>
                <w:bCs/>
                <w:color w:val="FFFFFF"/>
                <w:sz w:val="18"/>
                <w:szCs w:val="18"/>
                <w:lang w:val="bg-BG"/>
              </w:rPr>
              <w:t>ПО 2:</w:t>
            </w:r>
            <w:r w:rsidRPr="00B45B4F">
              <w:rPr>
                <w:rFonts w:ascii="Verdana" w:eastAsia="Times New Roman" w:hAnsi="Verdana"/>
                <w:color w:val="FFFFFF"/>
                <w:sz w:val="18"/>
                <w:szCs w:val="18"/>
                <w:lang w:val="bg-BG"/>
              </w:rPr>
              <w:t xml:space="preserve"> Регионална обр. инфраструктура</w:t>
            </w:r>
          </w:p>
        </w:tc>
        <w:tc>
          <w:tcPr>
            <w:tcW w:w="1260" w:type="dxa"/>
            <w:tcBorders>
              <w:top w:val="nil"/>
              <w:left w:val="nil"/>
              <w:bottom w:val="single" w:sz="4" w:space="0" w:color="auto"/>
              <w:right w:val="single" w:sz="4" w:space="0" w:color="auto"/>
            </w:tcBorders>
            <w:shd w:val="clear" w:color="000000" w:fill="C6D9F1"/>
            <w:vAlign w:val="center"/>
            <w:hideMark/>
          </w:tcPr>
          <w:p w:rsidR="00C757F1" w:rsidRPr="00B45B4F" w:rsidRDefault="00C757F1"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2.1</w:t>
            </w:r>
          </w:p>
        </w:tc>
        <w:tc>
          <w:tcPr>
            <w:tcW w:w="810" w:type="dxa"/>
            <w:tcBorders>
              <w:top w:val="nil"/>
              <w:left w:val="nil"/>
              <w:bottom w:val="single" w:sz="4" w:space="0" w:color="auto"/>
              <w:right w:val="single" w:sz="4" w:space="0" w:color="auto"/>
            </w:tcBorders>
            <w:shd w:val="clear" w:color="auto" w:fill="auto"/>
            <w:vAlign w:val="center"/>
            <w:hideMark/>
          </w:tcPr>
          <w:p w:rsidR="00C757F1" w:rsidRPr="00B45B4F" w:rsidRDefault="00C757F1" w:rsidP="00C757F1">
            <w:pPr>
              <w:spacing w:after="0" w:line="240" w:lineRule="auto"/>
              <w:jc w:val="center"/>
              <w:rPr>
                <w:rFonts w:ascii="Wingdings 2" w:eastAsia="Times New Roman" w:hAnsi="Wingdings 2"/>
                <w:color w:val="0070C0"/>
                <w:sz w:val="18"/>
                <w:szCs w:val="18"/>
                <w:lang w:val="bg-BG"/>
              </w:rPr>
            </w:pPr>
            <w:r w:rsidRPr="00B45B4F">
              <w:rPr>
                <w:rFonts w:ascii="Wingdings 2" w:eastAsia="Times New Roman" w:hAnsi="Wingdings 2"/>
                <w:color w:val="0070C0"/>
                <w:sz w:val="26"/>
                <w:szCs w:val="26"/>
                <w:lang w:val="bg-BG"/>
              </w:rPr>
              <w:t></w:t>
            </w:r>
          </w:p>
        </w:tc>
        <w:tc>
          <w:tcPr>
            <w:tcW w:w="810" w:type="dxa"/>
            <w:tcBorders>
              <w:top w:val="nil"/>
              <w:left w:val="nil"/>
              <w:bottom w:val="single" w:sz="4" w:space="0" w:color="auto"/>
              <w:right w:val="single" w:sz="4" w:space="0" w:color="auto"/>
            </w:tcBorders>
            <w:shd w:val="clear" w:color="auto" w:fill="auto"/>
            <w:vAlign w:val="center"/>
            <w:hideMark/>
          </w:tcPr>
          <w:p w:rsidR="00C757F1" w:rsidRPr="00B45B4F" w:rsidRDefault="00C757F1" w:rsidP="00C757F1">
            <w:pPr>
              <w:spacing w:after="0" w:line="240" w:lineRule="auto"/>
              <w:jc w:val="center"/>
              <w:rPr>
                <w:rFonts w:ascii="Wingdings 2" w:eastAsia="Times New Roman" w:hAnsi="Wingdings 2"/>
                <w:color w:val="0070C0"/>
                <w:sz w:val="18"/>
                <w:szCs w:val="18"/>
                <w:lang w:val="bg-BG"/>
              </w:rPr>
            </w:pPr>
          </w:p>
        </w:tc>
        <w:tc>
          <w:tcPr>
            <w:tcW w:w="720" w:type="dxa"/>
            <w:tcBorders>
              <w:top w:val="nil"/>
              <w:left w:val="nil"/>
              <w:bottom w:val="single" w:sz="4" w:space="0" w:color="auto"/>
              <w:right w:val="single" w:sz="4" w:space="0" w:color="auto"/>
            </w:tcBorders>
            <w:shd w:val="clear" w:color="auto" w:fill="auto"/>
            <w:vAlign w:val="center"/>
            <w:hideMark/>
          </w:tcPr>
          <w:p w:rsidR="00C757F1" w:rsidRPr="00B45B4F" w:rsidRDefault="00C757F1" w:rsidP="00C757F1">
            <w:pPr>
              <w:spacing w:after="0" w:line="240" w:lineRule="auto"/>
              <w:ind w:left="-108" w:right="-108"/>
              <w:jc w:val="center"/>
              <w:rPr>
                <w:rFonts w:ascii="Wingdings 2" w:eastAsia="Times New Roman" w:hAnsi="Wingdings 2"/>
                <w:color w:val="0070C0"/>
                <w:sz w:val="18"/>
                <w:szCs w:val="18"/>
                <w:lang w:val="bg-BG"/>
              </w:rPr>
            </w:pPr>
            <w:r w:rsidRPr="00B45B4F">
              <w:rPr>
                <w:rFonts w:ascii="Wingdings 2" w:eastAsia="Times New Roman" w:hAnsi="Wingdings 2"/>
                <w:color w:val="0070C0"/>
                <w:sz w:val="26"/>
                <w:szCs w:val="26"/>
                <w:lang w:val="bg-BG"/>
              </w:rPr>
              <w:t></w:t>
            </w:r>
            <w:r w:rsidRPr="00B45B4F">
              <w:rPr>
                <w:rFonts w:ascii="Wingdings 2" w:eastAsia="Times New Roman" w:hAnsi="Wingdings 2"/>
                <w:color w:val="0070C0"/>
                <w:sz w:val="26"/>
                <w:szCs w:val="26"/>
                <w:lang w:val="bg-BG"/>
              </w:rPr>
              <w:t></w:t>
            </w:r>
            <w:r w:rsidRPr="00B45B4F">
              <w:rPr>
                <w:rFonts w:ascii="Wingdings 2" w:eastAsia="Times New Roman" w:hAnsi="Wingdings 2"/>
                <w:color w:val="0070C0"/>
                <w:sz w:val="26"/>
                <w:szCs w:val="26"/>
                <w:lang w:val="bg-BG"/>
              </w:rPr>
              <w:t></w:t>
            </w:r>
          </w:p>
        </w:tc>
        <w:tc>
          <w:tcPr>
            <w:tcW w:w="630" w:type="dxa"/>
            <w:tcBorders>
              <w:top w:val="nil"/>
              <w:left w:val="nil"/>
              <w:bottom w:val="single" w:sz="4" w:space="0" w:color="auto"/>
              <w:right w:val="single" w:sz="4" w:space="0" w:color="auto"/>
            </w:tcBorders>
            <w:shd w:val="clear" w:color="auto" w:fill="auto"/>
            <w:vAlign w:val="center"/>
            <w:hideMark/>
          </w:tcPr>
          <w:p w:rsidR="00C757F1" w:rsidRPr="00B45B4F" w:rsidRDefault="00C757F1" w:rsidP="00C757F1">
            <w:pPr>
              <w:spacing w:after="0"/>
              <w:jc w:val="center"/>
              <w:rPr>
                <w:lang w:val="bg-BG"/>
              </w:rPr>
            </w:pPr>
            <w:r w:rsidRPr="00B45B4F">
              <w:rPr>
                <w:rFonts w:ascii="Wingdings 2" w:eastAsia="Times New Roman" w:hAnsi="Wingdings 2"/>
                <w:color w:val="0070C0"/>
                <w:sz w:val="26"/>
                <w:szCs w:val="26"/>
                <w:lang w:val="bg-BG"/>
              </w:rPr>
              <w:t></w:t>
            </w:r>
          </w:p>
        </w:tc>
        <w:tc>
          <w:tcPr>
            <w:tcW w:w="630" w:type="dxa"/>
            <w:tcBorders>
              <w:top w:val="nil"/>
              <w:left w:val="nil"/>
              <w:bottom w:val="single" w:sz="4" w:space="0" w:color="auto"/>
              <w:right w:val="single" w:sz="4" w:space="0" w:color="auto"/>
            </w:tcBorders>
            <w:shd w:val="clear" w:color="auto" w:fill="auto"/>
            <w:vAlign w:val="center"/>
            <w:hideMark/>
          </w:tcPr>
          <w:p w:rsidR="00C757F1" w:rsidRPr="00B45B4F" w:rsidRDefault="00C757F1" w:rsidP="00C757F1">
            <w:pPr>
              <w:spacing w:after="0"/>
              <w:jc w:val="center"/>
              <w:rPr>
                <w:lang w:val="bg-BG"/>
              </w:rPr>
            </w:pPr>
            <w:r w:rsidRPr="00B45B4F">
              <w:rPr>
                <w:rFonts w:ascii="Wingdings 2" w:eastAsia="Times New Roman" w:hAnsi="Wingdings 2"/>
                <w:color w:val="0070C0"/>
                <w:sz w:val="26"/>
                <w:szCs w:val="26"/>
                <w:lang w:val="bg-BG"/>
              </w:rPr>
              <w:t></w:t>
            </w:r>
          </w:p>
        </w:tc>
        <w:tc>
          <w:tcPr>
            <w:tcW w:w="990" w:type="dxa"/>
            <w:tcBorders>
              <w:top w:val="nil"/>
              <w:left w:val="nil"/>
              <w:bottom w:val="single" w:sz="4" w:space="0" w:color="auto"/>
              <w:right w:val="single" w:sz="4" w:space="0" w:color="auto"/>
            </w:tcBorders>
            <w:shd w:val="clear" w:color="auto" w:fill="auto"/>
            <w:vAlign w:val="center"/>
            <w:hideMark/>
          </w:tcPr>
          <w:p w:rsidR="00C757F1" w:rsidRPr="00B45B4F" w:rsidRDefault="00C757F1" w:rsidP="006F74A8">
            <w:pPr>
              <w:spacing w:after="0" w:line="240" w:lineRule="auto"/>
              <w:jc w:val="center"/>
              <w:rPr>
                <w:rFonts w:ascii="Wingdings 2" w:eastAsia="Times New Roman" w:hAnsi="Wingdings 2"/>
                <w:color w:val="0070C0"/>
                <w:sz w:val="18"/>
                <w:szCs w:val="18"/>
                <w:lang w:val="bg-BG"/>
              </w:rPr>
            </w:pPr>
          </w:p>
        </w:tc>
        <w:tc>
          <w:tcPr>
            <w:tcW w:w="990" w:type="dxa"/>
            <w:tcBorders>
              <w:top w:val="nil"/>
              <w:left w:val="nil"/>
              <w:bottom w:val="single" w:sz="4" w:space="0" w:color="auto"/>
              <w:right w:val="single" w:sz="4" w:space="0" w:color="auto"/>
            </w:tcBorders>
            <w:shd w:val="clear" w:color="auto" w:fill="auto"/>
            <w:vAlign w:val="center"/>
            <w:hideMark/>
          </w:tcPr>
          <w:p w:rsidR="00C757F1" w:rsidRPr="00B45B4F" w:rsidRDefault="00C757F1" w:rsidP="006F74A8">
            <w:pPr>
              <w:spacing w:after="0" w:line="240" w:lineRule="auto"/>
              <w:jc w:val="center"/>
              <w:rPr>
                <w:rFonts w:ascii="Wingdings 2" w:eastAsia="Times New Roman" w:hAnsi="Wingdings 2"/>
                <w:color w:val="0070C0"/>
                <w:sz w:val="18"/>
                <w:szCs w:val="18"/>
                <w:lang w:val="bg-BG"/>
              </w:rPr>
            </w:pPr>
          </w:p>
        </w:tc>
      </w:tr>
      <w:tr w:rsidR="00C772C9" w:rsidRPr="00B45B4F" w:rsidTr="00F629E3">
        <w:trPr>
          <w:trHeight w:val="539"/>
        </w:trPr>
        <w:tc>
          <w:tcPr>
            <w:tcW w:w="2250" w:type="dxa"/>
            <w:tcBorders>
              <w:top w:val="nil"/>
              <w:left w:val="single" w:sz="4" w:space="0" w:color="auto"/>
              <w:bottom w:val="single" w:sz="4" w:space="0" w:color="auto"/>
              <w:right w:val="single" w:sz="4" w:space="0" w:color="auto"/>
            </w:tcBorders>
            <w:shd w:val="clear" w:color="auto" w:fill="548DD4" w:themeFill="text2" w:themeFillTint="99"/>
            <w:vAlign w:val="center"/>
            <w:hideMark/>
          </w:tcPr>
          <w:p w:rsidR="00C772C9" w:rsidRPr="00B45B4F" w:rsidRDefault="00C772C9" w:rsidP="002E0D02">
            <w:pPr>
              <w:spacing w:after="0" w:line="240" w:lineRule="auto"/>
              <w:ind w:left="-108" w:right="-108"/>
              <w:jc w:val="center"/>
              <w:rPr>
                <w:rFonts w:ascii="Verdana" w:eastAsia="Times New Roman" w:hAnsi="Verdana"/>
                <w:color w:val="FFFFFF"/>
                <w:sz w:val="18"/>
                <w:szCs w:val="18"/>
                <w:lang w:val="bg-BG"/>
              </w:rPr>
            </w:pPr>
            <w:r w:rsidRPr="00B45B4F">
              <w:rPr>
                <w:rFonts w:ascii="Verdana" w:eastAsia="Times New Roman" w:hAnsi="Verdana"/>
                <w:bCs/>
                <w:color w:val="FFFFFF"/>
                <w:sz w:val="18"/>
                <w:szCs w:val="18"/>
                <w:lang w:val="bg-BG"/>
              </w:rPr>
              <w:t>ПО 3:</w:t>
            </w:r>
            <w:r w:rsidRPr="00B45B4F">
              <w:rPr>
                <w:rFonts w:ascii="Verdana" w:eastAsia="Times New Roman" w:hAnsi="Verdana"/>
                <w:color w:val="FFFFFF"/>
                <w:sz w:val="18"/>
                <w:szCs w:val="18"/>
                <w:lang w:val="bg-BG"/>
              </w:rPr>
              <w:t xml:space="preserve"> Регионална здравна инфраструктура</w:t>
            </w:r>
          </w:p>
        </w:tc>
        <w:tc>
          <w:tcPr>
            <w:tcW w:w="1260" w:type="dxa"/>
            <w:tcBorders>
              <w:top w:val="nil"/>
              <w:left w:val="nil"/>
              <w:bottom w:val="single" w:sz="4" w:space="0" w:color="auto"/>
              <w:right w:val="single" w:sz="4" w:space="0" w:color="auto"/>
            </w:tcBorders>
            <w:shd w:val="clear" w:color="000000" w:fill="C6D9F1"/>
            <w:vAlign w:val="center"/>
            <w:hideMark/>
          </w:tcPr>
          <w:p w:rsidR="00C772C9" w:rsidRPr="00B45B4F" w:rsidRDefault="00C772C9"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3.1</w:t>
            </w:r>
          </w:p>
        </w:tc>
        <w:tc>
          <w:tcPr>
            <w:tcW w:w="81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c>
          <w:tcPr>
            <w:tcW w:w="81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c>
          <w:tcPr>
            <w:tcW w:w="72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c>
          <w:tcPr>
            <w:tcW w:w="63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c>
          <w:tcPr>
            <w:tcW w:w="63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c>
          <w:tcPr>
            <w:tcW w:w="99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c>
          <w:tcPr>
            <w:tcW w:w="99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r>
      <w:tr w:rsidR="00C772C9" w:rsidRPr="00B45B4F" w:rsidTr="00F629E3">
        <w:trPr>
          <w:trHeight w:val="521"/>
        </w:trPr>
        <w:tc>
          <w:tcPr>
            <w:tcW w:w="2250" w:type="dxa"/>
            <w:tcBorders>
              <w:top w:val="nil"/>
              <w:left w:val="single" w:sz="4" w:space="0" w:color="auto"/>
              <w:bottom w:val="single" w:sz="4" w:space="0" w:color="auto"/>
              <w:right w:val="single" w:sz="4" w:space="0" w:color="auto"/>
            </w:tcBorders>
            <w:shd w:val="clear" w:color="auto" w:fill="548DD4" w:themeFill="text2" w:themeFillTint="99"/>
            <w:vAlign w:val="center"/>
            <w:hideMark/>
          </w:tcPr>
          <w:p w:rsidR="00C772C9" w:rsidRPr="00B45B4F" w:rsidRDefault="00C772C9" w:rsidP="002E0D02">
            <w:pPr>
              <w:spacing w:after="0" w:line="240" w:lineRule="auto"/>
              <w:ind w:left="-108" w:right="-108"/>
              <w:jc w:val="center"/>
              <w:rPr>
                <w:rFonts w:ascii="Verdana" w:eastAsia="Times New Roman" w:hAnsi="Verdana"/>
                <w:color w:val="FFFFFF"/>
                <w:sz w:val="18"/>
                <w:szCs w:val="18"/>
                <w:lang w:val="bg-BG"/>
              </w:rPr>
            </w:pPr>
            <w:r w:rsidRPr="00B45B4F">
              <w:rPr>
                <w:rFonts w:ascii="Verdana" w:eastAsia="Times New Roman" w:hAnsi="Verdana"/>
                <w:bCs/>
                <w:color w:val="FFFFFF"/>
                <w:sz w:val="18"/>
                <w:szCs w:val="18"/>
                <w:lang w:val="bg-BG"/>
              </w:rPr>
              <w:t>ПО 4:</w:t>
            </w:r>
            <w:r w:rsidRPr="00B45B4F">
              <w:rPr>
                <w:rFonts w:ascii="Verdana" w:eastAsia="Times New Roman" w:hAnsi="Verdana"/>
                <w:color w:val="FFFFFF"/>
                <w:sz w:val="18"/>
                <w:szCs w:val="18"/>
                <w:lang w:val="bg-BG"/>
              </w:rPr>
              <w:t xml:space="preserve"> Регионална соц. инфраструктура</w:t>
            </w:r>
          </w:p>
        </w:tc>
        <w:tc>
          <w:tcPr>
            <w:tcW w:w="1260" w:type="dxa"/>
            <w:tcBorders>
              <w:top w:val="nil"/>
              <w:left w:val="nil"/>
              <w:bottom w:val="single" w:sz="4" w:space="0" w:color="auto"/>
              <w:right w:val="single" w:sz="4" w:space="0" w:color="auto"/>
            </w:tcBorders>
            <w:shd w:val="clear" w:color="000000" w:fill="C6D9F1"/>
            <w:vAlign w:val="center"/>
            <w:hideMark/>
          </w:tcPr>
          <w:p w:rsidR="00C772C9" w:rsidRPr="00B45B4F" w:rsidRDefault="00C772C9"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4.1</w:t>
            </w:r>
          </w:p>
        </w:tc>
        <w:tc>
          <w:tcPr>
            <w:tcW w:w="81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c>
          <w:tcPr>
            <w:tcW w:w="81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c>
          <w:tcPr>
            <w:tcW w:w="72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c>
          <w:tcPr>
            <w:tcW w:w="63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c>
          <w:tcPr>
            <w:tcW w:w="63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c>
          <w:tcPr>
            <w:tcW w:w="99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c>
          <w:tcPr>
            <w:tcW w:w="99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r>
      <w:tr w:rsidR="00C772C9" w:rsidRPr="00B45B4F" w:rsidTr="00F629E3">
        <w:trPr>
          <w:trHeight w:val="530"/>
        </w:trPr>
        <w:tc>
          <w:tcPr>
            <w:tcW w:w="2250" w:type="dxa"/>
            <w:tcBorders>
              <w:top w:val="nil"/>
              <w:left w:val="single" w:sz="4" w:space="0" w:color="auto"/>
              <w:bottom w:val="single" w:sz="4" w:space="0" w:color="auto"/>
              <w:right w:val="single" w:sz="4" w:space="0" w:color="auto"/>
            </w:tcBorders>
            <w:shd w:val="clear" w:color="auto" w:fill="548DD4" w:themeFill="text2" w:themeFillTint="99"/>
            <w:vAlign w:val="center"/>
            <w:hideMark/>
          </w:tcPr>
          <w:p w:rsidR="00C772C9" w:rsidRPr="00B45B4F" w:rsidRDefault="00C772C9" w:rsidP="002E0D02">
            <w:pPr>
              <w:spacing w:after="0" w:line="240" w:lineRule="auto"/>
              <w:ind w:left="-108" w:right="-108"/>
              <w:jc w:val="center"/>
              <w:rPr>
                <w:rFonts w:ascii="Verdana" w:eastAsia="Times New Roman" w:hAnsi="Verdana"/>
                <w:color w:val="FFFFFF"/>
                <w:sz w:val="18"/>
                <w:szCs w:val="18"/>
                <w:lang w:val="bg-BG"/>
              </w:rPr>
            </w:pPr>
            <w:r w:rsidRPr="00B45B4F">
              <w:rPr>
                <w:rFonts w:ascii="Verdana" w:eastAsia="Times New Roman" w:hAnsi="Verdana"/>
                <w:bCs/>
                <w:color w:val="FFFFFF"/>
                <w:sz w:val="18"/>
                <w:szCs w:val="18"/>
                <w:lang w:val="bg-BG"/>
              </w:rPr>
              <w:t xml:space="preserve">ПО 5: </w:t>
            </w:r>
            <w:r w:rsidRPr="00B45B4F">
              <w:rPr>
                <w:rFonts w:ascii="Verdana" w:eastAsia="Times New Roman" w:hAnsi="Verdana"/>
                <w:color w:val="FFFFFF"/>
                <w:sz w:val="18"/>
                <w:szCs w:val="18"/>
                <w:lang w:val="bg-BG"/>
              </w:rPr>
              <w:t>Регионален туризъм</w:t>
            </w:r>
          </w:p>
        </w:tc>
        <w:tc>
          <w:tcPr>
            <w:tcW w:w="1260" w:type="dxa"/>
            <w:tcBorders>
              <w:top w:val="nil"/>
              <w:left w:val="nil"/>
              <w:bottom w:val="single" w:sz="4" w:space="0" w:color="auto"/>
              <w:right w:val="single" w:sz="4" w:space="0" w:color="auto"/>
            </w:tcBorders>
            <w:shd w:val="clear" w:color="000000" w:fill="C6D9F1"/>
            <w:vAlign w:val="center"/>
            <w:hideMark/>
          </w:tcPr>
          <w:p w:rsidR="00C772C9" w:rsidRPr="00B45B4F" w:rsidRDefault="00C772C9"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5.1</w:t>
            </w:r>
          </w:p>
        </w:tc>
        <w:tc>
          <w:tcPr>
            <w:tcW w:w="81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c>
          <w:tcPr>
            <w:tcW w:w="81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c>
          <w:tcPr>
            <w:tcW w:w="72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c>
          <w:tcPr>
            <w:tcW w:w="63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c>
          <w:tcPr>
            <w:tcW w:w="63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c>
          <w:tcPr>
            <w:tcW w:w="99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c>
          <w:tcPr>
            <w:tcW w:w="99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r>
      <w:tr w:rsidR="00C772C9" w:rsidRPr="00B45B4F" w:rsidTr="00F629E3">
        <w:trPr>
          <w:trHeight w:val="600"/>
        </w:trPr>
        <w:tc>
          <w:tcPr>
            <w:tcW w:w="2250" w:type="dxa"/>
            <w:tcBorders>
              <w:top w:val="nil"/>
              <w:left w:val="single" w:sz="4" w:space="0" w:color="auto"/>
              <w:bottom w:val="single" w:sz="4" w:space="0" w:color="auto"/>
              <w:right w:val="single" w:sz="4" w:space="0" w:color="auto"/>
            </w:tcBorders>
            <w:shd w:val="clear" w:color="auto" w:fill="548DD4" w:themeFill="text2" w:themeFillTint="99"/>
            <w:vAlign w:val="center"/>
            <w:hideMark/>
          </w:tcPr>
          <w:p w:rsidR="00C772C9" w:rsidRPr="00B45B4F" w:rsidRDefault="00C772C9" w:rsidP="002E0D02">
            <w:pPr>
              <w:spacing w:after="0" w:line="240" w:lineRule="auto"/>
              <w:ind w:left="-108" w:right="-108"/>
              <w:jc w:val="center"/>
              <w:rPr>
                <w:rFonts w:ascii="Verdana" w:eastAsia="Times New Roman" w:hAnsi="Verdana"/>
                <w:color w:val="FFFFFF"/>
                <w:sz w:val="18"/>
                <w:szCs w:val="18"/>
                <w:lang w:val="bg-BG"/>
              </w:rPr>
            </w:pPr>
            <w:r w:rsidRPr="00B45B4F">
              <w:rPr>
                <w:rFonts w:ascii="Verdana" w:eastAsia="Times New Roman" w:hAnsi="Verdana"/>
                <w:bCs/>
                <w:color w:val="FFFFFF"/>
                <w:sz w:val="18"/>
                <w:szCs w:val="18"/>
                <w:lang w:val="bg-BG"/>
              </w:rPr>
              <w:t xml:space="preserve">ПО 6: </w:t>
            </w:r>
            <w:r w:rsidRPr="00B45B4F">
              <w:rPr>
                <w:rFonts w:ascii="Verdana" w:eastAsia="Times New Roman" w:hAnsi="Verdana"/>
                <w:color w:val="FFFFFF"/>
                <w:sz w:val="18"/>
                <w:szCs w:val="18"/>
                <w:lang w:val="bg-BG"/>
              </w:rPr>
              <w:t>Регионална пътна инфраструктура</w:t>
            </w:r>
          </w:p>
        </w:tc>
        <w:tc>
          <w:tcPr>
            <w:tcW w:w="1260" w:type="dxa"/>
            <w:tcBorders>
              <w:top w:val="nil"/>
              <w:left w:val="nil"/>
              <w:bottom w:val="single" w:sz="4" w:space="0" w:color="auto"/>
              <w:right w:val="single" w:sz="4" w:space="0" w:color="auto"/>
            </w:tcBorders>
            <w:shd w:val="clear" w:color="000000" w:fill="C6D9F1"/>
            <w:vAlign w:val="center"/>
            <w:hideMark/>
          </w:tcPr>
          <w:p w:rsidR="00C772C9" w:rsidRPr="00B45B4F" w:rsidRDefault="00C772C9"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6.1</w:t>
            </w:r>
          </w:p>
        </w:tc>
        <w:tc>
          <w:tcPr>
            <w:tcW w:w="81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c>
          <w:tcPr>
            <w:tcW w:w="81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c>
          <w:tcPr>
            <w:tcW w:w="72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c>
          <w:tcPr>
            <w:tcW w:w="63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c>
          <w:tcPr>
            <w:tcW w:w="63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c>
          <w:tcPr>
            <w:tcW w:w="99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c>
          <w:tcPr>
            <w:tcW w:w="99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r>
      <w:tr w:rsidR="00C772C9" w:rsidRPr="00B45B4F" w:rsidTr="00F629E3">
        <w:trPr>
          <w:trHeight w:val="330"/>
        </w:trPr>
        <w:tc>
          <w:tcPr>
            <w:tcW w:w="2250" w:type="dxa"/>
            <w:tcBorders>
              <w:top w:val="nil"/>
              <w:left w:val="single" w:sz="4" w:space="0" w:color="auto"/>
              <w:bottom w:val="single" w:sz="4" w:space="0" w:color="auto"/>
              <w:right w:val="single" w:sz="4" w:space="0" w:color="auto"/>
            </w:tcBorders>
            <w:shd w:val="clear" w:color="auto" w:fill="548DD4" w:themeFill="text2" w:themeFillTint="99"/>
            <w:vAlign w:val="center"/>
            <w:hideMark/>
          </w:tcPr>
          <w:p w:rsidR="00C772C9" w:rsidRPr="00B45B4F" w:rsidRDefault="00C772C9" w:rsidP="002E0D02">
            <w:pPr>
              <w:spacing w:after="0" w:line="240" w:lineRule="auto"/>
              <w:ind w:left="-108" w:right="-108"/>
              <w:jc w:val="center"/>
              <w:rPr>
                <w:rFonts w:ascii="Verdana" w:eastAsia="Times New Roman" w:hAnsi="Verdana"/>
                <w:color w:val="FFFFFF"/>
                <w:sz w:val="18"/>
                <w:szCs w:val="18"/>
                <w:lang w:val="bg-BG"/>
              </w:rPr>
            </w:pPr>
            <w:r w:rsidRPr="00B45B4F">
              <w:rPr>
                <w:rFonts w:ascii="Verdana" w:eastAsia="Times New Roman" w:hAnsi="Verdana"/>
                <w:bCs/>
                <w:color w:val="FFFFFF"/>
                <w:sz w:val="18"/>
                <w:szCs w:val="18"/>
                <w:lang w:val="bg-BG"/>
              </w:rPr>
              <w:t>ПО 7:</w:t>
            </w:r>
            <w:r w:rsidRPr="00B45B4F">
              <w:rPr>
                <w:rFonts w:ascii="Verdana" w:eastAsia="Times New Roman" w:hAnsi="Verdana"/>
                <w:color w:val="FFFFFF"/>
                <w:sz w:val="18"/>
                <w:szCs w:val="18"/>
                <w:lang w:val="bg-BG"/>
              </w:rPr>
              <w:t xml:space="preserve"> Превенция на риска</w:t>
            </w:r>
          </w:p>
        </w:tc>
        <w:tc>
          <w:tcPr>
            <w:tcW w:w="1260" w:type="dxa"/>
            <w:tcBorders>
              <w:top w:val="nil"/>
              <w:left w:val="nil"/>
              <w:bottom w:val="single" w:sz="4" w:space="0" w:color="auto"/>
              <w:right w:val="single" w:sz="4" w:space="0" w:color="auto"/>
            </w:tcBorders>
            <w:shd w:val="clear" w:color="000000" w:fill="C6D9F1"/>
            <w:vAlign w:val="center"/>
            <w:hideMark/>
          </w:tcPr>
          <w:p w:rsidR="00C772C9" w:rsidRPr="00B45B4F" w:rsidRDefault="00C772C9"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7.1</w:t>
            </w:r>
          </w:p>
        </w:tc>
        <w:tc>
          <w:tcPr>
            <w:tcW w:w="81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c>
          <w:tcPr>
            <w:tcW w:w="81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c>
          <w:tcPr>
            <w:tcW w:w="72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c>
          <w:tcPr>
            <w:tcW w:w="63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c>
          <w:tcPr>
            <w:tcW w:w="63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c>
          <w:tcPr>
            <w:tcW w:w="99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c>
          <w:tcPr>
            <w:tcW w:w="990" w:type="dxa"/>
            <w:tcBorders>
              <w:top w:val="nil"/>
              <w:left w:val="nil"/>
              <w:bottom w:val="single" w:sz="4" w:space="0" w:color="auto"/>
              <w:right w:val="single" w:sz="4" w:space="0" w:color="auto"/>
            </w:tcBorders>
            <w:shd w:val="clear" w:color="auto" w:fill="auto"/>
            <w:vAlign w:val="center"/>
            <w:hideMark/>
          </w:tcPr>
          <w:p w:rsidR="00C772C9" w:rsidRPr="00B45B4F" w:rsidRDefault="00C772C9" w:rsidP="006F74A8">
            <w:pPr>
              <w:spacing w:after="0" w:line="240" w:lineRule="auto"/>
              <w:jc w:val="center"/>
              <w:rPr>
                <w:rFonts w:ascii="Wingdings 2" w:eastAsia="Times New Roman" w:hAnsi="Wingdings 2"/>
                <w:color w:val="0070C0"/>
                <w:sz w:val="18"/>
                <w:szCs w:val="18"/>
                <w:lang w:val="bg-BG"/>
              </w:rPr>
            </w:pPr>
          </w:p>
        </w:tc>
      </w:tr>
    </w:tbl>
    <w:p w:rsidR="00C772C9" w:rsidRPr="00B45B4F" w:rsidRDefault="00AB021B" w:rsidP="00D4496B">
      <w:pPr>
        <w:spacing w:before="120"/>
        <w:rPr>
          <w:rFonts w:ascii="Verdana" w:hAnsi="Verdana"/>
          <w:i/>
          <w:sz w:val="18"/>
          <w:szCs w:val="18"/>
          <w:lang w:val="bg-BG" w:eastAsia="bg-BG"/>
        </w:rPr>
      </w:pPr>
      <w:r w:rsidRPr="00B45B4F">
        <w:rPr>
          <w:rFonts w:ascii="Verdana" w:hAnsi="Verdana"/>
          <w:i/>
          <w:sz w:val="18"/>
          <w:szCs w:val="18"/>
          <w:lang w:val="bg-BG" w:eastAsia="bg-BG"/>
        </w:rPr>
        <w:t xml:space="preserve">Легенда: </w:t>
      </w:r>
      <w:r w:rsidR="00382753" w:rsidRPr="00B45B4F">
        <w:rPr>
          <w:rFonts w:ascii="Wingdings 2" w:eastAsia="Times New Roman" w:hAnsi="Wingdings 2"/>
          <w:color w:val="0070C0"/>
          <w:sz w:val="26"/>
          <w:szCs w:val="26"/>
          <w:lang w:val="bg-BG"/>
        </w:rPr>
        <w:t></w:t>
      </w:r>
      <w:r w:rsidR="00382753" w:rsidRPr="00B45B4F">
        <w:rPr>
          <w:rFonts w:ascii="Verdana" w:eastAsia="Times New Roman" w:hAnsi="Verdana"/>
          <w:i/>
          <w:sz w:val="18"/>
          <w:szCs w:val="18"/>
          <w:lang w:val="bg-BG"/>
        </w:rPr>
        <w:t xml:space="preserve"> - </w:t>
      </w:r>
      <w:r w:rsidRPr="00B45B4F">
        <w:rPr>
          <w:rFonts w:ascii="Verdana" w:eastAsia="Times New Roman" w:hAnsi="Verdana"/>
          <w:i/>
          <w:sz w:val="18"/>
          <w:szCs w:val="18"/>
          <w:lang w:val="bg-BG"/>
        </w:rPr>
        <w:t xml:space="preserve">слаба връзка, </w:t>
      </w:r>
      <w:r w:rsidR="00382753" w:rsidRPr="00B45B4F">
        <w:rPr>
          <w:rFonts w:ascii="Wingdings 2" w:eastAsia="Times New Roman" w:hAnsi="Wingdings 2"/>
          <w:color w:val="0070C0"/>
          <w:sz w:val="26"/>
          <w:szCs w:val="26"/>
          <w:lang w:val="bg-BG"/>
        </w:rPr>
        <w:t></w:t>
      </w:r>
      <w:r w:rsidR="008410DF" w:rsidRPr="00B45B4F">
        <w:rPr>
          <w:rFonts w:ascii="Wingdings 2" w:eastAsia="Times New Roman" w:hAnsi="Wingdings 2"/>
          <w:color w:val="0070C0"/>
          <w:sz w:val="26"/>
          <w:szCs w:val="26"/>
          <w:lang w:val="bg-BG"/>
        </w:rPr>
        <w:t></w:t>
      </w:r>
      <w:r w:rsidR="00382753" w:rsidRPr="00B45B4F">
        <w:rPr>
          <w:rFonts w:ascii="Wingdings 2" w:eastAsia="Times New Roman" w:hAnsi="Wingdings 2"/>
          <w:color w:val="0070C0"/>
          <w:sz w:val="26"/>
          <w:szCs w:val="26"/>
          <w:lang w:val="bg-BG"/>
        </w:rPr>
        <w:t></w:t>
      </w:r>
      <w:r w:rsidR="008410DF" w:rsidRPr="009872C0">
        <w:rPr>
          <w:rFonts w:ascii="Verdana" w:eastAsia="Times New Roman" w:hAnsi="Verdana"/>
          <w:sz w:val="26"/>
          <w:szCs w:val="26"/>
          <w:lang w:val="bg-BG"/>
        </w:rPr>
        <w:t xml:space="preserve">- </w:t>
      </w:r>
      <w:r w:rsidRPr="009872C0">
        <w:rPr>
          <w:rFonts w:ascii="Verdana" w:eastAsia="Times New Roman" w:hAnsi="Verdana"/>
          <w:i/>
          <w:sz w:val="18"/>
          <w:szCs w:val="18"/>
          <w:lang w:val="bg-BG"/>
        </w:rPr>
        <w:t xml:space="preserve">средно </w:t>
      </w:r>
      <w:r w:rsidRPr="00B45B4F">
        <w:rPr>
          <w:rFonts w:ascii="Verdana" w:eastAsia="Times New Roman" w:hAnsi="Verdana"/>
          <w:i/>
          <w:sz w:val="18"/>
          <w:szCs w:val="18"/>
          <w:lang w:val="bg-BG"/>
        </w:rPr>
        <w:t xml:space="preserve">силна връзка, </w:t>
      </w:r>
      <w:r w:rsidR="00382753" w:rsidRPr="00B45B4F">
        <w:rPr>
          <w:rFonts w:ascii="Wingdings 2" w:eastAsia="Times New Roman" w:hAnsi="Wingdings 2"/>
          <w:color w:val="0070C0"/>
          <w:sz w:val="26"/>
          <w:szCs w:val="26"/>
          <w:lang w:val="bg-BG"/>
        </w:rPr>
        <w:t></w:t>
      </w:r>
      <w:r w:rsidR="00382753" w:rsidRPr="00B45B4F">
        <w:rPr>
          <w:rFonts w:ascii="Wingdings 2" w:eastAsia="Times New Roman" w:hAnsi="Wingdings 2"/>
          <w:color w:val="0070C0"/>
          <w:sz w:val="26"/>
          <w:szCs w:val="26"/>
          <w:lang w:val="bg-BG"/>
        </w:rPr>
        <w:t></w:t>
      </w:r>
      <w:r w:rsidR="00382753" w:rsidRPr="00B45B4F">
        <w:rPr>
          <w:rFonts w:ascii="Wingdings 2" w:eastAsia="Times New Roman" w:hAnsi="Wingdings 2"/>
          <w:color w:val="0070C0"/>
          <w:sz w:val="26"/>
          <w:szCs w:val="26"/>
          <w:lang w:val="bg-BG"/>
        </w:rPr>
        <w:t></w:t>
      </w:r>
      <w:r w:rsidRPr="00B45B4F">
        <w:rPr>
          <w:rFonts w:ascii="Verdana" w:eastAsia="Times New Roman" w:hAnsi="Verdana"/>
          <w:i/>
          <w:sz w:val="18"/>
          <w:szCs w:val="18"/>
          <w:lang w:val="bg-BG"/>
        </w:rPr>
        <w:t xml:space="preserve"> - силна връзка</w:t>
      </w:r>
    </w:p>
    <w:p w:rsidR="00C772C9" w:rsidRPr="00B45B4F" w:rsidRDefault="000C1802" w:rsidP="004708A9">
      <w:pPr>
        <w:pStyle w:val="Caption"/>
        <w:keepNext/>
        <w:spacing w:after="120"/>
        <w:rPr>
          <w:rFonts w:ascii="Verdana" w:hAnsi="Verdana"/>
          <w:color w:val="548DD4" w:themeColor="text2" w:themeTint="99"/>
        </w:rPr>
      </w:pPr>
      <w:bookmarkStart w:id="55" w:name="_Toc395612558"/>
      <w:r w:rsidRPr="00B45B4F">
        <w:rPr>
          <w:rFonts w:ascii="Verdana" w:hAnsi="Verdana"/>
          <w:color w:val="548DD4" w:themeColor="text2" w:themeTint="99"/>
        </w:rPr>
        <w:lastRenderedPageBreak/>
        <w:t xml:space="preserve">Таблица </w:t>
      </w:r>
      <w:r w:rsidR="00BF1936" w:rsidRPr="00B45B4F">
        <w:rPr>
          <w:rFonts w:ascii="Verdana" w:hAnsi="Verdana"/>
          <w:color w:val="548DD4" w:themeColor="text2" w:themeTint="99"/>
        </w:rPr>
        <w:fldChar w:fldCharType="begin"/>
      </w:r>
      <w:r w:rsidRPr="00B45B4F">
        <w:rPr>
          <w:rFonts w:ascii="Verdana" w:hAnsi="Verdana"/>
          <w:color w:val="548DD4" w:themeColor="text2" w:themeTint="99"/>
        </w:rPr>
        <w:instrText xml:space="preserve"> SEQ Таблица \* ARABIC </w:instrText>
      </w:r>
      <w:r w:rsidR="00BF1936" w:rsidRPr="00B45B4F">
        <w:rPr>
          <w:rFonts w:ascii="Verdana" w:hAnsi="Verdana"/>
          <w:color w:val="548DD4" w:themeColor="text2" w:themeTint="99"/>
        </w:rPr>
        <w:fldChar w:fldCharType="separate"/>
      </w:r>
      <w:r w:rsidR="001361E0">
        <w:rPr>
          <w:rFonts w:ascii="Verdana" w:hAnsi="Verdana"/>
          <w:noProof/>
          <w:color w:val="548DD4" w:themeColor="text2" w:themeTint="99"/>
        </w:rPr>
        <w:t>2</w:t>
      </w:r>
      <w:r w:rsidR="00BF1936" w:rsidRPr="00B45B4F">
        <w:rPr>
          <w:rFonts w:ascii="Verdana" w:hAnsi="Verdana"/>
          <w:color w:val="548DD4" w:themeColor="text2" w:themeTint="99"/>
        </w:rPr>
        <w:fldChar w:fldCharType="end"/>
      </w:r>
      <w:r w:rsidR="00C772C9" w:rsidRPr="00B45B4F">
        <w:rPr>
          <w:rFonts w:ascii="Verdana" w:hAnsi="Verdana"/>
          <w:color w:val="548DD4" w:themeColor="text2" w:themeTint="99"/>
        </w:rPr>
        <w:t>. Допълване и разграничаване между ОПНОИР и ОПРР</w:t>
      </w:r>
      <w:bookmarkEnd w:id="55"/>
    </w:p>
    <w:tbl>
      <w:tblPr>
        <w:tblW w:w="0" w:type="auto"/>
        <w:tblInd w:w="108" w:type="dxa"/>
        <w:tblBorders>
          <w:top w:val="single" w:sz="4" w:space="0" w:color="17365D" w:themeColor="text2" w:themeShade="BF"/>
          <w:left w:val="single" w:sz="4" w:space="0" w:color="17365D" w:themeColor="text2" w:themeShade="BF"/>
          <w:bottom w:val="single" w:sz="4" w:space="0" w:color="17365D" w:themeColor="text2" w:themeShade="BF"/>
          <w:right w:val="single" w:sz="4" w:space="0" w:color="17365D" w:themeColor="text2" w:themeShade="BF"/>
          <w:insideH w:val="single" w:sz="4" w:space="0" w:color="17365D" w:themeColor="text2" w:themeShade="BF"/>
          <w:insideV w:val="single" w:sz="4" w:space="0" w:color="17365D" w:themeColor="text2" w:themeShade="BF"/>
        </w:tblBorders>
        <w:tblLook w:val="0000" w:firstRow="0" w:lastRow="0" w:firstColumn="0" w:lastColumn="0" w:noHBand="0" w:noVBand="0"/>
      </w:tblPr>
      <w:tblGrid>
        <w:gridCol w:w="1883"/>
        <w:gridCol w:w="7207"/>
      </w:tblGrid>
      <w:tr w:rsidR="00560E14" w:rsidRPr="00B45B4F" w:rsidTr="00FB78CA">
        <w:tc>
          <w:tcPr>
            <w:tcW w:w="1883" w:type="dxa"/>
            <w:shd w:val="clear" w:color="auto" w:fill="548DD4" w:themeFill="text2" w:themeFillTint="99"/>
          </w:tcPr>
          <w:p w:rsidR="00C772C9" w:rsidRPr="00B45B4F" w:rsidRDefault="00C772C9" w:rsidP="00890623">
            <w:pPr>
              <w:spacing w:after="120"/>
              <w:rPr>
                <w:rFonts w:ascii="Verdana" w:hAnsi="Verdana"/>
                <w:color w:val="FFFFFF" w:themeColor="background1"/>
                <w:sz w:val="20"/>
                <w:szCs w:val="20"/>
                <w:lang w:val="bg-BG" w:eastAsia="cs-CZ"/>
              </w:rPr>
            </w:pPr>
            <w:r w:rsidRPr="00B45B4F">
              <w:rPr>
                <w:rFonts w:ascii="Verdana" w:hAnsi="Verdana"/>
                <w:color w:val="FFFFFF" w:themeColor="background1"/>
                <w:sz w:val="20"/>
                <w:szCs w:val="20"/>
                <w:lang w:val="bg-BG"/>
              </w:rPr>
              <w:t>Допълване / Разграничаване в текста на ОПНОИР</w:t>
            </w:r>
          </w:p>
        </w:tc>
        <w:tc>
          <w:tcPr>
            <w:tcW w:w="7207" w:type="dxa"/>
          </w:tcPr>
          <w:p w:rsidR="00C772C9" w:rsidRPr="00B45B4F" w:rsidRDefault="00C772C9" w:rsidP="00890623">
            <w:pPr>
              <w:widowControl w:val="0"/>
              <w:autoSpaceDE w:val="0"/>
              <w:autoSpaceDN w:val="0"/>
              <w:adjustRightInd w:val="0"/>
              <w:spacing w:after="120"/>
              <w:jc w:val="both"/>
              <w:rPr>
                <w:rFonts w:ascii="Verdana" w:hAnsi="Verdana"/>
                <w:sz w:val="20"/>
                <w:szCs w:val="20"/>
                <w:lang w:val="bg-BG"/>
              </w:rPr>
            </w:pPr>
            <w:r w:rsidRPr="00B45B4F">
              <w:rPr>
                <w:rFonts w:ascii="Verdana" w:hAnsi="Verdana"/>
                <w:b/>
                <w:sz w:val="20"/>
                <w:szCs w:val="20"/>
                <w:lang w:val="bg-BG"/>
              </w:rPr>
              <w:t>Допълване</w:t>
            </w:r>
            <w:r w:rsidR="000C1802" w:rsidRPr="00B45B4F">
              <w:rPr>
                <w:rFonts w:ascii="Verdana" w:hAnsi="Verdana"/>
                <w:sz w:val="20"/>
                <w:szCs w:val="20"/>
                <w:lang w:val="bg-BG"/>
              </w:rPr>
              <w:t xml:space="preserve">: </w:t>
            </w:r>
            <w:r w:rsidRPr="00B45B4F">
              <w:rPr>
                <w:rFonts w:ascii="Verdana" w:hAnsi="Verdana"/>
                <w:sz w:val="20"/>
                <w:szCs w:val="20"/>
                <w:lang w:val="bg-BG"/>
              </w:rPr>
              <w:t xml:space="preserve">Отразено е като подкрепа от страна на ОПНОИР за осъществяване на „меки мерки“, оборудване, обзавеждане и ИКТ за финансираните по линия на ОПРР </w:t>
            </w:r>
            <w:r w:rsidR="005106CE" w:rsidRPr="00B45B4F">
              <w:rPr>
                <w:rFonts w:ascii="Verdana" w:hAnsi="Verdana"/>
                <w:sz w:val="20"/>
                <w:szCs w:val="20"/>
                <w:lang w:val="bg-BG"/>
              </w:rPr>
              <w:t>2014–2020</w:t>
            </w:r>
            <w:r w:rsidRPr="00B45B4F">
              <w:rPr>
                <w:rFonts w:ascii="Verdana" w:hAnsi="Verdana"/>
                <w:sz w:val="20"/>
                <w:szCs w:val="20"/>
                <w:lang w:val="bg-BG"/>
              </w:rPr>
              <w:t xml:space="preserve"> обекти от образователната и научната сфера. </w:t>
            </w:r>
          </w:p>
          <w:p w:rsidR="00C772C9" w:rsidRPr="00B45B4F" w:rsidRDefault="00C772C9" w:rsidP="00890623">
            <w:pPr>
              <w:widowControl w:val="0"/>
              <w:autoSpaceDE w:val="0"/>
              <w:autoSpaceDN w:val="0"/>
              <w:adjustRightInd w:val="0"/>
              <w:spacing w:after="120"/>
              <w:jc w:val="both"/>
              <w:rPr>
                <w:rFonts w:ascii="Verdana" w:hAnsi="Verdana"/>
                <w:sz w:val="20"/>
                <w:szCs w:val="20"/>
                <w:lang w:val="bg-BG"/>
              </w:rPr>
            </w:pPr>
            <w:r w:rsidRPr="00B45B4F">
              <w:rPr>
                <w:rFonts w:ascii="Verdana" w:hAnsi="Verdana"/>
                <w:b/>
                <w:sz w:val="20"/>
                <w:szCs w:val="20"/>
                <w:lang w:val="bg-BG"/>
              </w:rPr>
              <w:t>Разграничаване</w:t>
            </w:r>
            <w:r w:rsidR="000C1802" w:rsidRPr="00B45B4F">
              <w:rPr>
                <w:rFonts w:ascii="Verdana" w:hAnsi="Verdana"/>
                <w:b/>
                <w:sz w:val="20"/>
                <w:szCs w:val="20"/>
                <w:lang w:val="bg-BG"/>
              </w:rPr>
              <w:t xml:space="preserve">: </w:t>
            </w:r>
            <w:r w:rsidR="00802D37" w:rsidRPr="00B45B4F">
              <w:rPr>
                <w:rFonts w:ascii="Verdana" w:hAnsi="Verdana" w:cs="Arial"/>
                <w:sz w:val="20"/>
                <w:szCs w:val="20"/>
                <w:lang w:val="bg-BG"/>
              </w:rPr>
              <w:t>„</w:t>
            </w:r>
            <w:r w:rsidRPr="00B45B4F">
              <w:rPr>
                <w:rFonts w:ascii="Verdana" w:hAnsi="Verdana"/>
                <w:sz w:val="20"/>
                <w:szCs w:val="20"/>
                <w:lang w:val="bg-BG"/>
              </w:rPr>
              <w:t xml:space="preserve">В рамките на приоритетна ос 1 на ОПНОИР се предвижда финансирането на научна инфраструктура, със средства от ЕФРР. По ОПРР няма да се финансира научна инфраструктура.” В етапа на програмиране, за сходни дейности свързани със закупуването на оборудване и обзавеждане на сгради/помещения по </w:t>
            </w:r>
            <w:proofErr w:type="spellStart"/>
            <w:r w:rsidRPr="00B45B4F">
              <w:rPr>
                <w:rFonts w:ascii="Verdana" w:hAnsi="Verdana"/>
                <w:sz w:val="20"/>
                <w:szCs w:val="20"/>
                <w:lang w:val="bg-BG"/>
              </w:rPr>
              <w:t>ПО</w:t>
            </w:r>
            <w:proofErr w:type="spellEnd"/>
            <w:r w:rsidRPr="00B45B4F">
              <w:rPr>
                <w:rFonts w:ascii="Verdana" w:hAnsi="Verdana"/>
                <w:sz w:val="20"/>
                <w:szCs w:val="20"/>
                <w:lang w:val="bg-BG"/>
              </w:rPr>
              <w:t xml:space="preserve"> 2 „Регионална образователна инфраструктура” по ОПРР и ПО 2 на ОПНОИР, </w:t>
            </w:r>
            <w:proofErr w:type="spellStart"/>
            <w:r w:rsidRPr="00B45B4F">
              <w:rPr>
                <w:rFonts w:ascii="Verdana" w:hAnsi="Verdana"/>
                <w:sz w:val="20"/>
                <w:szCs w:val="20"/>
                <w:lang w:val="bg-BG"/>
              </w:rPr>
              <w:t>демаркацията</w:t>
            </w:r>
            <w:proofErr w:type="spellEnd"/>
            <w:r w:rsidRPr="00B45B4F">
              <w:rPr>
                <w:rFonts w:ascii="Verdana" w:hAnsi="Verdana"/>
                <w:sz w:val="20"/>
                <w:szCs w:val="20"/>
                <w:lang w:val="bg-BG"/>
              </w:rPr>
              <w:t xml:space="preserve"> е на ниво бенефициенти и проекти.</w:t>
            </w:r>
          </w:p>
        </w:tc>
      </w:tr>
      <w:tr w:rsidR="00560E14" w:rsidRPr="00B45B4F" w:rsidTr="00FB78CA">
        <w:tc>
          <w:tcPr>
            <w:tcW w:w="1883" w:type="dxa"/>
            <w:shd w:val="clear" w:color="auto" w:fill="548DD4" w:themeFill="text2" w:themeFillTint="99"/>
          </w:tcPr>
          <w:p w:rsidR="00C772C9" w:rsidRPr="00B45B4F" w:rsidRDefault="00C772C9" w:rsidP="00890623">
            <w:pPr>
              <w:spacing w:after="120"/>
              <w:rPr>
                <w:rFonts w:ascii="Verdana" w:hAnsi="Verdana"/>
                <w:color w:val="FFFFFF" w:themeColor="background1"/>
                <w:sz w:val="20"/>
                <w:szCs w:val="20"/>
                <w:lang w:val="bg-BG"/>
              </w:rPr>
            </w:pPr>
            <w:r w:rsidRPr="00B45B4F">
              <w:rPr>
                <w:rFonts w:ascii="Verdana" w:hAnsi="Verdana"/>
                <w:color w:val="FFFFFF" w:themeColor="background1"/>
                <w:sz w:val="20"/>
                <w:szCs w:val="20"/>
                <w:lang w:val="bg-BG"/>
              </w:rPr>
              <w:t>Коментар</w:t>
            </w:r>
          </w:p>
        </w:tc>
        <w:tc>
          <w:tcPr>
            <w:tcW w:w="7207" w:type="dxa"/>
          </w:tcPr>
          <w:p w:rsidR="00C772C9" w:rsidRPr="00B45B4F" w:rsidRDefault="00AE7BE0" w:rsidP="00890623">
            <w:pPr>
              <w:spacing w:after="120"/>
              <w:jc w:val="both"/>
              <w:rPr>
                <w:rFonts w:ascii="Verdana" w:hAnsi="Verdana"/>
                <w:sz w:val="20"/>
                <w:szCs w:val="20"/>
                <w:lang w:val="bg-BG"/>
              </w:rPr>
            </w:pPr>
            <w:r w:rsidRPr="00B45B4F">
              <w:rPr>
                <w:rFonts w:ascii="Verdana" w:hAnsi="Verdana"/>
                <w:sz w:val="20"/>
                <w:szCs w:val="20"/>
                <w:lang w:val="bg-BG"/>
              </w:rPr>
              <w:t>Реализацията на целите по и</w:t>
            </w:r>
            <w:r w:rsidR="00C772C9" w:rsidRPr="00B45B4F">
              <w:rPr>
                <w:rFonts w:ascii="Verdana" w:hAnsi="Verdana"/>
                <w:sz w:val="20"/>
                <w:szCs w:val="20"/>
                <w:lang w:val="bg-BG"/>
              </w:rPr>
              <w:t xml:space="preserve">нвестиционни приоритети 2.1, 2.2, 2.3 от </w:t>
            </w:r>
            <w:r w:rsidR="000C1802" w:rsidRPr="00B45B4F">
              <w:rPr>
                <w:rFonts w:ascii="Verdana" w:hAnsi="Verdana"/>
                <w:sz w:val="20"/>
                <w:szCs w:val="20"/>
                <w:lang w:val="bg-BG"/>
              </w:rPr>
              <w:t>ПО</w:t>
            </w:r>
            <w:r w:rsidR="00C772C9" w:rsidRPr="00B45B4F">
              <w:rPr>
                <w:rFonts w:ascii="Verdana" w:hAnsi="Verdana"/>
                <w:sz w:val="20"/>
                <w:szCs w:val="20"/>
                <w:lang w:val="bg-BG"/>
              </w:rPr>
              <w:t xml:space="preserve"> 2 на ОПНОИР, както и инвестиционните приоритети от ПО 1 на програмата се допълват от приоритети 1.3 и 2.1 от ОПРР – насочени към реализацията на инвестиции в образователна инфраструктура.</w:t>
            </w:r>
          </w:p>
          <w:p w:rsidR="00C772C9" w:rsidRPr="00B45B4F" w:rsidRDefault="00C772C9" w:rsidP="00BA06F3">
            <w:pPr>
              <w:widowControl w:val="0"/>
              <w:autoSpaceDE w:val="0"/>
              <w:autoSpaceDN w:val="0"/>
              <w:adjustRightInd w:val="0"/>
              <w:spacing w:after="120"/>
              <w:jc w:val="both"/>
              <w:rPr>
                <w:rFonts w:ascii="Verdana" w:hAnsi="Verdana"/>
                <w:sz w:val="20"/>
                <w:szCs w:val="20"/>
                <w:lang w:val="bg-BG"/>
              </w:rPr>
            </w:pPr>
            <w:r w:rsidRPr="00B45B4F">
              <w:rPr>
                <w:rFonts w:ascii="Verdana" w:hAnsi="Verdana"/>
                <w:sz w:val="20"/>
                <w:szCs w:val="20"/>
                <w:lang w:val="bg-BG"/>
              </w:rPr>
              <w:t xml:space="preserve">Съществува </w:t>
            </w:r>
            <w:r w:rsidR="003B69AE" w:rsidRPr="00B45B4F">
              <w:rPr>
                <w:rFonts w:ascii="Verdana" w:hAnsi="Verdana"/>
                <w:sz w:val="20"/>
                <w:szCs w:val="20"/>
                <w:lang w:val="bg-BG"/>
              </w:rPr>
              <w:t xml:space="preserve">потенциална </w:t>
            </w:r>
            <w:r w:rsidRPr="00B45B4F">
              <w:rPr>
                <w:rFonts w:ascii="Verdana" w:hAnsi="Verdana"/>
                <w:sz w:val="20"/>
                <w:szCs w:val="20"/>
                <w:lang w:val="bg-BG"/>
              </w:rPr>
              <w:t xml:space="preserve">вероятност да се получи припокриване на дейности </w:t>
            </w:r>
            <w:r w:rsidR="009935EC" w:rsidRPr="00B45B4F">
              <w:rPr>
                <w:rFonts w:ascii="Verdana" w:hAnsi="Verdana"/>
                <w:sz w:val="20"/>
                <w:szCs w:val="20"/>
                <w:lang w:val="bg-BG"/>
              </w:rPr>
              <w:t>между</w:t>
            </w:r>
            <w:r w:rsidR="002D4C3A">
              <w:rPr>
                <w:rFonts w:ascii="Verdana" w:hAnsi="Verdana"/>
                <w:sz w:val="20"/>
                <w:szCs w:val="20"/>
                <w:lang w:val="bg-BG"/>
              </w:rPr>
              <w:t xml:space="preserve"> </w:t>
            </w:r>
            <w:r w:rsidR="009935EC" w:rsidRPr="00B45B4F">
              <w:rPr>
                <w:rFonts w:ascii="Verdana" w:hAnsi="Verdana"/>
                <w:sz w:val="20"/>
                <w:szCs w:val="20"/>
                <w:lang w:val="bg-BG"/>
              </w:rPr>
              <w:t xml:space="preserve">заложените в приоритет </w:t>
            </w:r>
            <w:r w:rsidRPr="00B45B4F">
              <w:rPr>
                <w:rFonts w:ascii="Verdana" w:hAnsi="Verdana"/>
                <w:sz w:val="20"/>
                <w:szCs w:val="20"/>
                <w:lang w:val="bg-BG"/>
              </w:rPr>
              <w:t xml:space="preserve">2.1 на ОПРР и </w:t>
            </w:r>
            <w:r w:rsidR="00BA06F3" w:rsidRPr="00B45B4F">
              <w:rPr>
                <w:rFonts w:ascii="Verdana" w:hAnsi="Verdana"/>
                <w:sz w:val="20"/>
                <w:szCs w:val="20"/>
                <w:lang w:val="bg-BG"/>
              </w:rPr>
              <w:t>ПО 2, ИП 1</w:t>
            </w:r>
            <w:r w:rsidR="00BA06F3">
              <w:rPr>
                <w:rFonts w:ascii="Verdana" w:hAnsi="Verdana"/>
                <w:sz w:val="20"/>
                <w:szCs w:val="20"/>
                <w:lang w:val="bg-BG"/>
              </w:rPr>
              <w:t xml:space="preserve">на ОПНОИР </w:t>
            </w:r>
            <w:r w:rsidR="00563BE4" w:rsidRPr="00B45B4F">
              <w:rPr>
                <w:rFonts w:ascii="Verdana" w:hAnsi="Verdana"/>
                <w:sz w:val="20"/>
                <w:szCs w:val="20"/>
                <w:lang w:val="bg-BG"/>
              </w:rPr>
              <w:t>по отношение на внедряване на ИКТ в училищата</w:t>
            </w:r>
            <w:r w:rsidR="00AB021B" w:rsidRPr="00B45B4F">
              <w:rPr>
                <w:rFonts w:ascii="Verdana" w:hAnsi="Verdana"/>
                <w:sz w:val="20"/>
                <w:szCs w:val="20"/>
                <w:lang w:val="bg-BG"/>
              </w:rPr>
              <w:t>. В</w:t>
            </w:r>
            <w:r w:rsidR="003B69AE" w:rsidRPr="00B45B4F">
              <w:rPr>
                <w:rFonts w:ascii="Verdana" w:hAnsi="Verdana"/>
                <w:sz w:val="20"/>
                <w:szCs w:val="20"/>
                <w:lang w:val="bg-BG"/>
              </w:rPr>
              <w:t xml:space="preserve"> ОПРР като примерни дейности са посочени и </w:t>
            </w:r>
            <w:r w:rsidR="00802D37" w:rsidRPr="00B45B4F">
              <w:rPr>
                <w:rFonts w:ascii="Verdana" w:hAnsi="Verdana"/>
                <w:sz w:val="20"/>
                <w:szCs w:val="20"/>
                <w:lang w:val="bg-BG"/>
              </w:rPr>
              <w:t>„</w:t>
            </w:r>
            <w:r w:rsidR="003B69AE" w:rsidRPr="00B45B4F">
              <w:rPr>
                <w:rFonts w:ascii="Verdana" w:hAnsi="Verdana"/>
                <w:sz w:val="20"/>
                <w:szCs w:val="20"/>
                <w:lang w:val="bg-BG"/>
              </w:rPr>
              <w:t>Доставка и монтаж на оборудване и обзавеждане за горепосочените сгради/помещения (държавни и общински училища от национално и регионално значение), като част от цялостното им обновяване”</w:t>
            </w:r>
            <w:r w:rsidR="00475559" w:rsidRPr="00B45B4F">
              <w:rPr>
                <w:rFonts w:ascii="Verdana" w:hAnsi="Verdana"/>
                <w:sz w:val="20"/>
                <w:szCs w:val="20"/>
                <w:lang w:val="bg-BG"/>
              </w:rPr>
              <w:t>;</w:t>
            </w:r>
          </w:p>
        </w:tc>
      </w:tr>
      <w:tr w:rsidR="00560E14" w:rsidRPr="00B45B4F" w:rsidTr="00FB78CA">
        <w:tc>
          <w:tcPr>
            <w:tcW w:w="1883" w:type="dxa"/>
            <w:shd w:val="clear" w:color="auto" w:fill="548DD4" w:themeFill="text2" w:themeFillTint="99"/>
          </w:tcPr>
          <w:p w:rsidR="00C772C9" w:rsidRPr="00B45B4F" w:rsidRDefault="00C772C9" w:rsidP="00890623">
            <w:pPr>
              <w:spacing w:after="120"/>
              <w:rPr>
                <w:rFonts w:ascii="Verdana" w:hAnsi="Verdana"/>
                <w:color w:val="FFFFFF" w:themeColor="background1"/>
                <w:sz w:val="20"/>
                <w:szCs w:val="20"/>
                <w:lang w:val="bg-BG"/>
              </w:rPr>
            </w:pPr>
            <w:r w:rsidRPr="00B45B4F">
              <w:rPr>
                <w:rFonts w:ascii="Verdana" w:hAnsi="Verdana"/>
                <w:color w:val="FFFFFF" w:themeColor="background1"/>
                <w:sz w:val="20"/>
                <w:szCs w:val="20"/>
                <w:lang w:val="bg-BG" w:eastAsia="cs-CZ"/>
              </w:rPr>
              <w:t>Препоръка</w:t>
            </w:r>
          </w:p>
        </w:tc>
        <w:tc>
          <w:tcPr>
            <w:tcW w:w="7207" w:type="dxa"/>
          </w:tcPr>
          <w:p w:rsidR="00C772C9" w:rsidRPr="00B45B4F" w:rsidRDefault="00505682" w:rsidP="00890623">
            <w:pPr>
              <w:spacing w:after="120"/>
              <w:jc w:val="both"/>
              <w:rPr>
                <w:rFonts w:ascii="Verdana" w:hAnsi="Verdana"/>
                <w:sz w:val="20"/>
                <w:szCs w:val="20"/>
                <w:lang w:val="bg-BG"/>
              </w:rPr>
            </w:pPr>
            <w:r>
              <w:rPr>
                <w:rFonts w:ascii="Verdana" w:hAnsi="Verdana"/>
                <w:sz w:val="20"/>
                <w:szCs w:val="20"/>
                <w:lang w:val="bg-BG"/>
              </w:rPr>
              <w:t>Няма</w:t>
            </w:r>
          </w:p>
        </w:tc>
      </w:tr>
    </w:tbl>
    <w:p w:rsidR="00DF1209" w:rsidRPr="00B45B4F" w:rsidRDefault="00DF1209" w:rsidP="00416243">
      <w:pPr>
        <w:keepNext/>
        <w:pBdr>
          <w:bottom w:val="single" w:sz="4" w:space="1" w:color="0070C0"/>
        </w:pBdr>
        <w:spacing w:before="360" w:after="120"/>
        <w:jc w:val="both"/>
        <w:rPr>
          <w:rFonts w:ascii="Verdana" w:hAnsi="Verdana"/>
          <w:color w:val="0070C0"/>
          <w:sz w:val="20"/>
          <w:szCs w:val="20"/>
          <w:lang w:val="bg-BG" w:eastAsia="cs-CZ"/>
        </w:rPr>
      </w:pPr>
      <w:r w:rsidRPr="00B45B4F">
        <w:rPr>
          <w:rFonts w:ascii="Verdana" w:hAnsi="Verdana"/>
          <w:color w:val="0070C0"/>
          <w:sz w:val="20"/>
          <w:szCs w:val="20"/>
          <w:lang w:val="bg-BG" w:eastAsia="cs-CZ"/>
        </w:rPr>
        <w:t xml:space="preserve">Оперативна програма „Иновации и конкурентоспособност” (ОПИК) </w:t>
      </w:r>
      <w:r w:rsidR="005106CE" w:rsidRPr="00B45B4F">
        <w:rPr>
          <w:rFonts w:ascii="Verdana" w:hAnsi="Verdana"/>
          <w:color w:val="0070C0"/>
          <w:sz w:val="20"/>
          <w:szCs w:val="20"/>
          <w:lang w:val="bg-BG" w:eastAsia="cs-CZ"/>
        </w:rPr>
        <w:t>2014–2020</w:t>
      </w:r>
      <w:r w:rsidRPr="00B45B4F">
        <w:rPr>
          <w:rFonts w:ascii="Verdana" w:hAnsi="Verdana"/>
          <w:color w:val="0070C0"/>
          <w:sz w:val="20"/>
          <w:szCs w:val="20"/>
          <w:lang w:val="bg-BG" w:eastAsia="cs-CZ"/>
        </w:rPr>
        <w:t> г.</w:t>
      </w:r>
    </w:p>
    <w:p w:rsidR="006F74A8" w:rsidRPr="00B45B4F" w:rsidRDefault="006F74A8" w:rsidP="006F74A8">
      <w:pPr>
        <w:pStyle w:val="Caption"/>
        <w:jc w:val="center"/>
        <w:rPr>
          <w:rFonts w:ascii="Verdana" w:hAnsi="Verdana"/>
          <w:color w:val="006CB6"/>
        </w:rPr>
      </w:pPr>
    </w:p>
    <w:tbl>
      <w:tblPr>
        <w:tblW w:w="9090" w:type="dxa"/>
        <w:tblInd w:w="108" w:type="dxa"/>
        <w:tblLook w:val="04A0" w:firstRow="1" w:lastRow="0" w:firstColumn="1" w:lastColumn="0" w:noHBand="0" w:noVBand="1"/>
      </w:tblPr>
      <w:tblGrid>
        <w:gridCol w:w="9090"/>
      </w:tblGrid>
      <w:tr w:rsidR="006F74A8" w:rsidRPr="00B45B4F" w:rsidTr="00FB78CA">
        <w:tc>
          <w:tcPr>
            <w:tcW w:w="9090" w:type="dxa"/>
            <w:shd w:val="clear" w:color="auto" w:fill="auto"/>
          </w:tcPr>
          <w:p w:rsidR="006F74A8" w:rsidRPr="00B45B4F" w:rsidRDefault="006F74A8" w:rsidP="006F74A8">
            <w:pPr>
              <w:pBdr>
                <w:top w:val="single" w:sz="4" w:space="1" w:color="auto"/>
                <w:bottom w:val="single" w:sz="4" w:space="1" w:color="auto"/>
              </w:pBdr>
              <w:shd w:val="clear" w:color="auto" w:fill="548DD4" w:themeFill="text2" w:themeFillTint="99"/>
              <w:rPr>
                <w:rFonts w:ascii="Verdana" w:hAnsi="Verdana"/>
                <w:color w:val="FFFFFF" w:themeColor="background1"/>
                <w:sz w:val="20"/>
                <w:szCs w:val="20"/>
                <w:lang w:val="bg-BG" w:eastAsia="fr-BE"/>
              </w:rPr>
            </w:pPr>
            <w:r w:rsidRPr="00B45B4F">
              <w:rPr>
                <w:rFonts w:ascii="Verdana" w:hAnsi="Verdana"/>
                <w:color w:val="FFFFFF" w:themeColor="background1"/>
                <w:sz w:val="20"/>
                <w:szCs w:val="20"/>
                <w:lang w:val="bg-BG" w:eastAsia="fr-BE"/>
              </w:rPr>
              <w:t>Приоритетна ос 1: Предприемачество, експортен и производствен потенциал</w:t>
            </w:r>
          </w:p>
          <w:p w:rsidR="006F74A8" w:rsidRPr="00B45B4F" w:rsidRDefault="006F74A8" w:rsidP="006861B0">
            <w:pPr>
              <w:pStyle w:val="ListParagraph"/>
              <w:numPr>
                <w:ilvl w:val="1"/>
                <w:numId w:val="43"/>
              </w:numPr>
              <w:autoSpaceDE w:val="0"/>
              <w:autoSpaceDN w:val="0"/>
              <w:adjustRightInd w:val="0"/>
              <w:spacing w:after="120"/>
              <w:ind w:left="540" w:hanging="450"/>
              <w:jc w:val="both"/>
              <w:rPr>
                <w:rFonts w:ascii="Verdana" w:hAnsi="Verdana"/>
                <w:bCs/>
                <w:sz w:val="20"/>
                <w:szCs w:val="20"/>
                <w:lang w:val="bg-BG"/>
              </w:rPr>
            </w:pPr>
            <w:r w:rsidRPr="00B45B4F">
              <w:rPr>
                <w:rFonts w:ascii="Verdana" w:hAnsi="Verdana"/>
                <w:bCs/>
                <w:sz w:val="20"/>
                <w:szCs w:val="20"/>
                <w:lang w:val="bg-BG"/>
              </w:rPr>
              <w:t xml:space="preserve">„Насърчаване на инвестициите в научноизследователска и иновационна дейност“ (технологично развитие и иновации) </w:t>
            </w:r>
          </w:p>
          <w:p w:rsidR="006F74A8" w:rsidRPr="00B45B4F" w:rsidRDefault="006F74A8" w:rsidP="006861B0">
            <w:pPr>
              <w:pStyle w:val="ListParagraph"/>
              <w:numPr>
                <w:ilvl w:val="1"/>
                <w:numId w:val="43"/>
              </w:numPr>
              <w:autoSpaceDE w:val="0"/>
              <w:autoSpaceDN w:val="0"/>
              <w:adjustRightInd w:val="0"/>
              <w:spacing w:after="120"/>
              <w:ind w:left="540" w:hanging="450"/>
              <w:jc w:val="both"/>
              <w:rPr>
                <w:rFonts w:ascii="Verdana" w:hAnsi="Verdana"/>
                <w:bCs/>
                <w:sz w:val="20"/>
                <w:szCs w:val="20"/>
                <w:lang w:val="bg-BG"/>
              </w:rPr>
            </w:pPr>
            <w:r w:rsidRPr="00B45B4F">
              <w:rPr>
                <w:rFonts w:ascii="Verdana" w:hAnsi="Verdana"/>
                <w:bCs/>
                <w:sz w:val="20"/>
                <w:szCs w:val="20"/>
                <w:lang w:val="bg-BG"/>
              </w:rPr>
              <w:t>Подкрепа за повишаване капацитета на МСП за увеличаване приноса им към икономическия растеж и развитието на иновационни процеси“ (конкурентоспособност и продуктивност)</w:t>
            </w:r>
          </w:p>
          <w:p w:rsidR="006F74A8" w:rsidRPr="00B45B4F" w:rsidRDefault="006F74A8" w:rsidP="006F74A8">
            <w:pPr>
              <w:pBdr>
                <w:top w:val="single" w:sz="4" w:space="0" w:color="auto"/>
                <w:left w:val="single" w:sz="4" w:space="4" w:color="auto"/>
                <w:bottom w:val="single" w:sz="4" w:space="1" w:color="auto"/>
                <w:right w:val="single" w:sz="4" w:space="4" w:color="auto"/>
              </w:pBdr>
              <w:shd w:val="clear" w:color="auto" w:fill="548DD4" w:themeFill="text2" w:themeFillTint="99"/>
              <w:rPr>
                <w:rFonts w:ascii="Verdana" w:hAnsi="Verdana"/>
                <w:color w:val="FFFFFF" w:themeColor="background1"/>
                <w:sz w:val="20"/>
                <w:szCs w:val="20"/>
                <w:lang w:val="bg-BG" w:eastAsia="fr-BE"/>
              </w:rPr>
            </w:pPr>
            <w:r w:rsidRPr="00B45B4F">
              <w:rPr>
                <w:rFonts w:ascii="Verdana" w:hAnsi="Verdana"/>
                <w:color w:val="FFFFFF" w:themeColor="background1"/>
                <w:sz w:val="20"/>
                <w:szCs w:val="20"/>
                <w:lang w:val="bg-BG" w:eastAsia="fr-BE"/>
              </w:rPr>
              <w:t>Приоритетна ос 2: Зелена и ефективна икономика</w:t>
            </w:r>
          </w:p>
          <w:p w:rsidR="006F74A8" w:rsidRPr="00B45B4F" w:rsidRDefault="006F74A8" w:rsidP="006861B0">
            <w:pPr>
              <w:pStyle w:val="ListParagraph"/>
              <w:numPr>
                <w:ilvl w:val="0"/>
                <w:numId w:val="44"/>
              </w:numPr>
              <w:autoSpaceDE w:val="0"/>
              <w:autoSpaceDN w:val="0"/>
              <w:adjustRightInd w:val="0"/>
              <w:spacing w:after="120"/>
              <w:ind w:left="540" w:hanging="450"/>
              <w:jc w:val="both"/>
              <w:rPr>
                <w:rFonts w:ascii="Verdana" w:hAnsi="Verdana"/>
                <w:sz w:val="20"/>
                <w:szCs w:val="20"/>
                <w:lang w:val="bg-BG" w:eastAsia="bg-BG"/>
              </w:rPr>
            </w:pPr>
            <w:r w:rsidRPr="00B45B4F">
              <w:rPr>
                <w:rFonts w:ascii="Verdana" w:hAnsi="Verdana"/>
                <w:bCs/>
                <w:sz w:val="20"/>
                <w:szCs w:val="20"/>
                <w:lang w:val="bg-BG"/>
              </w:rPr>
              <w:t xml:space="preserve">„Подкрепа за преход към ресурсно ефективна и зелена икономика” (ресурсна ефективност на предприятията) </w:t>
            </w:r>
          </w:p>
          <w:p w:rsidR="006F74A8" w:rsidRPr="00B45B4F" w:rsidRDefault="006F74A8" w:rsidP="006861B0">
            <w:pPr>
              <w:pStyle w:val="ListParagraph"/>
              <w:numPr>
                <w:ilvl w:val="0"/>
                <w:numId w:val="44"/>
              </w:numPr>
              <w:autoSpaceDE w:val="0"/>
              <w:autoSpaceDN w:val="0"/>
              <w:adjustRightInd w:val="0"/>
              <w:spacing w:after="120"/>
              <w:ind w:left="540" w:hanging="450"/>
              <w:jc w:val="both"/>
              <w:rPr>
                <w:rFonts w:ascii="Verdana" w:hAnsi="Verdana"/>
                <w:sz w:val="20"/>
                <w:szCs w:val="20"/>
                <w:lang w:val="bg-BG" w:eastAsia="bg-BG"/>
              </w:rPr>
            </w:pPr>
            <w:r w:rsidRPr="00B45B4F">
              <w:rPr>
                <w:rFonts w:ascii="Verdana" w:hAnsi="Verdana"/>
                <w:bCs/>
                <w:sz w:val="20"/>
                <w:szCs w:val="20"/>
                <w:lang w:val="bg-BG"/>
              </w:rPr>
              <w:t xml:space="preserve">„Насърчаване на енергийната ефективност и използването на енергия от </w:t>
            </w:r>
            <w:r w:rsidRPr="00B45B4F">
              <w:rPr>
                <w:rFonts w:ascii="Verdana" w:hAnsi="Verdana"/>
                <w:bCs/>
                <w:sz w:val="20"/>
                <w:szCs w:val="20"/>
                <w:lang w:val="bg-BG"/>
              </w:rPr>
              <w:lastRenderedPageBreak/>
              <w:t>възобновяеми източници в предприятията” (енергийни технологии и енергийна ефективност)</w:t>
            </w:r>
          </w:p>
        </w:tc>
      </w:tr>
    </w:tbl>
    <w:p w:rsidR="006F74A8" w:rsidRPr="00B45B4F" w:rsidRDefault="006F74A8" w:rsidP="006F74A8">
      <w:pPr>
        <w:pStyle w:val="Caption"/>
        <w:jc w:val="center"/>
        <w:rPr>
          <w:rFonts w:ascii="Verdana" w:hAnsi="Verdana"/>
          <w:color w:val="006CB6"/>
        </w:rPr>
      </w:pPr>
    </w:p>
    <w:p w:rsidR="006F74A8" w:rsidRPr="00B45B4F" w:rsidRDefault="006F74A8" w:rsidP="007F3F68">
      <w:pPr>
        <w:keepNext/>
        <w:spacing w:before="240" w:after="120"/>
        <w:rPr>
          <w:rFonts w:ascii="Verdana" w:hAnsi="Verdana"/>
          <w:b/>
          <w:color w:val="548DD4" w:themeColor="text2" w:themeTint="99"/>
          <w:sz w:val="20"/>
          <w:szCs w:val="20"/>
          <w:lang w:val="bg-BG"/>
        </w:rPr>
      </w:pPr>
      <w:bookmarkStart w:id="56" w:name="_Toc395612559"/>
      <w:r w:rsidRPr="00B45B4F">
        <w:rPr>
          <w:rFonts w:ascii="Verdana" w:hAnsi="Verdana"/>
          <w:b/>
          <w:color w:val="548DD4" w:themeColor="text2" w:themeTint="99"/>
          <w:sz w:val="20"/>
          <w:szCs w:val="20"/>
          <w:lang w:val="bg-BG"/>
        </w:rPr>
        <w:t xml:space="preserve">Таблица </w:t>
      </w:r>
      <w:r w:rsidR="00BF1936" w:rsidRPr="00B45B4F">
        <w:rPr>
          <w:rFonts w:ascii="Verdana" w:hAnsi="Verdana"/>
          <w:b/>
          <w:color w:val="548DD4" w:themeColor="text2" w:themeTint="99"/>
          <w:sz w:val="20"/>
          <w:szCs w:val="20"/>
          <w:lang w:val="bg-BG"/>
        </w:rPr>
        <w:fldChar w:fldCharType="begin"/>
      </w:r>
      <w:r w:rsidRPr="00B45B4F">
        <w:rPr>
          <w:rFonts w:ascii="Verdana" w:hAnsi="Verdana"/>
          <w:b/>
          <w:color w:val="548DD4" w:themeColor="text2" w:themeTint="99"/>
          <w:sz w:val="20"/>
          <w:szCs w:val="20"/>
          <w:lang w:val="bg-BG"/>
        </w:rPr>
        <w:instrText xml:space="preserve"> SEQ Таблица \* ARABIC </w:instrText>
      </w:r>
      <w:r w:rsidR="00BF1936" w:rsidRPr="00B45B4F">
        <w:rPr>
          <w:rFonts w:ascii="Verdana" w:hAnsi="Verdana"/>
          <w:b/>
          <w:color w:val="548DD4" w:themeColor="text2" w:themeTint="99"/>
          <w:sz w:val="20"/>
          <w:szCs w:val="20"/>
          <w:lang w:val="bg-BG"/>
        </w:rPr>
        <w:fldChar w:fldCharType="separate"/>
      </w:r>
      <w:r w:rsidR="001361E0">
        <w:rPr>
          <w:rFonts w:ascii="Verdana" w:hAnsi="Verdana"/>
          <w:b/>
          <w:noProof/>
          <w:color w:val="548DD4" w:themeColor="text2" w:themeTint="99"/>
          <w:sz w:val="20"/>
          <w:szCs w:val="20"/>
          <w:lang w:val="bg-BG"/>
        </w:rPr>
        <w:t>3</w:t>
      </w:r>
      <w:r w:rsidR="00BF1936" w:rsidRPr="00B45B4F">
        <w:rPr>
          <w:rFonts w:ascii="Verdana" w:hAnsi="Verdana"/>
          <w:b/>
          <w:color w:val="548DD4" w:themeColor="text2" w:themeTint="99"/>
          <w:sz w:val="20"/>
          <w:szCs w:val="20"/>
          <w:lang w:val="bg-BG"/>
        </w:rPr>
        <w:fldChar w:fldCharType="end"/>
      </w:r>
      <w:r w:rsidRPr="00B45B4F">
        <w:rPr>
          <w:rFonts w:ascii="Verdana" w:hAnsi="Verdana"/>
          <w:b/>
          <w:color w:val="548DD4" w:themeColor="text2" w:themeTint="99"/>
          <w:sz w:val="20"/>
          <w:szCs w:val="20"/>
          <w:lang w:val="bg-BG"/>
        </w:rPr>
        <w:t>: Връзки между приоритетите на ОПНОИР и ОПИК</w:t>
      </w:r>
      <w:bookmarkEnd w:id="56"/>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1260"/>
        <w:gridCol w:w="900"/>
        <w:gridCol w:w="900"/>
        <w:gridCol w:w="720"/>
        <w:gridCol w:w="720"/>
        <w:gridCol w:w="630"/>
        <w:gridCol w:w="990"/>
        <w:gridCol w:w="1080"/>
      </w:tblGrid>
      <w:tr w:rsidR="006F74A8" w:rsidRPr="00B45B4F" w:rsidTr="00952C4A">
        <w:trPr>
          <w:trHeight w:val="510"/>
        </w:trPr>
        <w:tc>
          <w:tcPr>
            <w:tcW w:w="2340" w:type="dxa"/>
            <w:shd w:val="clear" w:color="000000" w:fill="548DD4"/>
            <w:vAlign w:val="center"/>
            <w:hideMark/>
          </w:tcPr>
          <w:p w:rsidR="006F74A8" w:rsidRPr="00B45B4F" w:rsidRDefault="006F74A8" w:rsidP="006F74A8">
            <w:pPr>
              <w:spacing w:after="0" w:line="240" w:lineRule="auto"/>
              <w:jc w:val="center"/>
              <w:rPr>
                <w:rFonts w:ascii="Verdana" w:eastAsia="Times New Roman" w:hAnsi="Verdana"/>
                <w:bCs/>
                <w:color w:val="FFFFFF"/>
                <w:sz w:val="18"/>
                <w:szCs w:val="18"/>
                <w:lang w:val="bg-BG"/>
              </w:rPr>
            </w:pPr>
            <w:r w:rsidRPr="00B45B4F">
              <w:rPr>
                <w:rFonts w:ascii="Verdana" w:eastAsia="Times New Roman" w:hAnsi="Verdana"/>
                <w:bCs/>
                <w:color w:val="FFFFFF"/>
                <w:sz w:val="18"/>
                <w:szCs w:val="18"/>
                <w:lang w:val="bg-BG"/>
              </w:rPr>
              <w:t>Оперативна програма / приоритетна ос</w:t>
            </w:r>
          </w:p>
        </w:tc>
        <w:tc>
          <w:tcPr>
            <w:tcW w:w="1260" w:type="dxa"/>
            <w:shd w:val="clear" w:color="000000" w:fill="548DD4"/>
            <w:vAlign w:val="center"/>
            <w:hideMark/>
          </w:tcPr>
          <w:p w:rsidR="006F74A8" w:rsidRPr="00B45B4F" w:rsidRDefault="006F74A8" w:rsidP="006F74A8">
            <w:pPr>
              <w:spacing w:after="0" w:line="240" w:lineRule="auto"/>
              <w:jc w:val="center"/>
              <w:rPr>
                <w:rFonts w:ascii="Verdana" w:eastAsia="Times New Roman" w:hAnsi="Verdana"/>
                <w:bCs/>
                <w:color w:val="FFFFFF"/>
                <w:sz w:val="18"/>
                <w:szCs w:val="18"/>
                <w:lang w:val="bg-BG"/>
              </w:rPr>
            </w:pPr>
            <w:r w:rsidRPr="00B45B4F">
              <w:rPr>
                <w:rFonts w:ascii="Verdana" w:eastAsia="Times New Roman" w:hAnsi="Verdana"/>
                <w:bCs/>
                <w:color w:val="FFFFFF"/>
                <w:sz w:val="18"/>
                <w:szCs w:val="18"/>
                <w:lang w:val="bg-BG"/>
              </w:rPr>
              <w:t>ОПНОИР</w:t>
            </w:r>
          </w:p>
        </w:tc>
        <w:tc>
          <w:tcPr>
            <w:tcW w:w="1800" w:type="dxa"/>
            <w:gridSpan w:val="2"/>
            <w:shd w:val="clear" w:color="000000" w:fill="548DD4"/>
            <w:vAlign w:val="center"/>
            <w:hideMark/>
          </w:tcPr>
          <w:p w:rsidR="006F74A8" w:rsidRPr="00B45B4F" w:rsidRDefault="006F74A8" w:rsidP="006F74A8">
            <w:pPr>
              <w:spacing w:after="0" w:line="240" w:lineRule="auto"/>
              <w:jc w:val="center"/>
              <w:rPr>
                <w:rFonts w:ascii="Verdana" w:eastAsia="Times New Roman" w:hAnsi="Verdana"/>
                <w:color w:val="FFFFFF"/>
                <w:sz w:val="18"/>
                <w:szCs w:val="18"/>
                <w:lang w:val="bg-BG"/>
              </w:rPr>
            </w:pPr>
            <w:r w:rsidRPr="00B45B4F">
              <w:rPr>
                <w:rFonts w:ascii="Verdana" w:eastAsia="Times New Roman" w:hAnsi="Verdana"/>
                <w:color w:val="FFFFFF"/>
                <w:sz w:val="18"/>
                <w:szCs w:val="18"/>
                <w:lang w:val="bg-BG"/>
              </w:rPr>
              <w:t>ПО 1: Научни изследвания и технологично развитие</w:t>
            </w:r>
          </w:p>
        </w:tc>
        <w:tc>
          <w:tcPr>
            <w:tcW w:w="2070" w:type="dxa"/>
            <w:gridSpan w:val="3"/>
            <w:shd w:val="clear" w:color="000000" w:fill="548DD4"/>
            <w:vAlign w:val="center"/>
            <w:hideMark/>
          </w:tcPr>
          <w:p w:rsidR="006F74A8" w:rsidRPr="00B45B4F" w:rsidRDefault="006F74A8" w:rsidP="006F74A8">
            <w:pPr>
              <w:spacing w:after="0" w:line="240" w:lineRule="auto"/>
              <w:jc w:val="center"/>
              <w:rPr>
                <w:rFonts w:ascii="Verdana" w:eastAsia="Times New Roman" w:hAnsi="Verdana"/>
                <w:color w:val="FFFFFF"/>
                <w:sz w:val="18"/>
                <w:szCs w:val="18"/>
                <w:lang w:val="bg-BG"/>
              </w:rPr>
            </w:pPr>
            <w:r w:rsidRPr="00B45B4F">
              <w:rPr>
                <w:rFonts w:ascii="Verdana" w:eastAsia="Times New Roman" w:hAnsi="Verdana"/>
                <w:color w:val="FFFFFF"/>
                <w:sz w:val="18"/>
                <w:szCs w:val="18"/>
                <w:lang w:val="bg-BG"/>
              </w:rPr>
              <w:t>ПО 2: Образование и учене през целия живот</w:t>
            </w:r>
          </w:p>
        </w:tc>
        <w:tc>
          <w:tcPr>
            <w:tcW w:w="2070" w:type="dxa"/>
            <w:gridSpan w:val="2"/>
            <w:shd w:val="clear" w:color="000000" w:fill="548DD4"/>
            <w:vAlign w:val="center"/>
            <w:hideMark/>
          </w:tcPr>
          <w:p w:rsidR="006F74A8" w:rsidRPr="00B45B4F" w:rsidRDefault="006F74A8" w:rsidP="00E55E63">
            <w:pPr>
              <w:spacing w:after="0" w:line="240" w:lineRule="auto"/>
              <w:ind w:left="-108" w:right="-108"/>
              <w:jc w:val="center"/>
              <w:rPr>
                <w:rFonts w:ascii="Verdana" w:eastAsia="Times New Roman" w:hAnsi="Verdana"/>
                <w:color w:val="FFFFFF"/>
                <w:sz w:val="18"/>
                <w:szCs w:val="18"/>
                <w:lang w:val="bg-BG"/>
              </w:rPr>
            </w:pPr>
            <w:r w:rsidRPr="00B45B4F">
              <w:rPr>
                <w:rFonts w:ascii="Verdana" w:eastAsia="Times New Roman" w:hAnsi="Verdana"/>
                <w:color w:val="FFFFFF"/>
                <w:sz w:val="18"/>
                <w:szCs w:val="18"/>
                <w:lang w:val="bg-BG"/>
              </w:rPr>
              <w:t>ПО 3: Обра</w:t>
            </w:r>
            <w:r w:rsidR="00E55E63" w:rsidRPr="00B45B4F">
              <w:rPr>
                <w:rFonts w:ascii="Verdana" w:eastAsia="Times New Roman" w:hAnsi="Verdana"/>
                <w:color w:val="FFFFFF"/>
                <w:sz w:val="18"/>
                <w:szCs w:val="18"/>
                <w:lang w:val="bg-BG"/>
              </w:rPr>
              <w:t xml:space="preserve">зователна среда за активно </w:t>
            </w:r>
            <w:proofErr w:type="spellStart"/>
            <w:r w:rsidR="00E55E63" w:rsidRPr="00B45B4F">
              <w:rPr>
                <w:rFonts w:ascii="Verdana" w:eastAsia="Times New Roman" w:hAnsi="Verdana"/>
                <w:color w:val="FFFFFF"/>
                <w:sz w:val="18"/>
                <w:szCs w:val="18"/>
                <w:lang w:val="bg-BG"/>
              </w:rPr>
              <w:t>соц.</w:t>
            </w:r>
            <w:r w:rsidRPr="00B45B4F">
              <w:rPr>
                <w:rFonts w:ascii="Verdana" w:eastAsia="Times New Roman" w:hAnsi="Verdana"/>
                <w:color w:val="FFFFFF"/>
                <w:sz w:val="18"/>
                <w:szCs w:val="18"/>
                <w:lang w:val="bg-BG"/>
              </w:rPr>
              <w:t>приобщаване</w:t>
            </w:r>
            <w:proofErr w:type="spellEnd"/>
          </w:p>
        </w:tc>
      </w:tr>
      <w:tr w:rsidR="006F74A8" w:rsidRPr="00B45B4F" w:rsidTr="00FB78CA">
        <w:trPr>
          <w:trHeight w:val="300"/>
        </w:trPr>
        <w:tc>
          <w:tcPr>
            <w:tcW w:w="2340" w:type="dxa"/>
            <w:shd w:val="clear" w:color="auto" w:fill="548DD4" w:themeFill="text2" w:themeFillTint="99"/>
            <w:vAlign w:val="center"/>
            <w:hideMark/>
          </w:tcPr>
          <w:p w:rsidR="006F74A8" w:rsidRPr="00B45B4F" w:rsidRDefault="006F74A8" w:rsidP="006F74A8">
            <w:pPr>
              <w:spacing w:after="0" w:line="240" w:lineRule="auto"/>
              <w:jc w:val="center"/>
              <w:rPr>
                <w:rFonts w:ascii="Verdana" w:eastAsia="Times New Roman" w:hAnsi="Verdana"/>
                <w:bCs/>
                <w:color w:val="FFFFFF"/>
                <w:sz w:val="18"/>
                <w:szCs w:val="18"/>
                <w:lang w:val="bg-BG"/>
              </w:rPr>
            </w:pPr>
            <w:r w:rsidRPr="00B45B4F">
              <w:rPr>
                <w:rFonts w:ascii="Verdana" w:eastAsia="Times New Roman" w:hAnsi="Verdana"/>
                <w:bCs/>
                <w:color w:val="FFFFFF"/>
                <w:sz w:val="18"/>
                <w:szCs w:val="18"/>
                <w:lang w:val="bg-BG"/>
              </w:rPr>
              <w:t>ОПИК</w:t>
            </w:r>
          </w:p>
        </w:tc>
        <w:tc>
          <w:tcPr>
            <w:tcW w:w="1260" w:type="dxa"/>
            <w:shd w:val="clear" w:color="000000" w:fill="C6D9F1"/>
            <w:vAlign w:val="bottom"/>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Приоритет</w:t>
            </w:r>
          </w:p>
        </w:tc>
        <w:tc>
          <w:tcPr>
            <w:tcW w:w="900" w:type="dxa"/>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1.1</w:t>
            </w:r>
          </w:p>
        </w:tc>
        <w:tc>
          <w:tcPr>
            <w:tcW w:w="900" w:type="dxa"/>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1.2</w:t>
            </w:r>
          </w:p>
        </w:tc>
        <w:tc>
          <w:tcPr>
            <w:tcW w:w="720" w:type="dxa"/>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2.1</w:t>
            </w:r>
          </w:p>
        </w:tc>
        <w:tc>
          <w:tcPr>
            <w:tcW w:w="720" w:type="dxa"/>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2.2</w:t>
            </w:r>
          </w:p>
        </w:tc>
        <w:tc>
          <w:tcPr>
            <w:tcW w:w="630" w:type="dxa"/>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2.3</w:t>
            </w:r>
          </w:p>
        </w:tc>
        <w:tc>
          <w:tcPr>
            <w:tcW w:w="990" w:type="dxa"/>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3.1</w:t>
            </w:r>
          </w:p>
        </w:tc>
        <w:tc>
          <w:tcPr>
            <w:tcW w:w="1080" w:type="dxa"/>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3.2</w:t>
            </w:r>
          </w:p>
        </w:tc>
      </w:tr>
      <w:tr w:rsidR="006F74A8" w:rsidRPr="00B45B4F" w:rsidTr="00FB78CA">
        <w:trPr>
          <w:trHeight w:val="653"/>
        </w:trPr>
        <w:tc>
          <w:tcPr>
            <w:tcW w:w="2340" w:type="dxa"/>
            <w:vMerge w:val="restart"/>
            <w:shd w:val="clear" w:color="auto" w:fill="548DD4" w:themeFill="text2" w:themeFillTint="99"/>
            <w:vAlign w:val="center"/>
            <w:hideMark/>
          </w:tcPr>
          <w:p w:rsidR="006F74A8" w:rsidRPr="00B45B4F" w:rsidRDefault="006F74A8" w:rsidP="006F74A8">
            <w:pPr>
              <w:spacing w:after="0" w:line="240" w:lineRule="auto"/>
              <w:jc w:val="center"/>
              <w:rPr>
                <w:rFonts w:ascii="Verdana" w:eastAsia="Times New Roman" w:hAnsi="Verdana"/>
                <w:bCs/>
                <w:color w:val="FFFFFF"/>
                <w:sz w:val="18"/>
                <w:szCs w:val="18"/>
                <w:lang w:val="bg-BG"/>
              </w:rPr>
            </w:pPr>
            <w:r w:rsidRPr="00B45B4F">
              <w:rPr>
                <w:rFonts w:ascii="Verdana" w:eastAsia="Times New Roman" w:hAnsi="Verdana"/>
                <w:bCs/>
                <w:color w:val="FFFFFF"/>
                <w:sz w:val="18"/>
                <w:szCs w:val="18"/>
                <w:lang w:val="bg-BG"/>
              </w:rPr>
              <w:t>ПО 1:</w:t>
            </w:r>
            <w:r w:rsidRPr="00B45B4F">
              <w:rPr>
                <w:rFonts w:ascii="Verdana" w:eastAsia="Times New Roman" w:hAnsi="Verdana"/>
                <w:color w:val="FFFFFF"/>
                <w:sz w:val="18"/>
                <w:szCs w:val="18"/>
                <w:lang w:val="bg-BG"/>
              </w:rPr>
              <w:t xml:space="preserve"> Предприемачество, експортен и производствен потенциал</w:t>
            </w:r>
          </w:p>
        </w:tc>
        <w:tc>
          <w:tcPr>
            <w:tcW w:w="1260" w:type="dxa"/>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1.1</w:t>
            </w:r>
          </w:p>
        </w:tc>
        <w:tc>
          <w:tcPr>
            <w:tcW w:w="900" w:type="dxa"/>
            <w:shd w:val="clear" w:color="auto" w:fill="auto"/>
            <w:vAlign w:val="center"/>
            <w:hideMark/>
          </w:tcPr>
          <w:p w:rsidR="006F74A8" w:rsidRPr="00B45B4F" w:rsidRDefault="00382753" w:rsidP="006F74A8">
            <w:pPr>
              <w:spacing w:after="0" w:line="240" w:lineRule="auto"/>
              <w:jc w:val="center"/>
              <w:rPr>
                <w:rFonts w:ascii="Verdana" w:eastAsia="Times New Roman" w:hAnsi="Verdana"/>
                <w:color w:val="0070C0"/>
                <w:sz w:val="18"/>
                <w:szCs w:val="18"/>
                <w:lang w:val="bg-BG"/>
              </w:rPr>
            </w:pPr>
            <w:r w:rsidRPr="00B45B4F">
              <w:rPr>
                <w:rFonts w:ascii="Wingdings 2" w:eastAsia="Times New Roman" w:hAnsi="Wingdings 2"/>
                <w:color w:val="0070C0"/>
                <w:sz w:val="26"/>
                <w:szCs w:val="26"/>
                <w:lang w:val="bg-BG"/>
              </w:rPr>
              <w:t></w:t>
            </w:r>
            <w:r w:rsidRPr="00B45B4F">
              <w:rPr>
                <w:rFonts w:ascii="Wingdings 2" w:eastAsia="Times New Roman" w:hAnsi="Wingdings 2"/>
                <w:color w:val="0070C0"/>
                <w:sz w:val="26"/>
                <w:szCs w:val="26"/>
                <w:lang w:val="bg-BG"/>
              </w:rPr>
              <w:t></w:t>
            </w:r>
            <w:r w:rsidRPr="00B45B4F">
              <w:rPr>
                <w:rFonts w:ascii="Wingdings 2" w:eastAsia="Times New Roman" w:hAnsi="Wingdings 2"/>
                <w:color w:val="0070C0"/>
                <w:sz w:val="26"/>
                <w:szCs w:val="26"/>
                <w:lang w:val="bg-BG"/>
              </w:rPr>
              <w:t></w:t>
            </w:r>
          </w:p>
        </w:tc>
        <w:tc>
          <w:tcPr>
            <w:tcW w:w="900" w:type="dxa"/>
            <w:shd w:val="clear" w:color="auto" w:fill="auto"/>
            <w:vAlign w:val="center"/>
            <w:hideMark/>
          </w:tcPr>
          <w:p w:rsidR="006F74A8" w:rsidRPr="00B45B4F" w:rsidRDefault="00382753" w:rsidP="006F74A8">
            <w:pPr>
              <w:spacing w:after="0" w:line="240" w:lineRule="auto"/>
              <w:jc w:val="center"/>
              <w:rPr>
                <w:rFonts w:ascii="Verdana" w:eastAsia="Times New Roman" w:hAnsi="Verdana"/>
                <w:color w:val="0070C0"/>
                <w:sz w:val="18"/>
                <w:szCs w:val="18"/>
                <w:lang w:val="bg-BG"/>
              </w:rPr>
            </w:pPr>
            <w:r w:rsidRPr="00B45B4F">
              <w:rPr>
                <w:rFonts w:ascii="Wingdings 2" w:eastAsia="Times New Roman" w:hAnsi="Wingdings 2"/>
                <w:color w:val="0070C0"/>
                <w:sz w:val="26"/>
                <w:szCs w:val="26"/>
                <w:lang w:val="bg-BG"/>
              </w:rPr>
              <w:t></w:t>
            </w:r>
            <w:r w:rsidRPr="00B45B4F">
              <w:rPr>
                <w:rFonts w:ascii="Wingdings 2" w:eastAsia="Times New Roman" w:hAnsi="Wingdings 2"/>
                <w:color w:val="0070C0"/>
                <w:sz w:val="26"/>
                <w:szCs w:val="26"/>
                <w:lang w:val="bg-BG"/>
              </w:rPr>
              <w:t></w:t>
            </w:r>
            <w:r w:rsidRPr="00B45B4F">
              <w:rPr>
                <w:rFonts w:ascii="Wingdings 2" w:eastAsia="Times New Roman" w:hAnsi="Wingdings 2"/>
                <w:color w:val="0070C0"/>
                <w:sz w:val="26"/>
                <w:szCs w:val="26"/>
                <w:lang w:val="bg-BG"/>
              </w:rPr>
              <w:t></w:t>
            </w:r>
          </w:p>
        </w:tc>
        <w:tc>
          <w:tcPr>
            <w:tcW w:w="72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63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99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108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p>
        </w:tc>
      </w:tr>
      <w:tr w:rsidR="006F74A8" w:rsidRPr="00B45B4F" w:rsidTr="00FB78CA">
        <w:trPr>
          <w:trHeight w:val="330"/>
        </w:trPr>
        <w:tc>
          <w:tcPr>
            <w:tcW w:w="2340" w:type="dxa"/>
            <w:vMerge/>
            <w:shd w:val="clear" w:color="auto" w:fill="548DD4" w:themeFill="text2" w:themeFillTint="99"/>
            <w:vAlign w:val="center"/>
            <w:hideMark/>
          </w:tcPr>
          <w:p w:rsidR="006F74A8" w:rsidRPr="00B45B4F" w:rsidRDefault="006F74A8" w:rsidP="006F74A8">
            <w:pPr>
              <w:spacing w:after="0" w:line="240" w:lineRule="auto"/>
              <w:rPr>
                <w:rFonts w:ascii="Verdana" w:eastAsia="Times New Roman" w:hAnsi="Verdana"/>
                <w:bCs/>
                <w:color w:val="FFFFFF"/>
                <w:sz w:val="18"/>
                <w:szCs w:val="18"/>
                <w:lang w:val="bg-BG"/>
              </w:rPr>
            </w:pPr>
          </w:p>
        </w:tc>
        <w:tc>
          <w:tcPr>
            <w:tcW w:w="1260" w:type="dxa"/>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1.2</w:t>
            </w:r>
          </w:p>
        </w:tc>
        <w:tc>
          <w:tcPr>
            <w:tcW w:w="90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90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63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99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108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p>
        </w:tc>
      </w:tr>
      <w:tr w:rsidR="006F74A8" w:rsidRPr="00B45B4F" w:rsidTr="00FB78CA">
        <w:trPr>
          <w:trHeight w:val="356"/>
        </w:trPr>
        <w:tc>
          <w:tcPr>
            <w:tcW w:w="2340" w:type="dxa"/>
            <w:vMerge w:val="restart"/>
            <w:shd w:val="clear" w:color="auto" w:fill="548DD4" w:themeFill="text2" w:themeFillTint="99"/>
            <w:vAlign w:val="center"/>
            <w:hideMark/>
          </w:tcPr>
          <w:p w:rsidR="006F74A8" w:rsidRPr="00B45B4F" w:rsidRDefault="006F74A8" w:rsidP="006F74A8">
            <w:pPr>
              <w:spacing w:after="0" w:line="240" w:lineRule="auto"/>
              <w:jc w:val="center"/>
              <w:rPr>
                <w:rFonts w:ascii="Verdana" w:eastAsia="Times New Roman" w:hAnsi="Verdana"/>
                <w:bCs/>
                <w:color w:val="FFFFFF"/>
                <w:sz w:val="18"/>
                <w:szCs w:val="18"/>
                <w:lang w:val="bg-BG"/>
              </w:rPr>
            </w:pPr>
            <w:r w:rsidRPr="00B45B4F">
              <w:rPr>
                <w:rFonts w:ascii="Verdana" w:eastAsia="Times New Roman" w:hAnsi="Verdana"/>
                <w:bCs/>
                <w:color w:val="FFFFFF"/>
                <w:sz w:val="18"/>
                <w:szCs w:val="18"/>
                <w:lang w:val="bg-BG"/>
              </w:rPr>
              <w:t>ПО 2:</w:t>
            </w:r>
            <w:r w:rsidRPr="00B45B4F">
              <w:rPr>
                <w:rFonts w:ascii="Verdana" w:eastAsia="Times New Roman" w:hAnsi="Verdana"/>
                <w:color w:val="FFFFFF"/>
                <w:sz w:val="18"/>
                <w:szCs w:val="18"/>
                <w:lang w:val="bg-BG"/>
              </w:rPr>
              <w:t xml:space="preserve"> Зелена и ефективна икономика</w:t>
            </w:r>
          </w:p>
        </w:tc>
        <w:tc>
          <w:tcPr>
            <w:tcW w:w="1260" w:type="dxa"/>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2.1</w:t>
            </w:r>
          </w:p>
        </w:tc>
        <w:tc>
          <w:tcPr>
            <w:tcW w:w="90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90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63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99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108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r>
      <w:tr w:rsidR="006F74A8" w:rsidRPr="00B45B4F" w:rsidTr="00FB78CA">
        <w:trPr>
          <w:trHeight w:val="330"/>
        </w:trPr>
        <w:tc>
          <w:tcPr>
            <w:tcW w:w="2340" w:type="dxa"/>
            <w:vMerge/>
            <w:shd w:val="clear" w:color="auto" w:fill="548DD4" w:themeFill="text2" w:themeFillTint="99"/>
            <w:vAlign w:val="center"/>
            <w:hideMark/>
          </w:tcPr>
          <w:p w:rsidR="006F74A8" w:rsidRPr="00B45B4F" w:rsidRDefault="006F74A8" w:rsidP="006F74A8">
            <w:pPr>
              <w:spacing w:after="0" w:line="240" w:lineRule="auto"/>
              <w:rPr>
                <w:rFonts w:ascii="Verdana" w:eastAsia="Times New Roman" w:hAnsi="Verdana"/>
                <w:bCs/>
                <w:color w:val="FFFFFF"/>
                <w:sz w:val="18"/>
                <w:szCs w:val="18"/>
                <w:lang w:val="bg-BG"/>
              </w:rPr>
            </w:pPr>
          </w:p>
        </w:tc>
        <w:tc>
          <w:tcPr>
            <w:tcW w:w="1260" w:type="dxa"/>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2.2</w:t>
            </w:r>
          </w:p>
        </w:tc>
        <w:tc>
          <w:tcPr>
            <w:tcW w:w="90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90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63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99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108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r>
    </w:tbl>
    <w:p w:rsidR="008410DF" w:rsidRPr="00B45B4F" w:rsidRDefault="008410DF" w:rsidP="008410DF">
      <w:pPr>
        <w:spacing w:before="120"/>
        <w:rPr>
          <w:rFonts w:ascii="Verdana" w:hAnsi="Verdana"/>
          <w:i/>
          <w:sz w:val="18"/>
          <w:szCs w:val="18"/>
          <w:lang w:val="bg-BG" w:eastAsia="bg-BG"/>
        </w:rPr>
      </w:pPr>
      <w:r w:rsidRPr="00B45B4F">
        <w:rPr>
          <w:rFonts w:ascii="Verdana" w:hAnsi="Verdana"/>
          <w:i/>
          <w:sz w:val="18"/>
          <w:szCs w:val="18"/>
          <w:lang w:val="bg-BG" w:eastAsia="bg-BG"/>
        </w:rPr>
        <w:t xml:space="preserve">Легенда: </w:t>
      </w:r>
      <w:r w:rsidRPr="00B45B4F">
        <w:rPr>
          <w:rFonts w:ascii="Wingdings 2" w:eastAsia="Times New Roman" w:hAnsi="Wingdings 2"/>
          <w:color w:val="0070C0"/>
          <w:sz w:val="26"/>
          <w:szCs w:val="26"/>
          <w:lang w:val="bg-BG"/>
        </w:rPr>
        <w:t></w:t>
      </w:r>
      <w:r w:rsidRPr="00B45B4F">
        <w:rPr>
          <w:rFonts w:ascii="Verdana" w:eastAsia="Times New Roman" w:hAnsi="Verdana"/>
          <w:i/>
          <w:sz w:val="18"/>
          <w:szCs w:val="18"/>
          <w:lang w:val="bg-BG"/>
        </w:rPr>
        <w:t xml:space="preserve"> - слаба връзка, </w:t>
      </w:r>
      <w:r w:rsidRPr="00B45B4F">
        <w:rPr>
          <w:rFonts w:ascii="Wingdings 2" w:eastAsia="Times New Roman" w:hAnsi="Wingdings 2"/>
          <w:color w:val="0070C0"/>
          <w:sz w:val="26"/>
          <w:szCs w:val="26"/>
          <w:lang w:val="bg-BG"/>
        </w:rPr>
        <w:t></w:t>
      </w:r>
      <w:r w:rsidRPr="00B45B4F">
        <w:rPr>
          <w:rFonts w:ascii="Wingdings 2" w:eastAsia="Times New Roman" w:hAnsi="Wingdings 2"/>
          <w:color w:val="0070C0"/>
          <w:sz w:val="26"/>
          <w:szCs w:val="26"/>
          <w:lang w:val="bg-BG"/>
        </w:rPr>
        <w:t></w:t>
      </w:r>
      <w:r w:rsidRPr="00B45B4F">
        <w:rPr>
          <w:rFonts w:ascii="Wingdings 2" w:eastAsia="Times New Roman" w:hAnsi="Wingdings 2"/>
          <w:color w:val="0070C0"/>
          <w:sz w:val="26"/>
          <w:szCs w:val="26"/>
          <w:lang w:val="bg-BG"/>
        </w:rPr>
        <w:t></w:t>
      </w:r>
      <w:r w:rsidRPr="009872C0">
        <w:rPr>
          <w:rFonts w:ascii="Verdana" w:eastAsia="Times New Roman" w:hAnsi="Verdana"/>
          <w:sz w:val="26"/>
          <w:szCs w:val="26"/>
          <w:lang w:val="bg-BG"/>
        </w:rPr>
        <w:t xml:space="preserve">- </w:t>
      </w:r>
      <w:r w:rsidRPr="00B45B4F">
        <w:rPr>
          <w:rFonts w:ascii="Verdana" w:eastAsia="Times New Roman" w:hAnsi="Verdana"/>
          <w:i/>
          <w:sz w:val="18"/>
          <w:szCs w:val="18"/>
          <w:lang w:val="bg-BG"/>
        </w:rPr>
        <w:t xml:space="preserve">средно силна връзка, </w:t>
      </w:r>
      <w:r w:rsidRPr="00B45B4F">
        <w:rPr>
          <w:rFonts w:ascii="Wingdings 2" w:eastAsia="Times New Roman" w:hAnsi="Wingdings 2"/>
          <w:color w:val="0070C0"/>
          <w:sz w:val="26"/>
          <w:szCs w:val="26"/>
          <w:lang w:val="bg-BG"/>
        </w:rPr>
        <w:t></w:t>
      </w:r>
      <w:r w:rsidRPr="00B45B4F">
        <w:rPr>
          <w:rFonts w:ascii="Wingdings 2" w:eastAsia="Times New Roman" w:hAnsi="Wingdings 2"/>
          <w:color w:val="0070C0"/>
          <w:sz w:val="26"/>
          <w:szCs w:val="26"/>
          <w:lang w:val="bg-BG"/>
        </w:rPr>
        <w:t></w:t>
      </w:r>
      <w:r w:rsidRPr="00B45B4F">
        <w:rPr>
          <w:rFonts w:ascii="Wingdings 2" w:eastAsia="Times New Roman" w:hAnsi="Wingdings 2"/>
          <w:color w:val="0070C0"/>
          <w:sz w:val="26"/>
          <w:szCs w:val="26"/>
          <w:lang w:val="bg-BG"/>
        </w:rPr>
        <w:t></w:t>
      </w:r>
      <w:r w:rsidRPr="00B45B4F">
        <w:rPr>
          <w:rFonts w:ascii="Verdana" w:eastAsia="Times New Roman" w:hAnsi="Verdana"/>
          <w:i/>
          <w:sz w:val="18"/>
          <w:szCs w:val="18"/>
          <w:lang w:val="bg-BG"/>
        </w:rPr>
        <w:t xml:space="preserve"> - силна връзка</w:t>
      </w:r>
    </w:p>
    <w:p w:rsidR="006F74A8" w:rsidRPr="00B45B4F" w:rsidRDefault="006F74A8" w:rsidP="006F74A8">
      <w:pPr>
        <w:keepNext/>
        <w:spacing w:before="240" w:after="120"/>
        <w:rPr>
          <w:rFonts w:ascii="Verdana" w:hAnsi="Verdana"/>
          <w:b/>
          <w:color w:val="548DD4" w:themeColor="text2" w:themeTint="99"/>
          <w:sz w:val="20"/>
          <w:szCs w:val="20"/>
          <w:lang w:val="bg-BG"/>
        </w:rPr>
      </w:pPr>
      <w:bookmarkStart w:id="57" w:name="_Toc395612560"/>
      <w:r w:rsidRPr="00B45B4F">
        <w:rPr>
          <w:rFonts w:ascii="Verdana" w:hAnsi="Verdana"/>
          <w:b/>
          <w:color w:val="548DD4" w:themeColor="text2" w:themeTint="99"/>
          <w:sz w:val="20"/>
          <w:szCs w:val="20"/>
          <w:lang w:val="bg-BG"/>
        </w:rPr>
        <w:t xml:space="preserve">Таблица </w:t>
      </w:r>
      <w:r w:rsidR="00BF1936" w:rsidRPr="00B45B4F">
        <w:rPr>
          <w:rFonts w:ascii="Verdana" w:hAnsi="Verdana"/>
          <w:b/>
          <w:color w:val="548DD4" w:themeColor="text2" w:themeTint="99"/>
          <w:sz w:val="20"/>
          <w:szCs w:val="20"/>
          <w:lang w:val="bg-BG"/>
        </w:rPr>
        <w:fldChar w:fldCharType="begin"/>
      </w:r>
      <w:r w:rsidRPr="00B45B4F">
        <w:rPr>
          <w:rFonts w:ascii="Verdana" w:hAnsi="Verdana"/>
          <w:b/>
          <w:color w:val="548DD4" w:themeColor="text2" w:themeTint="99"/>
          <w:sz w:val="20"/>
          <w:szCs w:val="20"/>
          <w:lang w:val="bg-BG"/>
        </w:rPr>
        <w:instrText>SEQ таблица \* ARABIC</w:instrText>
      </w:r>
      <w:r w:rsidR="00BF1936" w:rsidRPr="00B45B4F">
        <w:rPr>
          <w:rFonts w:ascii="Verdana" w:hAnsi="Verdana"/>
          <w:b/>
          <w:color w:val="548DD4" w:themeColor="text2" w:themeTint="99"/>
          <w:sz w:val="20"/>
          <w:szCs w:val="20"/>
          <w:lang w:val="bg-BG"/>
        </w:rPr>
        <w:fldChar w:fldCharType="separate"/>
      </w:r>
      <w:r w:rsidR="001361E0">
        <w:rPr>
          <w:rFonts w:ascii="Verdana" w:hAnsi="Verdana"/>
          <w:b/>
          <w:noProof/>
          <w:color w:val="548DD4" w:themeColor="text2" w:themeTint="99"/>
          <w:sz w:val="20"/>
          <w:szCs w:val="20"/>
          <w:lang w:val="bg-BG"/>
        </w:rPr>
        <w:t>4</w:t>
      </w:r>
      <w:r w:rsidR="00BF1936" w:rsidRPr="00B45B4F">
        <w:rPr>
          <w:rFonts w:ascii="Verdana" w:hAnsi="Verdana"/>
          <w:b/>
          <w:color w:val="548DD4" w:themeColor="text2" w:themeTint="99"/>
          <w:sz w:val="20"/>
          <w:szCs w:val="20"/>
          <w:lang w:val="bg-BG"/>
        </w:rPr>
        <w:fldChar w:fldCharType="end"/>
      </w:r>
      <w:r w:rsidRPr="00B45B4F">
        <w:rPr>
          <w:rFonts w:ascii="Verdana" w:hAnsi="Verdana"/>
          <w:b/>
          <w:color w:val="548DD4" w:themeColor="text2" w:themeTint="99"/>
          <w:sz w:val="20"/>
          <w:szCs w:val="20"/>
          <w:lang w:val="bg-BG"/>
        </w:rPr>
        <w:t>. Допълване и разграничаване между ОПНОИР и ОПИК</w:t>
      </w:r>
      <w:bookmarkEnd w:id="57"/>
    </w:p>
    <w:tbl>
      <w:tblPr>
        <w:tblW w:w="9090" w:type="dxa"/>
        <w:tblInd w:w="108" w:type="dxa"/>
        <w:tblBorders>
          <w:top w:val="single" w:sz="4" w:space="0" w:color="17365D" w:themeColor="text2" w:themeShade="BF"/>
          <w:left w:val="single" w:sz="4" w:space="0" w:color="17365D" w:themeColor="text2" w:themeShade="BF"/>
          <w:bottom w:val="single" w:sz="4" w:space="0" w:color="17365D" w:themeColor="text2" w:themeShade="BF"/>
          <w:right w:val="single" w:sz="4" w:space="0" w:color="17365D" w:themeColor="text2" w:themeShade="BF"/>
          <w:insideH w:val="single" w:sz="4" w:space="0" w:color="17365D" w:themeColor="text2" w:themeShade="BF"/>
          <w:insideV w:val="single" w:sz="4" w:space="0" w:color="17365D" w:themeColor="text2" w:themeShade="BF"/>
        </w:tblBorders>
        <w:tblLook w:val="0000" w:firstRow="0" w:lastRow="0" w:firstColumn="0" w:lastColumn="0" w:noHBand="0" w:noVBand="0"/>
      </w:tblPr>
      <w:tblGrid>
        <w:gridCol w:w="1883"/>
        <w:gridCol w:w="7207"/>
      </w:tblGrid>
      <w:tr w:rsidR="006F74A8" w:rsidRPr="00B45B4F" w:rsidTr="00FB78CA">
        <w:tc>
          <w:tcPr>
            <w:tcW w:w="1717" w:type="dxa"/>
            <w:shd w:val="clear" w:color="auto" w:fill="548DD4" w:themeFill="text2" w:themeFillTint="99"/>
          </w:tcPr>
          <w:p w:rsidR="006F74A8" w:rsidRPr="00B45B4F" w:rsidRDefault="006F74A8" w:rsidP="006F74A8">
            <w:pPr>
              <w:spacing w:after="0"/>
              <w:rPr>
                <w:rFonts w:ascii="Verdana" w:hAnsi="Verdana"/>
                <w:sz w:val="20"/>
                <w:szCs w:val="20"/>
                <w:lang w:val="bg-BG" w:eastAsia="cs-CZ"/>
              </w:rPr>
            </w:pPr>
            <w:r w:rsidRPr="00B45B4F">
              <w:rPr>
                <w:rFonts w:ascii="Verdana" w:hAnsi="Verdana"/>
                <w:color w:val="FFFFFF" w:themeColor="background1"/>
                <w:sz w:val="20"/>
                <w:szCs w:val="20"/>
                <w:lang w:val="bg-BG"/>
              </w:rPr>
              <w:t>Допълване / Разграничаване в текста на ОПНОИР</w:t>
            </w:r>
          </w:p>
        </w:tc>
        <w:tc>
          <w:tcPr>
            <w:tcW w:w="7373" w:type="dxa"/>
          </w:tcPr>
          <w:p w:rsidR="006F74A8" w:rsidRPr="00B45B4F" w:rsidRDefault="006F74A8" w:rsidP="006F74A8">
            <w:pPr>
              <w:widowControl w:val="0"/>
              <w:autoSpaceDE w:val="0"/>
              <w:autoSpaceDN w:val="0"/>
              <w:adjustRightInd w:val="0"/>
              <w:spacing w:after="120"/>
              <w:jc w:val="both"/>
              <w:rPr>
                <w:rFonts w:ascii="Verdana" w:hAnsi="Verdana"/>
                <w:sz w:val="20"/>
                <w:szCs w:val="20"/>
                <w:lang w:val="bg-BG"/>
              </w:rPr>
            </w:pPr>
            <w:r w:rsidRPr="00B45B4F">
              <w:rPr>
                <w:rFonts w:ascii="Verdana" w:hAnsi="Verdana"/>
                <w:b/>
                <w:sz w:val="20"/>
                <w:szCs w:val="20"/>
                <w:lang w:val="bg-BG"/>
              </w:rPr>
              <w:t>Допълване</w:t>
            </w:r>
            <w:r w:rsidR="007F3F68" w:rsidRPr="00B45B4F">
              <w:rPr>
                <w:rFonts w:ascii="Verdana" w:hAnsi="Verdana"/>
                <w:sz w:val="20"/>
                <w:szCs w:val="20"/>
                <w:lang w:val="bg-BG"/>
              </w:rPr>
              <w:t xml:space="preserve">: </w:t>
            </w:r>
            <w:r w:rsidRPr="00B45B4F">
              <w:rPr>
                <w:rFonts w:ascii="Verdana" w:hAnsi="Verdana"/>
                <w:sz w:val="20"/>
                <w:szCs w:val="20"/>
                <w:lang w:val="bg-BG"/>
              </w:rPr>
              <w:t xml:space="preserve">Двете програми се допълват по отношение на развитието на научно-изследователската дейност, технологичното развитие и иновациите – чрез подкрепата на различни техни аспекти. Отбелязано е, че двете програми трябва да допринесат </w:t>
            </w:r>
            <w:r w:rsidR="006C775E" w:rsidRPr="00B45B4F">
              <w:rPr>
                <w:rFonts w:ascii="Verdana" w:hAnsi="Verdana"/>
                <w:sz w:val="20"/>
                <w:szCs w:val="20"/>
                <w:lang w:val="bg-BG"/>
              </w:rPr>
              <w:t>за</w:t>
            </w:r>
            <w:r w:rsidRPr="00B45B4F">
              <w:rPr>
                <w:rFonts w:ascii="Verdana" w:hAnsi="Verdana"/>
                <w:sz w:val="20"/>
                <w:szCs w:val="20"/>
                <w:lang w:val="bg-BG"/>
              </w:rPr>
              <w:t xml:space="preserve"> постигането на дефинираната национална цел за инвестиции в НИРД в размер на 1,5% от БВП до 2020 г., както и към реализацията на </w:t>
            </w:r>
            <w:r w:rsidR="006C775E" w:rsidRPr="00B45B4F">
              <w:rPr>
                <w:rFonts w:ascii="Verdana" w:hAnsi="Verdana"/>
                <w:sz w:val="20"/>
                <w:szCs w:val="20"/>
                <w:lang w:val="bg-BG"/>
              </w:rPr>
              <w:t>по-</w:t>
            </w:r>
            <w:r w:rsidRPr="00B45B4F">
              <w:rPr>
                <w:rFonts w:ascii="Verdana" w:hAnsi="Verdana"/>
                <w:sz w:val="20"/>
                <w:szCs w:val="20"/>
                <w:lang w:val="bg-BG"/>
              </w:rPr>
              <w:t>обща</w:t>
            </w:r>
            <w:r w:rsidR="006C775E" w:rsidRPr="00B45B4F">
              <w:rPr>
                <w:rFonts w:ascii="Verdana" w:hAnsi="Verdana"/>
                <w:sz w:val="20"/>
                <w:szCs w:val="20"/>
                <w:lang w:val="bg-BG"/>
              </w:rPr>
              <w:t>та</w:t>
            </w:r>
            <w:r w:rsidRPr="00B45B4F">
              <w:rPr>
                <w:rFonts w:ascii="Verdana" w:hAnsi="Verdana"/>
                <w:sz w:val="20"/>
                <w:szCs w:val="20"/>
                <w:lang w:val="bg-BG"/>
              </w:rPr>
              <w:t xml:space="preserve"> цел – постигането на интелигентен р</w:t>
            </w:r>
            <w:r w:rsidR="007F3F68" w:rsidRPr="00B45B4F">
              <w:rPr>
                <w:rFonts w:ascii="Verdana" w:hAnsi="Verdana"/>
                <w:sz w:val="20"/>
                <w:szCs w:val="20"/>
                <w:lang w:val="bg-BG"/>
              </w:rPr>
              <w:t>астеж на българската икономика.</w:t>
            </w:r>
            <w:r w:rsidR="00D918F3" w:rsidRPr="00B45B4F">
              <w:rPr>
                <w:rFonts w:ascii="Verdana" w:hAnsi="Verdana"/>
                <w:sz w:val="20"/>
                <w:szCs w:val="20"/>
                <w:lang w:val="bg-BG"/>
              </w:rPr>
              <w:t xml:space="preserve"> В същото време не са дадени ясни рамки на допълване между програмите. Оставени са възможности за последваща координация на ниво изпълнение.</w:t>
            </w:r>
          </w:p>
          <w:p w:rsidR="006F74A8" w:rsidRPr="00B45B4F" w:rsidRDefault="006F74A8" w:rsidP="002D4C3A">
            <w:pPr>
              <w:widowControl w:val="0"/>
              <w:autoSpaceDE w:val="0"/>
              <w:autoSpaceDN w:val="0"/>
              <w:adjustRightInd w:val="0"/>
              <w:spacing w:after="120"/>
              <w:jc w:val="both"/>
              <w:rPr>
                <w:rFonts w:ascii="Verdana" w:hAnsi="Verdana"/>
                <w:sz w:val="20"/>
                <w:szCs w:val="20"/>
                <w:lang w:val="bg-BG"/>
              </w:rPr>
            </w:pPr>
            <w:r w:rsidRPr="00B45B4F">
              <w:rPr>
                <w:rFonts w:ascii="Verdana" w:hAnsi="Verdana"/>
                <w:b/>
                <w:sz w:val="20"/>
                <w:szCs w:val="20"/>
                <w:lang w:val="bg-BG"/>
              </w:rPr>
              <w:t>Разграничаване</w:t>
            </w:r>
            <w:r w:rsidR="00C0120E" w:rsidRPr="00B45B4F">
              <w:rPr>
                <w:rFonts w:ascii="Verdana" w:hAnsi="Verdana"/>
                <w:b/>
                <w:sz w:val="20"/>
                <w:szCs w:val="20"/>
                <w:lang w:val="bg-BG"/>
              </w:rPr>
              <w:t>:</w:t>
            </w:r>
            <w:r w:rsidRPr="00B45B4F">
              <w:rPr>
                <w:rFonts w:ascii="Verdana" w:hAnsi="Verdana"/>
                <w:sz w:val="20"/>
                <w:szCs w:val="20"/>
                <w:lang w:val="bg-BG"/>
              </w:rPr>
              <w:t xml:space="preserve"> Отбелязано е, че основна линия на </w:t>
            </w:r>
            <w:proofErr w:type="spellStart"/>
            <w:r w:rsidRPr="00B45B4F">
              <w:rPr>
                <w:rFonts w:ascii="Verdana" w:hAnsi="Verdana"/>
                <w:sz w:val="20"/>
                <w:szCs w:val="20"/>
                <w:lang w:val="bg-BG"/>
              </w:rPr>
              <w:t>демаркация</w:t>
            </w:r>
            <w:proofErr w:type="spellEnd"/>
            <w:r w:rsidRPr="00B45B4F">
              <w:rPr>
                <w:rFonts w:ascii="Verdana" w:hAnsi="Verdana"/>
                <w:sz w:val="20"/>
                <w:szCs w:val="20"/>
                <w:lang w:val="bg-BG"/>
              </w:rPr>
              <w:t xml:space="preserve"> между програмите ще </w:t>
            </w:r>
            <w:r w:rsidR="00DB1A07" w:rsidRPr="00FE5A49">
              <w:rPr>
                <w:rFonts w:ascii="Verdana" w:hAnsi="Verdana"/>
                <w:sz w:val="20"/>
                <w:szCs w:val="20"/>
                <w:lang w:val="bg-BG"/>
              </w:rPr>
              <w:t>бъдат «различните етапи на реализиране и внедряване на продуктите на научните изследвания в предприятията»</w:t>
            </w:r>
            <w:r w:rsidR="002D4C3A">
              <w:rPr>
                <w:rFonts w:ascii="Verdana" w:hAnsi="Verdana"/>
                <w:sz w:val="20"/>
                <w:szCs w:val="20"/>
                <w:lang w:val="bg-BG"/>
              </w:rPr>
              <w:t xml:space="preserve"> </w:t>
            </w:r>
            <w:r w:rsidR="00DB1A07">
              <w:rPr>
                <w:rFonts w:ascii="Verdana" w:hAnsi="Verdana"/>
                <w:sz w:val="20"/>
                <w:szCs w:val="20"/>
                <w:lang w:val="bg-BG"/>
              </w:rPr>
              <w:t>ОПНОИР ще финансира развитието на науката в услуга на бизнеса</w:t>
            </w:r>
            <w:r w:rsidRPr="00B45B4F">
              <w:rPr>
                <w:rFonts w:ascii="Verdana" w:hAnsi="Verdana"/>
                <w:sz w:val="20"/>
                <w:szCs w:val="20"/>
                <w:lang w:val="bg-BG"/>
              </w:rPr>
              <w:t xml:space="preserve"> докато по ОПИК ще се финансират </w:t>
            </w:r>
            <w:r w:rsidR="00DB1A07" w:rsidRPr="00FE5A49">
              <w:rPr>
                <w:rFonts w:ascii="Verdana" w:hAnsi="Verdana"/>
                <w:sz w:val="20"/>
                <w:szCs w:val="20"/>
                <w:lang w:val="bg-BG"/>
              </w:rPr>
              <w:t>последните няколко стъпки от съвместните партньорства между научните организации и бизнеса, които ще водят до внедряване на научните разработки в про</w:t>
            </w:r>
            <w:r w:rsidR="002D4C3A">
              <w:rPr>
                <w:rFonts w:ascii="Verdana" w:hAnsi="Verdana"/>
                <w:sz w:val="20"/>
                <w:szCs w:val="20"/>
                <w:lang w:val="bg-BG"/>
              </w:rPr>
              <w:t>и</w:t>
            </w:r>
            <w:r w:rsidR="00DB1A07" w:rsidRPr="00FE5A49">
              <w:rPr>
                <w:rFonts w:ascii="Verdana" w:hAnsi="Verdana"/>
                <w:sz w:val="20"/>
                <w:szCs w:val="20"/>
                <w:lang w:val="bg-BG"/>
              </w:rPr>
              <w:t>зводството и патентоването им</w:t>
            </w:r>
            <w:r w:rsidRPr="00B45B4F">
              <w:rPr>
                <w:rFonts w:ascii="Verdana" w:hAnsi="Verdana"/>
                <w:sz w:val="20"/>
                <w:szCs w:val="20"/>
                <w:lang w:val="bg-BG"/>
              </w:rPr>
              <w:t xml:space="preserve">. </w:t>
            </w:r>
          </w:p>
        </w:tc>
      </w:tr>
      <w:tr w:rsidR="006F74A8" w:rsidRPr="00B45B4F" w:rsidTr="00FB78CA">
        <w:tc>
          <w:tcPr>
            <w:tcW w:w="1717" w:type="dxa"/>
            <w:shd w:val="clear" w:color="auto" w:fill="548DD4" w:themeFill="text2" w:themeFillTint="99"/>
          </w:tcPr>
          <w:p w:rsidR="006F74A8" w:rsidRPr="00B45B4F" w:rsidRDefault="006F74A8" w:rsidP="006F74A8">
            <w:pPr>
              <w:spacing w:after="0"/>
              <w:rPr>
                <w:rFonts w:ascii="Verdana" w:hAnsi="Verdana"/>
                <w:color w:val="FFFFFF" w:themeColor="background1"/>
                <w:sz w:val="20"/>
                <w:szCs w:val="20"/>
                <w:lang w:val="bg-BG"/>
              </w:rPr>
            </w:pPr>
            <w:r w:rsidRPr="00B45B4F">
              <w:rPr>
                <w:rFonts w:ascii="Verdana" w:hAnsi="Verdana"/>
                <w:color w:val="FFFFFF" w:themeColor="background1"/>
                <w:sz w:val="20"/>
                <w:szCs w:val="20"/>
                <w:lang w:val="bg-BG"/>
              </w:rPr>
              <w:t>Коментар</w:t>
            </w:r>
          </w:p>
        </w:tc>
        <w:tc>
          <w:tcPr>
            <w:tcW w:w="7373" w:type="dxa"/>
          </w:tcPr>
          <w:p w:rsidR="006F74A8" w:rsidRPr="00B45B4F" w:rsidRDefault="006F74A8" w:rsidP="00D918F3">
            <w:pPr>
              <w:spacing w:after="120"/>
              <w:jc w:val="both"/>
              <w:rPr>
                <w:rFonts w:ascii="Verdana" w:hAnsi="Verdana"/>
                <w:sz w:val="20"/>
                <w:szCs w:val="20"/>
                <w:lang w:val="bg-BG"/>
              </w:rPr>
            </w:pPr>
            <w:r w:rsidRPr="00B45B4F">
              <w:rPr>
                <w:rFonts w:ascii="Verdana" w:hAnsi="Verdana"/>
                <w:sz w:val="20"/>
                <w:szCs w:val="20"/>
                <w:lang w:val="bg-BG"/>
              </w:rPr>
              <w:t xml:space="preserve">Фокусът на ОПИК е концентриран към бизнеса, докато този на ОПНОИР – основно към образованието и науката. Същевременно, инвестиционен приоритет 1 на ПО 1 на ОПИК „Насърчаване на инвестициите в научноизследователска и иновационна дейност“ (технологично развитие и иновации), също като инвестиционните </w:t>
            </w:r>
            <w:r w:rsidRPr="00B45B4F">
              <w:rPr>
                <w:rFonts w:ascii="Verdana" w:hAnsi="Verdana"/>
                <w:sz w:val="20"/>
                <w:szCs w:val="20"/>
                <w:lang w:val="bg-BG"/>
              </w:rPr>
              <w:lastRenderedPageBreak/>
              <w:t xml:space="preserve">приоритети по </w:t>
            </w:r>
            <w:proofErr w:type="spellStart"/>
            <w:r w:rsidRPr="00B45B4F">
              <w:rPr>
                <w:rFonts w:ascii="Verdana" w:hAnsi="Verdana"/>
                <w:sz w:val="20"/>
                <w:szCs w:val="20"/>
                <w:lang w:val="bg-BG"/>
              </w:rPr>
              <w:t>ПО</w:t>
            </w:r>
            <w:proofErr w:type="spellEnd"/>
            <w:r w:rsidRPr="00B45B4F">
              <w:rPr>
                <w:rFonts w:ascii="Verdana" w:hAnsi="Verdana"/>
                <w:sz w:val="20"/>
                <w:szCs w:val="20"/>
                <w:lang w:val="bg-BG"/>
              </w:rPr>
              <w:t xml:space="preserve"> 1 на ОПНОИР „Научни изследвания и технологично развитие” е насочен към изпълнението на тематична цел 1 „Засилване на научноизследователската дейност, технологичното развитие и иновациите”, предвидена в член 9 от Общия регламент. В двете програми са очертани редица дейности, насочени към насърчаване на партньорството между бизнеса и научните среди и активиране на триъгълника на знанието „образование – наука – бизнес” (ИП 1 на ПО 1 на ОПИК</w:t>
            </w:r>
            <w:r w:rsidR="006466F5" w:rsidRPr="00B45B4F">
              <w:rPr>
                <w:rFonts w:ascii="Verdana" w:hAnsi="Verdana"/>
                <w:sz w:val="20"/>
                <w:szCs w:val="20"/>
                <w:lang w:val="bg-BG"/>
              </w:rPr>
              <w:t>, ИП 1 и 2 на ПО 1</w:t>
            </w:r>
            <w:r w:rsidRPr="00B45B4F">
              <w:rPr>
                <w:rFonts w:ascii="Verdana" w:hAnsi="Verdana"/>
                <w:sz w:val="20"/>
                <w:szCs w:val="20"/>
                <w:lang w:val="bg-BG"/>
              </w:rPr>
              <w:t>)</w:t>
            </w:r>
            <w:r w:rsidR="000206BF" w:rsidRPr="00B45B4F">
              <w:rPr>
                <w:rFonts w:ascii="Verdana" w:hAnsi="Verdana"/>
                <w:sz w:val="20"/>
                <w:szCs w:val="20"/>
                <w:lang w:val="bg-BG"/>
              </w:rPr>
              <w:t>, които в голямата си част се застъпват</w:t>
            </w:r>
            <w:r w:rsidRPr="00B45B4F">
              <w:rPr>
                <w:rFonts w:ascii="Verdana" w:hAnsi="Verdana"/>
                <w:sz w:val="20"/>
                <w:szCs w:val="20"/>
                <w:lang w:val="bg-BG"/>
              </w:rPr>
              <w:t xml:space="preserve">. </w:t>
            </w:r>
          </w:p>
        </w:tc>
      </w:tr>
      <w:tr w:rsidR="006F74A8" w:rsidRPr="00B45B4F" w:rsidTr="00FB78CA">
        <w:tc>
          <w:tcPr>
            <w:tcW w:w="1717" w:type="dxa"/>
            <w:shd w:val="clear" w:color="auto" w:fill="548DD4" w:themeFill="text2" w:themeFillTint="99"/>
          </w:tcPr>
          <w:p w:rsidR="006F74A8" w:rsidRPr="00B45B4F" w:rsidRDefault="006F74A8" w:rsidP="006F74A8">
            <w:pPr>
              <w:spacing w:after="0"/>
              <w:rPr>
                <w:rFonts w:ascii="Verdana" w:hAnsi="Verdana"/>
                <w:color w:val="FFFFFF" w:themeColor="background1"/>
                <w:sz w:val="20"/>
                <w:szCs w:val="20"/>
                <w:lang w:val="bg-BG"/>
              </w:rPr>
            </w:pPr>
            <w:r w:rsidRPr="00B45B4F">
              <w:rPr>
                <w:rFonts w:ascii="Verdana" w:hAnsi="Verdana"/>
                <w:color w:val="FFFFFF" w:themeColor="background1"/>
                <w:sz w:val="20"/>
                <w:szCs w:val="20"/>
                <w:lang w:val="bg-BG" w:eastAsia="cs-CZ"/>
              </w:rPr>
              <w:lastRenderedPageBreak/>
              <w:t>Препоръка</w:t>
            </w:r>
          </w:p>
        </w:tc>
        <w:tc>
          <w:tcPr>
            <w:tcW w:w="7373" w:type="dxa"/>
          </w:tcPr>
          <w:p w:rsidR="006F74A8" w:rsidRPr="00B45B4F" w:rsidRDefault="00D918F3" w:rsidP="001B700A">
            <w:pPr>
              <w:spacing w:after="120"/>
              <w:jc w:val="both"/>
              <w:rPr>
                <w:rFonts w:ascii="Verdana" w:hAnsi="Verdana"/>
                <w:sz w:val="20"/>
                <w:szCs w:val="20"/>
                <w:lang w:val="bg-BG" w:eastAsia="cs-CZ"/>
              </w:rPr>
            </w:pPr>
            <w:r w:rsidRPr="00B45B4F">
              <w:rPr>
                <w:rFonts w:ascii="Verdana" w:hAnsi="Verdana"/>
                <w:sz w:val="20"/>
                <w:szCs w:val="20"/>
                <w:lang w:val="bg-BG"/>
              </w:rPr>
              <w:t xml:space="preserve">Необходимо е по-ясно описание както на допълването, така и на разграничаването между програмите. </w:t>
            </w:r>
            <w:r w:rsidR="009E3E03">
              <w:rPr>
                <w:rFonts w:ascii="Verdana" w:hAnsi="Verdana"/>
                <w:sz w:val="20"/>
                <w:szCs w:val="20"/>
                <w:lang w:val="bg-BG"/>
              </w:rPr>
              <w:t>Трябва ясно да се посочат сферите на подкрепа по едната и другата програма. ОПНОИР е удачно да концентрира ресурси към популяризиране на работата на научните и научно</w:t>
            </w:r>
            <w:r w:rsidR="001B700A">
              <w:rPr>
                <w:rFonts w:ascii="Verdana" w:hAnsi="Verdana"/>
                <w:sz w:val="20"/>
                <w:szCs w:val="20"/>
                <w:lang w:val="bg-BG"/>
              </w:rPr>
              <w:t>-приложни звена сред бизнеса за да насърчи сътрудничеството и способства превръщането на научните разработки в търговки продукти.</w:t>
            </w:r>
          </w:p>
        </w:tc>
      </w:tr>
    </w:tbl>
    <w:p w:rsidR="006F74A8" w:rsidRPr="00B45B4F" w:rsidRDefault="006F74A8" w:rsidP="00416243">
      <w:pPr>
        <w:ind w:left="360"/>
        <w:rPr>
          <w:rFonts w:ascii="Verdana" w:hAnsi="Verdana"/>
          <w:sz w:val="20"/>
          <w:szCs w:val="20"/>
          <w:lang w:val="bg-BG" w:eastAsia="cs-CZ"/>
        </w:rPr>
      </w:pPr>
    </w:p>
    <w:p w:rsidR="00DF1209" w:rsidRPr="00B45B4F" w:rsidRDefault="00DF1209" w:rsidP="00416243">
      <w:pPr>
        <w:keepNext/>
        <w:pBdr>
          <w:bottom w:val="single" w:sz="4" w:space="1" w:color="0070C0"/>
        </w:pBdr>
        <w:spacing w:before="360" w:after="120"/>
        <w:jc w:val="both"/>
        <w:rPr>
          <w:rFonts w:ascii="Verdana" w:hAnsi="Verdana"/>
          <w:color w:val="0070C0"/>
          <w:sz w:val="20"/>
          <w:szCs w:val="20"/>
          <w:lang w:val="bg-BG" w:eastAsia="cs-CZ"/>
        </w:rPr>
      </w:pPr>
      <w:r w:rsidRPr="00B45B4F">
        <w:rPr>
          <w:rFonts w:ascii="Verdana" w:hAnsi="Verdana"/>
          <w:color w:val="0070C0"/>
          <w:sz w:val="20"/>
          <w:szCs w:val="20"/>
          <w:lang w:val="bg-BG" w:eastAsia="cs-CZ"/>
        </w:rPr>
        <w:t xml:space="preserve">Оперативна програма „Околна среда” (ОПОС) </w:t>
      </w:r>
      <w:r w:rsidR="005106CE" w:rsidRPr="00B45B4F">
        <w:rPr>
          <w:rFonts w:ascii="Verdana" w:hAnsi="Verdana"/>
          <w:color w:val="0070C0"/>
          <w:sz w:val="20"/>
          <w:szCs w:val="20"/>
          <w:lang w:val="bg-BG" w:eastAsia="cs-CZ"/>
        </w:rPr>
        <w:t>2014–2020</w:t>
      </w:r>
      <w:r w:rsidRPr="00B45B4F">
        <w:rPr>
          <w:rFonts w:ascii="Verdana" w:hAnsi="Verdana"/>
          <w:color w:val="0070C0"/>
          <w:sz w:val="20"/>
          <w:szCs w:val="20"/>
          <w:lang w:val="bg-BG" w:eastAsia="cs-CZ"/>
        </w:rPr>
        <w:t xml:space="preserve"> г.</w:t>
      </w:r>
    </w:p>
    <w:p w:rsidR="006F74A8" w:rsidRPr="00B45B4F" w:rsidRDefault="006F74A8" w:rsidP="004C3422">
      <w:pPr>
        <w:pBdr>
          <w:top w:val="single" w:sz="4" w:space="1" w:color="auto"/>
          <w:bottom w:val="single" w:sz="4" w:space="1" w:color="auto"/>
        </w:pBdr>
        <w:shd w:val="clear" w:color="auto" w:fill="548DD4" w:themeFill="text2" w:themeFillTint="99"/>
        <w:spacing w:before="120" w:after="120" w:line="240" w:lineRule="auto"/>
        <w:rPr>
          <w:rFonts w:ascii="Verdana" w:hAnsi="Verdana"/>
          <w:color w:val="FFFFFF" w:themeColor="background1"/>
          <w:sz w:val="20"/>
          <w:szCs w:val="20"/>
          <w:lang w:val="bg-BG" w:eastAsia="bg-BG"/>
        </w:rPr>
      </w:pPr>
      <w:r w:rsidRPr="00B45B4F">
        <w:rPr>
          <w:rFonts w:ascii="Verdana" w:hAnsi="Verdana"/>
          <w:color w:val="FFFFFF" w:themeColor="background1"/>
          <w:sz w:val="20"/>
          <w:szCs w:val="20"/>
          <w:lang w:val="bg-BG" w:eastAsia="bg-BG"/>
        </w:rPr>
        <w:t xml:space="preserve">ПО 1: Води </w:t>
      </w:r>
    </w:p>
    <w:p w:rsidR="006F74A8" w:rsidRPr="00B45B4F" w:rsidRDefault="006F74A8" w:rsidP="006861B0">
      <w:pPr>
        <w:pStyle w:val="ListParagraph"/>
        <w:numPr>
          <w:ilvl w:val="0"/>
          <w:numId w:val="45"/>
        </w:numPr>
        <w:tabs>
          <w:tab w:val="left" w:pos="990"/>
        </w:tabs>
        <w:spacing w:before="120" w:after="120"/>
        <w:ind w:left="907"/>
        <w:jc w:val="both"/>
        <w:rPr>
          <w:rFonts w:ascii="Verdana" w:hAnsi="Verdana"/>
          <w:sz w:val="20"/>
          <w:szCs w:val="20"/>
          <w:lang w:val="bg-BG" w:eastAsia="bg-BG"/>
        </w:rPr>
      </w:pPr>
      <w:r w:rsidRPr="00B45B4F">
        <w:rPr>
          <w:rFonts w:ascii="Verdana" w:hAnsi="Verdana"/>
          <w:sz w:val="20"/>
          <w:szCs w:val="20"/>
          <w:lang w:val="bg-BG" w:eastAsia="bg-BG"/>
        </w:rPr>
        <w:t>Адресиране на значителните нужди за инвестиции във водния сектор за покриване на изискванията на законодателството на ЕС в областта на околната среда</w:t>
      </w:r>
    </w:p>
    <w:p w:rsidR="006F74A8" w:rsidRPr="00B45B4F" w:rsidRDefault="006F74A8" w:rsidP="006861B0">
      <w:pPr>
        <w:pStyle w:val="ListParagraph"/>
        <w:numPr>
          <w:ilvl w:val="0"/>
          <w:numId w:val="45"/>
        </w:numPr>
        <w:tabs>
          <w:tab w:val="left" w:pos="990"/>
        </w:tabs>
        <w:spacing w:before="120" w:after="120"/>
        <w:ind w:left="907"/>
        <w:jc w:val="both"/>
        <w:rPr>
          <w:rFonts w:ascii="Verdana" w:hAnsi="Verdana"/>
          <w:sz w:val="20"/>
          <w:szCs w:val="20"/>
          <w:lang w:val="bg-BG" w:eastAsia="bg-BG"/>
        </w:rPr>
      </w:pPr>
      <w:r w:rsidRPr="00B45B4F">
        <w:rPr>
          <w:rFonts w:ascii="Verdana" w:hAnsi="Verdana"/>
          <w:sz w:val="20"/>
          <w:szCs w:val="20"/>
          <w:lang w:val="bg-BG" w:eastAsia="bg-BG"/>
        </w:rPr>
        <w:t>Насърчаване на инвестициите за адресиране на специфични рискове, осигуряващи устойчивост към бедствия и развитие на системи за управление на бедствия</w:t>
      </w:r>
    </w:p>
    <w:p w:rsidR="006F74A8" w:rsidRPr="00B45B4F" w:rsidRDefault="006F74A8" w:rsidP="004C3422">
      <w:pPr>
        <w:pBdr>
          <w:top w:val="single" w:sz="4" w:space="1" w:color="auto"/>
          <w:bottom w:val="single" w:sz="4" w:space="1" w:color="auto"/>
        </w:pBdr>
        <w:shd w:val="clear" w:color="auto" w:fill="548DD4" w:themeFill="text2" w:themeFillTint="99"/>
        <w:spacing w:before="120" w:after="120" w:line="240" w:lineRule="auto"/>
        <w:rPr>
          <w:rFonts w:ascii="Verdana" w:hAnsi="Verdana"/>
          <w:color w:val="FFFFFF" w:themeColor="background1"/>
          <w:sz w:val="20"/>
          <w:szCs w:val="20"/>
          <w:lang w:val="bg-BG" w:eastAsia="bg-BG"/>
        </w:rPr>
      </w:pPr>
      <w:r w:rsidRPr="00B45B4F">
        <w:rPr>
          <w:rFonts w:ascii="Verdana" w:hAnsi="Verdana"/>
          <w:color w:val="FFFFFF" w:themeColor="background1"/>
          <w:sz w:val="20"/>
          <w:szCs w:val="20"/>
          <w:lang w:val="bg-BG" w:eastAsia="bg-BG"/>
        </w:rPr>
        <w:t>ПО 2: Отпадъци</w:t>
      </w:r>
    </w:p>
    <w:p w:rsidR="006F74A8" w:rsidRPr="00B45B4F" w:rsidRDefault="006F74A8" w:rsidP="00FB78CA">
      <w:pPr>
        <w:tabs>
          <w:tab w:val="left" w:pos="990"/>
        </w:tabs>
        <w:spacing w:before="120" w:after="120"/>
        <w:ind w:left="990" w:hanging="446"/>
        <w:contextualSpacing/>
        <w:jc w:val="both"/>
        <w:rPr>
          <w:rFonts w:ascii="Verdana" w:hAnsi="Verdana"/>
          <w:sz w:val="20"/>
          <w:szCs w:val="20"/>
          <w:lang w:val="bg-BG" w:eastAsia="bg-BG"/>
        </w:rPr>
      </w:pPr>
      <w:r w:rsidRPr="00B45B4F">
        <w:rPr>
          <w:rFonts w:ascii="Verdana" w:hAnsi="Verdana"/>
          <w:sz w:val="20"/>
          <w:szCs w:val="20"/>
          <w:lang w:val="bg-BG" w:eastAsia="bg-BG"/>
        </w:rPr>
        <w:t>2.1 Адресиране на значителните нужди за инвестиции в сектор отпадъци за покриване на изискванията на законодателството на ЕС в областта на околната среда</w:t>
      </w:r>
    </w:p>
    <w:p w:rsidR="006F74A8" w:rsidRPr="00B45B4F" w:rsidRDefault="006F74A8" w:rsidP="004C3422">
      <w:pPr>
        <w:pBdr>
          <w:top w:val="single" w:sz="4" w:space="1" w:color="auto"/>
          <w:bottom w:val="single" w:sz="4" w:space="1" w:color="auto"/>
        </w:pBdr>
        <w:shd w:val="clear" w:color="auto" w:fill="548DD4" w:themeFill="text2" w:themeFillTint="99"/>
        <w:spacing w:before="120" w:after="120" w:line="240" w:lineRule="auto"/>
        <w:rPr>
          <w:rFonts w:ascii="Verdana" w:hAnsi="Verdana"/>
          <w:color w:val="FFFFFF" w:themeColor="background1"/>
          <w:sz w:val="20"/>
          <w:szCs w:val="20"/>
          <w:lang w:val="bg-BG" w:eastAsia="bg-BG"/>
        </w:rPr>
      </w:pPr>
      <w:r w:rsidRPr="00B45B4F">
        <w:rPr>
          <w:rFonts w:ascii="Verdana" w:hAnsi="Verdana"/>
          <w:color w:val="FFFFFF" w:themeColor="background1"/>
          <w:sz w:val="20"/>
          <w:szCs w:val="20"/>
          <w:lang w:val="bg-BG" w:eastAsia="bg-BG"/>
        </w:rPr>
        <w:t xml:space="preserve">ПО 3: Натура 2000 и биоразнообразие </w:t>
      </w:r>
    </w:p>
    <w:p w:rsidR="006F74A8" w:rsidRPr="00B45B4F" w:rsidRDefault="006F74A8" w:rsidP="00FB78CA">
      <w:pPr>
        <w:tabs>
          <w:tab w:val="left" w:pos="990"/>
        </w:tabs>
        <w:spacing w:before="120" w:after="120"/>
        <w:ind w:left="990" w:hanging="446"/>
        <w:contextualSpacing/>
        <w:jc w:val="both"/>
        <w:rPr>
          <w:rFonts w:ascii="Verdana" w:hAnsi="Verdana"/>
          <w:sz w:val="20"/>
          <w:szCs w:val="20"/>
          <w:lang w:val="bg-BG" w:eastAsia="bg-BG"/>
        </w:rPr>
      </w:pPr>
      <w:r w:rsidRPr="00B45B4F">
        <w:rPr>
          <w:rFonts w:ascii="Verdana" w:hAnsi="Verdana"/>
          <w:sz w:val="20"/>
          <w:szCs w:val="20"/>
          <w:lang w:val="bg-BG" w:eastAsia="bg-BG"/>
        </w:rPr>
        <w:t xml:space="preserve">3.1 Опазване и възстановяване на биологичното разнообразие и почвите, и насърчаване на </w:t>
      </w:r>
      <w:proofErr w:type="spellStart"/>
      <w:r w:rsidRPr="00B45B4F">
        <w:rPr>
          <w:rFonts w:ascii="Verdana" w:hAnsi="Verdana"/>
          <w:sz w:val="20"/>
          <w:szCs w:val="20"/>
          <w:lang w:val="bg-BG" w:eastAsia="bg-BG"/>
        </w:rPr>
        <w:t>екосистемните</w:t>
      </w:r>
      <w:proofErr w:type="spellEnd"/>
      <w:r w:rsidRPr="00B45B4F">
        <w:rPr>
          <w:rFonts w:ascii="Verdana" w:hAnsi="Verdana"/>
          <w:sz w:val="20"/>
          <w:szCs w:val="20"/>
          <w:lang w:val="bg-BG" w:eastAsia="bg-BG"/>
        </w:rPr>
        <w:t xml:space="preserve"> услуги, вкл. Натура 2000 и зелена инфраструктура.</w:t>
      </w:r>
    </w:p>
    <w:p w:rsidR="006F74A8" w:rsidRPr="00B45B4F" w:rsidRDefault="006F74A8" w:rsidP="004C3422">
      <w:pPr>
        <w:pBdr>
          <w:top w:val="single" w:sz="4" w:space="1" w:color="auto"/>
          <w:bottom w:val="single" w:sz="4" w:space="1" w:color="auto"/>
        </w:pBdr>
        <w:shd w:val="clear" w:color="auto" w:fill="548DD4" w:themeFill="text2" w:themeFillTint="99"/>
        <w:spacing w:before="120" w:after="120" w:line="240" w:lineRule="auto"/>
        <w:rPr>
          <w:rFonts w:ascii="Verdana" w:hAnsi="Verdana"/>
          <w:color w:val="FFFFFF" w:themeColor="background1"/>
          <w:sz w:val="20"/>
          <w:szCs w:val="20"/>
          <w:lang w:val="bg-BG" w:eastAsia="bg-BG"/>
        </w:rPr>
      </w:pPr>
      <w:r w:rsidRPr="00B45B4F">
        <w:rPr>
          <w:rFonts w:ascii="Verdana" w:hAnsi="Verdana"/>
          <w:color w:val="FFFFFF" w:themeColor="background1"/>
          <w:sz w:val="20"/>
          <w:szCs w:val="20"/>
          <w:lang w:val="bg-BG" w:eastAsia="bg-BG"/>
        </w:rPr>
        <w:t>ПО  4: Подкрепа за ПОС и ПИК при прилагане на ЕСИФ</w:t>
      </w:r>
    </w:p>
    <w:p w:rsidR="006F74A8" w:rsidRPr="00B45B4F" w:rsidRDefault="006F74A8" w:rsidP="00FB78CA">
      <w:pPr>
        <w:tabs>
          <w:tab w:val="left" w:pos="990"/>
        </w:tabs>
        <w:spacing w:before="120" w:after="120"/>
        <w:ind w:left="990" w:hanging="446"/>
        <w:jc w:val="both"/>
        <w:rPr>
          <w:rFonts w:ascii="Verdana" w:hAnsi="Verdana"/>
          <w:sz w:val="20"/>
          <w:szCs w:val="20"/>
          <w:lang w:val="bg-BG" w:eastAsia="bg-BG"/>
        </w:rPr>
      </w:pPr>
      <w:r w:rsidRPr="00B45B4F">
        <w:rPr>
          <w:rFonts w:ascii="Verdana" w:hAnsi="Verdana"/>
          <w:sz w:val="20"/>
          <w:szCs w:val="20"/>
          <w:lang w:val="bg-BG" w:eastAsia="bg-BG"/>
        </w:rPr>
        <w:t>4.1. Повишаване на институционалния капацитет и ефективна публична администрация посредством укрепване на институционалния капацитет и ефективната публична администрация и обществените услуги, свързани с изпълнението на КФ.</w:t>
      </w:r>
    </w:p>
    <w:p w:rsidR="006F74A8" w:rsidRPr="00B45B4F" w:rsidRDefault="006F74A8" w:rsidP="00FB78CA">
      <w:pPr>
        <w:tabs>
          <w:tab w:val="left" w:pos="990"/>
        </w:tabs>
        <w:spacing w:before="120" w:after="120"/>
        <w:ind w:left="990" w:hanging="446"/>
        <w:jc w:val="both"/>
        <w:rPr>
          <w:rFonts w:ascii="Verdana" w:hAnsi="Verdana"/>
          <w:sz w:val="20"/>
          <w:szCs w:val="20"/>
          <w:lang w:val="bg-BG" w:eastAsia="bg-BG"/>
        </w:rPr>
      </w:pPr>
      <w:r w:rsidRPr="00B45B4F">
        <w:rPr>
          <w:rFonts w:ascii="Verdana" w:hAnsi="Verdana"/>
          <w:sz w:val="20"/>
          <w:szCs w:val="20"/>
          <w:lang w:val="bg-BG" w:eastAsia="bg-BG"/>
        </w:rPr>
        <w:t xml:space="preserve">4.2. Повишаване на институционалния капацитет и ефективна публична администрация посредством укрепване на институционалния капацитет и ефективната публична администрация и обществените услуги, свързани с </w:t>
      </w:r>
      <w:r w:rsidRPr="00B45B4F">
        <w:rPr>
          <w:rFonts w:ascii="Verdana" w:hAnsi="Verdana"/>
          <w:sz w:val="20"/>
          <w:szCs w:val="20"/>
          <w:lang w:val="bg-BG" w:eastAsia="bg-BG"/>
        </w:rPr>
        <w:lastRenderedPageBreak/>
        <w:t>изпълнението на ЕФРР, в подкрепа на действията по отношение на институционалния капацитет и на ефективната публична администрация, подпомагани от ЕСФ.</w:t>
      </w:r>
    </w:p>
    <w:p w:rsidR="006F74A8" w:rsidRPr="00B45B4F" w:rsidRDefault="006F74A8" w:rsidP="006F74A8">
      <w:pPr>
        <w:pStyle w:val="Caption"/>
        <w:jc w:val="center"/>
        <w:rPr>
          <w:rFonts w:ascii="Verdana" w:hAnsi="Verdana"/>
          <w:color w:val="006CB6"/>
        </w:rPr>
      </w:pPr>
    </w:p>
    <w:p w:rsidR="006F74A8" w:rsidRPr="00B45B4F" w:rsidRDefault="007F00AA" w:rsidP="00D918F3">
      <w:pPr>
        <w:keepNext/>
        <w:spacing w:before="240" w:after="120"/>
        <w:rPr>
          <w:rFonts w:ascii="Verdana" w:hAnsi="Verdana"/>
          <w:b/>
          <w:color w:val="548DD4" w:themeColor="text2" w:themeTint="99"/>
          <w:sz w:val="20"/>
          <w:szCs w:val="20"/>
          <w:lang w:val="bg-BG"/>
        </w:rPr>
      </w:pPr>
      <w:bookmarkStart w:id="58" w:name="_Toc395612561"/>
      <w:r w:rsidRPr="00B45B4F">
        <w:rPr>
          <w:rFonts w:ascii="Verdana" w:hAnsi="Verdana"/>
          <w:b/>
          <w:color w:val="548DD4" w:themeColor="text2" w:themeTint="99"/>
          <w:sz w:val="20"/>
          <w:szCs w:val="20"/>
          <w:lang w:val="bg-BG"/>
        </w:rPr>
        <w:t xml:space="preserve">Таблица </w:t>
      </w:r>
      <w:r w:rsidR="00BF1936" w:rsidRPr="00B45B4F">
        <w:rPr>
          <w:rFonts w:ascii="Verdana" w:hAnsi="Verdana"/>
          <w:b/>
          <w:color w:val="548DD4" w:themeColor="text2" w:themeTint="99"/>
          <w:sz w:val="20"/>
          <w:szCs w:val="20"/>
          <w:lang w:val="bg-BG"/>
        </w:rPr>
        <w:fldChar w:fldCharType="begin"/>
      </w:r>
      <w:r w:rsidRPr="00B45B4F">
        <w:rPr>
          <w:rFonts w:ascii="Verdana" w:hAnsi="Verdana"/>
          <w:b/>
          <w:color w:val="548DD4" w:themeColor="text2" w:themeTint="99"/>
          <w:sz w:val="20"/>
          <w:szCs w:val="20"/>
          <w:lang w:val="bg-BG"/>
        </w:rPr>
        <w:instrText>SEQ таблица \* ARABIC</w:instrText>
      </w:r>
      <w:r w:rsidR="00BF1936" w:rsidRPr="00B45B4F">
        <w:rPr>
          <w:rFonts w:ascii="Verdana" w:hAnsi="Verdana"/>
          <w:b/>
          <w:color w:val="548DD4" w:themeColor="text2" w:themeTint="99"/>
          <w:sz w:val="20"/>
          <w:szCs w:val="20"/>
          <w:lang w:val="bg-BG"/>
        </w:rPr>
        <w:fldChar w:fldCharType="separate"/>
      </w:r>
      <w:r w:rsidR="001361E0">
        <w:rPr>
          <w:rFonts w:ascii="Verdana" w:hAnsi="Verdana"/>
          <w:b/>
          <w:noProof/>
          <w:color w:val="548DD4" w:themeColor="text2" w:themeTint="99"/>
          <w:sz w:val="20"/>
          <w:szCs w:val="20"/>
          <w:lang w:val="bg-BG"/>
        </w:rPr>
        <w:t>5</w:t>
      </w:r>
      <w:r w:rsidR="00BF1936" w:rsidRPr="00B45B4F">
        <w:rPr>
          <w:rFonts w:ascii="Verdana" w:hAnsi="Verdana"/>
          <w:b/>
          <w:color w:val="548DD4" w:themeColor="text2" w:themeTint="99"/>
          <w:sz w:val="20"/>
          <w:szCs w:val="20"/>
          <w:lang w:val="bg-BG"/>
        </w:rPr>
        <w:fldChar w:fldCharType="end"/>
      </w:r>
      <w:r w:rsidR="006F74A8" w:rsidRPr="00B45B4F">
        <w:rPr>
          <w:rFonts w:ascii="Verdana" w:hAnsi="Verdana"/>
          <w:b/>
          <w:color w:val="548DD4" w:themeColor="text2" w:themeTint="99"/>
          <w:sz w:val="20"/>
          <w:szCs w:val="20"/>
          <w:lang w:val="bg-BG"/>
        </w:rPr>
        <w:t>: Връзки между приоритетите на ОПНОИР и ОПОС</w:t>
      </w:r>
      <w:bookmarkEnd w:id="58"/>
    </w:p>
    <w:tbl>
      <w:tblPr>
        <w:tblW w:w="92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1260"/>
        <w:gridCol w:w="810"/>
        <w:gridCol w:w="810"/>
        <w:gridCol w:w="720"/>
        <w:gridCol w:w="720"/>
        <w:gridCol w:w="630"/>
        <w:gridCol w:w="990"/>
        <w:gridCol w:w="990"/>
      </w:tblGrid>
      <w:tr w:rsidR="006F74A8" w:rsidRPr="00B45B4F" w:rsidTr="001E66F2">
        <w:trPr>
          <w:trHeight w:val="510"/>
        </w:trPr>
        <w:tc>
          <w:tcPr>
            <w:tcW w:w="2340" w:type="dxa"/>
            <w:shd w:val="clear" w:color="000000" w:fill="548DD4"/>
            <w:vAlign w:val="center"/>
            <w:hideMark/>
          </w:tcPr>
          <w:p w:rsidR="006F74A8" w:rsidRPr="00B45B4F" w:rsidRDefault="006F74A8" w:rsidP="006F74A8">
            <w:pPr>
              <w:spacing w:after="0" w:line="240" w:lineRule="auto"/>
              <w:jc w:val="center"/>
              <w:rPr>
                <w:rFonts w:ascii="Verdana" w:eastAsia="Times New Roman" w:hAnsi="Verdana"/>
                <w:bCs/>
                <w:color w:val="FFFFFF"/>
                <w:sz w:val="18"/>
                <w:szCs w:val="18"/>
                <w:lang w:val="bg-BG"/>
              </w:rPr>
            </w:pPr>
            <w:r w:rsidRPr="00B45B4F">
              <w:rPr>
                <w:rFonts w:ascii="Verdana" w:eastAsia="Times New Roman" w:hAnsi="Verdana"/>
                <w:bCs/>
                <w:color w:val="FFFFFF"/>
                <w:sz w:val="18"/>
                <w:szCs w:val="18"/>
                <w:lang w:val="bg-BG"/>
              </w:rPr>
              <w:t>Оперативна програма / приоритетна ос</w:t>
            </w:r>
          </w:p>
        </w:tc>
        <w:tc>
          <w:tcPr>
            <w:tcW w:w="1260" w:type="dxa"/>
            <w:shd w:val="clear" w:color="000000" w:fill="548DD4"/>
            <w:vAlign w:val="center"/>
            <w:hideMark/>
          </w:tcPr>
          <w:p w:rsidR="006F74A8" w:rsidRPr="00B45B4F" w:rsidRDefault="006F74A8" w:rsidP="006F74A8">
            <w:pPr>
              <w:spacing w:after="0" w:line="240" w:lineRule="auto"/>
              <w:jc w:val="center"/>
              <w:rPr>
                <w:rFonts w:ascii="Verdana" w:eastAsia="Times New Roman" w:hAnsi="Verdana"/>
                <w:bCs/>
                <w:color w:val="FFFFFF"/>
                <w:sz w:val="18"/>
                <w:szCs w:val="18"/>
                <w:lang w:val="bg-BG"/>
              </w:rPr>
            </w:pPr>
            <w:r w:rsidRPr="00B45B4F">
              <w:rPr>
                <w:rFonts w:ascii="Verdana" w:eastAsia="Times New Roman" w:hAnsi="Verdana"/>
                <w:bCs/>
                <w:color w:val="FFFFFF"/>
                <w:sz w:val="18"/>
                <w:szCs w:val="18"/>
                <w:lang w:val="bg-BG"/>
              </w:rPr>
              <w:t>ОПНОИР</w:t>
            </w:r>
          </w:p>
        </w:tc>
        <w:tc>
          <w:tcPr>
            <w:tcW w:w="1620" w:type="dxa"/>
            <w:gridSpan w:val="2"/>
            <w:shd w:val="clear" w:color="000000" w:fill="548DD4"/>
            <w:vAlign w:val="center"/>
            <w:hideMark/>
          </w:tcPr>
          <w:p w:rsidR="006F74A8" w:rsidRPr="00B45B4F" w:rsidRDefault="006F74A8" w:rsidP="00E55E63">
            <w:pPr>
              <w:spacing w:after="0" w:line="240" w:lineRule="auto"/>
              <w:ind w:left="-108" w:right="-108"/>
              <w:jc w:val="center"/>
              <w:rPr>
                <w:rFonts w:ascii="Verdana" w:eastAsia="Times New Roman" w:hAnsi="Verdana"/>
                <w:color w:val="FFFFFF"/>
                <w:sz w:val="18"/>
                <w:szCs w:val="18"/>
                <w:lang w:val="bg-BG"/>
              </w:rPr>
            </w:pPr>
            <w:r w:rsidRPr="00B45B4F">
              <w:rPr>
                <w:rFonts w:ascii="Verdana" w:eastAsia="Times New Roman" w:hAnsi="Verdana"/>
                <w:color w:val="FFFFFF"/>
                <w:sz w:val="18"/>
                <w:szCs w:val="18"/>
                <w:lang w:val="bg-BG"/>
              </w:rPr>
              <w:t>ПО 1: Н</w:t>
            </w:r>
            <w:r w:rsidR="00F55866" w:rsidRPr="00B45B4F">
              <w:rPr>
                <w:rFonts w:ascii="Verdana" w:eastAsia="Times New Roman" w:hAnsi="Verdana"/>
                <w:color w:val="FFFFFF"/>
                <w:sz w:val="18"/>
                <w:szCs w:val="18"/>
                <w:lang w:val="bg-BG"/>
              </w:rPr>
              <w:t>аучни изследвания и техн.</w:t>
            </w:r>
            <w:r w:rsidRPr="00B45B4F">
              <w:rPr>
                <w:rFonts w:ascii="Verdana" w:eastAsia="Times New Roman" w:hAnsi="Verdana"/>
                <w:color w:val="FFFFFF"/>
                <w:sz w:val="18"/>
                <w:szCs w:val="18"/>
                <w:lang w:val="bg-BG"/>
              </w:rPr>
              <w:t xml:space="preserve"> развитие</w:t>
            </w:r>
          </w:p>
        </w:tc>
        <w:tc>
          <w:tcPr>
            <w:tcW w:w="2070" w:type="dxa"/>
            <w:gridSpan w:val="3"/>
            <w:shd w:val="clear" w:color="000000" w:fill="548DD4"/>
            <w:vAlign w:val="center"/>
            <w:hideMark/>
          </w:tcPr>
          <w:p w:rsidR="006F74A8" w:rsidRPr="00B45B4F" w:rsidRDefault="006F74A8" w:rsidP="006F74A8">
            <w:pPr>
              <w:spacing w:after="0" w:line="240" w:lineRule="auto"/>
              <w:jc w:val="center"/>
              <w:rPr>
                <w:rFonts w:ascii="Verdana" w:eastAsia="Times New Roman" w:hAnsi="Verdana"/>
                <w:color w:val="FFFFFF"/>
                <w:sz w:val="18"/>
                <w:szCs w:val="18"/>
                <w:lang w:val="bg-BG"/>
              </w:rPr>
            </w:pPr>
            <w:r w:rsidRPr="00B45B4F">
              <w:rPr>
                <w:rFonts w:ascii="Verdana" w:eastAsia="Times New Roman" w:hAnsi="Verdana"/>
                <w:color w:val="FFFFFF"/>
                <w:sz w:val="18"/>
                <w:szCs w:val="18"/>
                <w:lang w:val="bg-BG"/>
              </w:rPr>
              <w:t>ПО 2: Образование и учене през целия живот</w:t>
            </w:r>
          </w:p>
        </w:tc>
        <w:tc>
          <w:tcPr>
            <w:tcW w:w="1980" w:type="dxa"/>
            <w:gridSpan w:val="2"/>
            <w:shd w:val="clear" w:color="000000" w:fill="548DD4"/>
            <w:vAlign w:val="center"/>
            <w:hideMark/>
          </w:tcPr>
          <w:p w:rsidR="006F74A8" w:rsidRPr="00B45B4F" w:rsidRDefault="006F74A8" w:rsidP="006F74A8">
            <w:pPr>
              <w:spacing w:after="0" w:line="240" w:lineRule="auto"/>
              <w:jc w:val="center"/>
              <w:rPr>
                <w:rFonts w:ascii="Verdana" w:eastAsia="Times New Roman" w:hAnsi="Verdana"/>
                <w:color w:val="FFFFFF"/>
                <w:sz w:val="18"/>
                <w:szCs w:val="18"/>
                <w:lang w:val="bg-BG"/>
              </w:rPr>
            </w:pPr>
            <w:r w:rsidRPr="00B45B4F">
              <w:rPr>
                <w:rFonts w:ascii="Verdana" w:eastAsia="Times New Roman" w:hAnsi="Verdana"/>
                <w:color w:val="FFFFFF"/>
                <w:sz w:val="18"/>
                <w:szCs w:val="18"/>
                <w:lang w:val="bg-BG"/>
              </w:rPr>
              <w:t>ПО 3: Образователна среда за активно соц. приобщаване</w:t>
            </w:r>
          </w:p>
        </w:tc>
      </w:tr>
      <w:tr w:rsidR="00F55866" w:rsidRPr="00B45B4F" w:rsidTr="00FB78CA">
        <w:trPr>
          <w:trHeight w:val="300"/>
        </w:trPr>
        <w:tc>
          <w:tcPr>
            <w:tcW w:w="2340" w:type="dxa"/>
            <w:shd w:val="clear" w:color="auto" w:fill="548DD4" w:themeFill="text2" w:themeFillTint="99"/>
            <w:vAlign w:val="center"/>
            <w:hideMark/>
          </w:tcPr>
          <w:p w:rsidR="006F74A8" w:rsidRPr="00B45B4F" w:rsidRDefault="006F74A8" w:rsidP="006F74A8">
            <w:pPr>
              <w:spacing w:after="0" w:line="240" w:lineRule="auto"/>
              <w:jc w:val="center"/>
              <w:rPr>
                <w:rFonts w:ascii="Verdana" w:eastAsia="Times New Roman" w:hAnsi="Verdana"/>
                <w:bCs/>
                <w:color w:val="FFFFFF"/>
                <w:sz w:val="18"/>
                <w:szCs w:val="18"/>
                <w:lang w:val="bg-BG"/>
              </w:rPr>
            </w:pPr>
            <w:r w:rsidRPr="00B45B4F">
              <w:rPr>
                <w:rFonts w:ascii="Verdana" w:eastAsia="Times New Roman" w:hAnsi="Verdana"/>
                <w:bCs/>
                <w:color w:val="FFFFFF"/>
                <w:sz w:val="18"/>
                <w:szCs w:val="18"/>
                <w:lang w:val="bg-BG"/>
              </w:rPr>
              <w:t>ОПОС</w:t>
            </w:r>
          </w:p>
        </w:tc>
        <w:tc>
          <w:tcPr>
            <w:tcW w:w="1260" w:type="dxa"/>
            <w:shd w:val="clear" w:color="000000" w:fill="C6D9F1"/>
            <w:vAlign w:val="bottom"/>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Приоритет</w:t>
            </w:r>
          </w:p>
        </w:tc>
        <w:tc>
          <w:tcPr>
            <w:tcW w:w="810" w:type="dxa"/>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1.1</w:t>
            </w:r>
          </w:p>
        </w:tc>
        <w:tc>
          <w:tcPr>
            <w:tcW w:w="810" w:type="dxa"/>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1.2</w:t>
            </w:r>
          </w:p>
        </w:tc>
        <w:tc>
          <w:tcPr>
            <w:tcW w:w="720" w:type="dxa"/>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2.1</w:t>
            </w:r>
          </w:p>
        </w:tc>
        <w:tc>
          <w:tcPr>
            <w:tcW w:w="720" w:type="dxa"/>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2.2</w:t>
            </w:r>
          </w:p>
        </w:tc>
        <w:tc>
          <w:tcPr>
            <w:tcW w:w="630" w:type="dxa"/>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2.3</w:t>
            </w:r>
          </w:p>
        </w:tc>
        <w:tc>
          <w:tcPr>
            <w:tcW w:w="990" w:type="dxa"/>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3.1</w:t>
            </w:r>
          </w:p>
        </w:tc>
        <w:tc>
          <w:tcPr>
            <w:tcW w:w="990" w:type="dxa"/>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3.2</w:t>
            </w:r>
          </w:p>
        </w:tc>
      </w:tr>
      <w:tr w:rsidR="00F55866" w:rsidRPr="00B45B4F" w:rsidTr="00FB78CA">
        <w:trPr>
          <w:trHeight w:val="330"/>
        </w:trPr>
        <w:tc>
          <w:tcPr>
            <w:tcW w:w="2340" w:type="dxa"/>
            <w:vMerge w:val="restart"/>
            <w:shd w:val="clear" w:color="auto" w:fill="548DD4" w:themeFill="text2" w:themeFillTint="99"/>
            <w:vAlign w:val="center"/>
            <w:hideMark/>
          </w:tcPr>
          <w:p w:rsidR="006F74A8" w:rsidRPr="00B45B4F" w:rsidRDefault="006F74A8" w:rsidP="006F74A8">
            <w:pPr>
              <w:spacing w:after="0" w:line="240" w:lineRule="auto"/>
              <w:jc w:val="center"/>
              <w:rPr>
                <w:rFonts w:ascii="Verdana" w:eastAsia="Times New Roman" w:hAnsi="Verdana"/>
                <w:bCs/>
                <w:color w:val="FFFFFF"/>
                <w:sz w:val="18"/>
                <w:szCs w:val="18"/>
                <w:lang w:val="bg-BG"/>
              </w:rPr>
            </w:pPr>
            <w:r w:rsidRPr="00B45B4F">
              <w:rPr>
                <w:rFonts w:ascii="Verdana" w:eastAsia="Times New Roman" w:hAnsi="Verdana"/>
                <w:bCs/>
                <w:color w:val="FFFFFF"/>
                <w:sz w:val="18"/>
                <w:szCs w:val="18"/>
                <w:lang w:val="bg-BG"/>
              </w:rPr>
              <w:t>ПО 1:</w:t>
            </w:r>
            <w:r w:rsidRPr="00B45B4F">
              <w:rPr>
                <w:rFonts w:ascii="Verdana" w:eastAsia="Times New Roman" w:hAnsi="Verdana"/>
                <w:color w:val="FFFFFF"/>
                <w:sz w:val="18"/>
                <w:szCs w:val="18"/>
                <w:lang w:val="bg-BG"/>
              </w:rPr>
              <w:t xml:space="preserve"> Води</w:t>
            </w:r>
          </w:p>
        </w:tc>
        <w:tc>
          <w:tcPr>
            <w:tcW w:w="1260" w:type="dxa"/>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1.1</w:t>
            </w:r>
          </w:p>
        </w:tc>
        <w:tc>
          <w:tcPr>
            <w:tcW w:w="81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1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63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99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99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p>
        </w:tc>
      </w:tr>
      <w:tr w:rsidR="00F55866" w:rsidRPr="00B45B4F" w:rsidTr="00FB78CA">
        <w:trPr>
          <w:trHeight w:val="330"/>
        </w:trPr>
        <w:tc>
          <w:tcPr>
            <w:tcW w:w="2340" w:type="dxa"/>
            <w:vMerge/>
            <w:shd w:val="clear" w:color="auto" w:fill="548DD4" w:themeFill="text2" w:themeFillTint="99"/>
            <w:vAlign w:val="center"/>
            <w:hideMark/>
          </w:tcPr>
          <w:p w:rsidR="006F74A8" w:rsidRPr="00B45B4F" w:rsidRDefault="006F74A8" w:rsidP="006F74A8">
            <w:pPr>
              <w:spacing w:after="0" w:line="240" w:lineRule="auto"/>
              <w:rPr>
                <w:rFonts w:ascii="Verdana" w:eastAsia="Times New Roman" w:hAnsi="Verdana"/>
                <w:bCs/>
                <w:color w:val="FFFFFF"/>
                <w:sz w:val="18"/>
                <w:szCs w:val="18"/>
                <w:lang w:val="bg-BG"/>
              </w:rPr>
            </w:pPr>
          </w:p>
        </w:tc>
        <w:tc>
          <w:tcPr>
            <w:tcW w:w="1260" w:type="dxa"/>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1.2</w:t>
            </w:r>
          </w:p>
        </w:tc>
        <w:tc>
          <w:tcPr>
            <w:tcW w:w="81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1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63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99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99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p>
        </w:tc>
      </w:tr>
      <w:tr w:rsidR="00F55866" w:rsidRPr="00B45B4F" w:rsidTr="00FB78CA">
        <w:trPr>
          <w:trHeight w:val="330"/>
        </w:trPr>
        <w:tc>
          <w:tcPr>
            <w:tcW w:w="2340" w:type="dxa"/>
            <w:shd w:val="clear" w:color="auto" w:fill="548DD4" w:themeFill="text2" w:themeFillTint="99"/>
            <w:vAlign w:val="center"/>
            <w:hideMark/>
          </w:tcPr>
          <w:p w:rsidR="006F74A8" w:rsidRPr="00B45B4F" w:rsidRDefault="006F74A8" w:rsidP="006F74A8">
            <w:pPr>
              <w:spacing w:after="0" w:line="240" w:lineRule="auto"/>
              <w:jc w:val="center"/>
              <w:rPr>
                <w:rFonts w:ascii="Verdana" w:eastAsia="Times New Roman" w:hAnsi="Verdana"/>
                <w:bCs/>
                <w:color w:val="FFFFFF"/>
                <w:sz w:val="18"/>
                <w:szCs w:val="18"/>
                <w:lang w:val="bg-BG"/>
              </w:rPr>
            </w:pPr>
            <w:r w:rsidRPr="00B45B4F">
              <w:rPr>
                <w:rFonts w:ascii="Verdana" w:eastAsia="Times New Roman" w:hAnsi="Verdana"/>
                <w:bCs/>
                <w:color w:val="FFFFFF"/>
                <w:sz w:val="18"/>
                <w:szCs w:val="18"/>
                <w:lang w:val="bg-BG"/>
              </w:rPr>
              <w:t>ПО 2:</w:t>
            </w:r>
            <w:r w:rsidRPr="00B45B4F">
              <w:rPr>
                <w:rFonts w:ascii="Verdana" w:eastAsia="Times New Roman" w:hAnsi="Verdana"/>
                <w:color w:val="FFFFFF"/>
                <w:sz w:val="18"/>
                <w:szCs w:val="18"/>
                <w:lang w:val="bg-BG"/>
              </w:rPr>
              <w:t xml:space="preserve"> Отпадъци</w:t>
            </w:r>
          </w:p>
        </w:tc>
        <w:tc>
          <w:tcPr>
            <w:tcW w:w="1260" w:type="dxa"/>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2.1</w:t>
            </w:r>
          </w:p>
        </w:tc>
        <w:tc>
          <w:tcPr>
            <w:tcW w:w="81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1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63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99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99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r>
      <w:tr w:rsidR="00F55866" w:rsidRPr="00B45B4F" w:rsidTr="00FB78CA">
        <w:trPr>
          <w:trHeight w:val="555"/>
        </w:trPr>
        <w:tc>
          <w:tcPr>
            <w:tcW w:w="2340" w:type="dxa"/>
            <w:shd w:val="clear" w:color="auto" w:fill="548DD4" w:themeFill="text2" w:themeFillTint="99"/>
            <w:vAlign w:val="center"/>
            <w:hideMark/>
          </w:tcPr>
          <w:p w:rsidR="006F74A8" w:rsidRPr="00B45B4F" w:rsidRDefault="006F74A8" w:rsidP="006F74A8">
            <w:pPr>
              <w:spacing w:after="0" w:line="240" w:lineRule="auto"/>
              <w:jc w:val="center"/>
              <w:rPr>
                <w:rFonts w:ascii="Verdana" w:eastAsia="Times New Roman" w:hAnsi="Verdana"/>
                <w:bCs/>
                <w:color w:val="FFFFFF"/>
                <w:sz w:val="18"/>
                <w:szCs w:val="18"/>
                <w:lang w:val="bg-BG"/>
              </w:rPr>
            </w:pPr>
            <w:r w:rsidRPr="00B45B4F">
              <w:rPr>
                <w:rFonts w:ascii="Verdana" w:eastAsia="Times New Roman" w:hAnsi="Verdana"/>
                <w:bCs/>
                <w:color w:val="FFFFFF"/>
                <w:sz w:val="18"/>
                <w:szCs w:val="18"/>
                <w:lang w:val="bg-BG"/>
              </w:rPr>
              <w:t>ПО 3:</w:t>
            </w:r>
            <w:r w:rsidRPr="00B45B4F">
              <w:rPr>
                <w:rFonts w:ascii="Verdana" w:eastAsia="Times New Roman" w:hAnsi="Verdana"/>
                <w:color w:val="FFFFFF"/>
                <w:sz w:val="18"/>
                <w:szCs w:val="18"/>
                <w:lang w:val="bg-BG"/>
              </w:rPr>
              <w:t xml:space="preserve"> Натура 2000 и </w:t>
            </w:r>
            <w:proofErr w:type="spellStart"/>
            <w:r w:rsidRPr="00B45B4F">
              <w:rPr>
                <w:rFonts w:ascii="Verdana" w:eastAsia="Times New Roman" w:hAnsi="Verdana"/>
                <w:color w:val="FFFFFF"/>
                <w:sz w:val="18"/>
                <w:szCs w:val="18"/>
                <w:lang w:val="bg-BG"/>
              </w:rPr>
              <w:t>биоразноообразие</w:t>
            </w:r>
            <w:proofErr w:type="spellEnd"/>
          </w:p>
        </w:tc>
        <w:tc>
          <w:tcPr>
            <w:tcW w:w="1260" w:type="dxa"/>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3.1</w:t>
            </w:r>
          </w:p>
        </w:tc>
        <w:tc>
          <w:tcPr>
            <w:tcW w:w="81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1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63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99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99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r>
      <w:tr w:rsidR="00F55866" w:rsidRPr="00B45B4F" w:rsidTr="00FB78CA">
        <w:trPr>
          <w:trHeight w:val="330"/>
        </w:trPr>
        <w:tc>
          <w:tcPr>
            <w:tcW w:w="2340" w:type="dxa"/>
            <w:vMerge w:val="restart"/>
            <w:shd w:val="clear" w:color="auto" w:fill="548DD4" w:themeFill="text2" w:themeFillTint="99"/>
            <w:vAlign w:val="center"/>
            <w:hideMark/>
          </w:tcPr>
          <w:p w:rsidR="006F74A8" w:rsidRPr="00B45B4F" w:rsidRDefault="006F74A8" w:rsidP="006F74A8">
            <w:pPr>
              <w:spacing w:after="0" w:line="240" w:lineRule="auto"/>
              <w:jc w:val="center"/>
              <w:rPr>
                <w:rFonts w:ascii="Verdana" w:eastAsia="Times New Roman" w:hAnsi="Verdana"/>
                <w:bCs/>
                <w:color w:val="FFFFFF"/>
                <w:sz w:val="18"/>
                <w:szCs w:val="18"/>
                <w:lang w:val="bg-BG"/>
              </w:rPr>
            </w:pPr>
            <w:r w:rsidRPr="00B45B4F">
              <w:rPr>
                <w:rFonts w:ascii="Verdana" w:eastAsia="Times New Roman" w:hAnsi="Verdana"/>
                <w:bCs/>
                <w:color w:val="FFFFFF"/>
                <w:sz w:val="18"/>
                <w:szCs w:val="18"/>
                <w:lang w:val="bg-BG"/>
              </w:rPr>
              <w:t>ПО 4:</w:t>
            </w:r>
            <w:r w:rsidRPr="00B45B4F">
              <w:rPr>
                <w:rFonts w:ascii="Verdana" w:eastAsia="Times New Roman" w:hAnsi="Verdana"/>
                <w:color w:val="FFFFFF"/>
                <w:sz w:val="18"/>
                <w:szCs w:val="18"/>
                <w:lang w:val="bg-BG"/>
              </w:rPr>
              <w:t xml:space="preserve"> Подкрепа за ПОС и ПИК при прилагане на ЕИСФ</w:t>
            </w:r>
          </w:p>
        </w:tc>
        <w:tc>
          <w:tcPr>
            <w:tcW w:w="1260" w:type="dxa"/>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4.1</w:t>
            </w:r>
          </w:p>
        </w:tc>
        <w:tc>
          <w:tcPr>
            <w:tcW w:w="81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1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63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99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99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r>
      <w:tr w:rsidR="00F55866" w:rsidRPr="00B45B4F" w:rsidTr="00FB78CA">
        <w:trPr>
          <w:trHeight w:val="330"/>
        </w:trPr>
        <w:tc>
          <w:tcPr>
            <w:tcW w:w="2340" w:type="dxa"/>
            <w:vMerge/>
            <w:shd w:val="clear" w:color="auto" w:fill="548DD4" w:themeFill="text2" w:themeFillTint="99"/>
            <w:vAlign w:val="center"/>
            <w:hideMark/>
          </w:tcPr>
          <w:p w:rsidR="006F74A8" w:rsidRPr="00B45B4F" w:rsidRDefault="006F74A8" w:rsidP="006F74A8">
            <w:pPr>
              <w:spacing w:after="0" w:line="240" w:lineRule="auto"/>
              <w:rPr>
                <w:rFonts w:ascii="Verdana" w:eastAsia="Times New Roman" w:hAnsi="Verdana"/>
                <w:bCs/>
                <w:color w:val="FFFFFF"/>
                <w:sz w:val="18"/>
                <w:szCs w:val="18"/>
                <w:lang w:val="bg-BG"/>
              </w:rPr>
            </w:pPr>
          </w:p>
        </w:tc>
        <w:tc>
          <w:tcPr>
            <w:tcW w:w="1260" w:type="dxa"/>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4.2</w:t>
            </w:r>
          </w:p>
        </w:tc>
        <w:tc>
          <w:tcPr>
            <w:tcW w:w="81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1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63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99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990" w:type="dxa"/>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r>
    </w:tbl>
    <w:p w:rsidR="008410DF" w:rsidRPr="00B45B4F" w:rsidRDefault="008410DF" w:rsidP="008410DF">
      <w:pPr>
        <w:spacing w:before="120"/>
        <w:rPr>
          <w:rFonts w:ascii="Verdana" w:hAnsi="Verdana"/>
          <w:i/>
          <w:sz w:val="18"/>
          <w:szCs w:val="18"/>
          <w:lang w:val="bg-BG" w:eastAsia="bg-BG"/>
        </w:rPr>
      </w:pPr>
      <w:r w:rsidRPr="00B45B4F">
        <w:rPr>
          <w:rFonts w:ascii="Verdana" w:hAnsi="Verdana"/>
          <w:i/>
          <w:sz w:val="18"/>
          <w:szCs w:val="18"/>
          <w:lang w:val="bg-BG" w:eastAsia="bg-BG"/>
        </w:rPr>
        <w:t xml:space="preserve">Легенда: </w:t>
      </w:r>
      <w:r w:rsidRPr="00B45B4F">
        <w:rPr>
          <w:rFonts w:ascii="Wingdings 2" w:eastAsia="Times New Roman" w:hAnsi="Wingdings 2"/>
          <w:color w:val="0070C0"/>
          <w:sz w:val="26"/>
          <w:szCs w:val="26"/>
          <w:lang w:val="bg-BG"/>
        </w:rPr>
        <w:t></w:t>
      </w:r>
      <w:r w:rsidRPr="00B45B4F">
        <w:rPr>
          <w:rFonts w:ascii="Verdana" w:eastAsia="Times New Roman" w:hAnsi="Verdana"/>
          <w:i/>
          <w:sz w:val="18"/>
          <w:szCs w:val="18"/>
          <w:lang w:val="bg-BG"/>
        </w:rPr>
        <w:t xml:space="preserve"> - слаба връзка, </w:t>
      </w:r>
      <w:r w:rsidRPr="00B45B4F">
        <w:rPr>
          <w:rFonts w:ascii="Wingdings 2" w:eastAsia="Times New Roman" w:hAnsi="Wingdings 2"/>
          <w:color w:val="0070C0"/>
          <w:sz w:val="26"/>
          <w:szCs w:val="26"/>
          <w:lang w:val="bg-BG"/>
        </w:rPr>
        <w:t></w:t>
      </w:r>
      <w:r w:rsidRPr="00B45B4F">
        <w:rPr>
          <w:rFonts w:ascii="Wingdings 2" w:eastAsia="Times New Roman" w:hAnsi="Wingdings 2"/>
          <w:color w:val="0070C0"/>
          <w:sz w:val="26"/>
          <w:szCs w:val="26"/>
          <w:lang w:val="bg-BG"/>
        </w:rPr>
        <w:t></w:t>
      </w:r>
      <w:r w:rsidRPr="00B45B4F">
        <w:rPr>
          <w:rFonts w:ascii="Wingdings 2" w:eastAsia="Times New Roman" w:hAnsi="Wingdings 2"/>
          <w:color w:val="0070C0"/>
          <w:sz w:val="26"/>
          <w:szCs w:val="26"/>
          <w:lang w:val="bg-BG"/>
        </w:rPr>
        <w:t></w:t>
      </w:r>
      <w:r w:rsidRPr="00EC3BDA">
        <w:rPr>
          <w:rFonts w:ascii="Verdana" w:eastAsia="Times New Roman" w:hAnsi="Verdana"/>
          <w:sz w:val="26"/>
          <w:szCs w:val="26"/>
          <w:lang w:val="bg-BG"/>
        </w:rPr>
        <w:t xml:space="preserve">- </w:t>
      </w:r>
      <w:r w:rsidRPr="00EC3BDA">
        <w:rPr>
          <w:rFonts w:ascii="Verdana" w:eastAsia="Times New Roman" w:hAnsi="Verdana"/>
          <w:i/>
          <w:sz w:val="18"/>
          <w:szCs w:val="18"/>
          <w:lang w:val="bg-BG"/>
        </w:rPr>
        <w:t xml:space="preserve">средно </w:t>
      </w:r>
      <w:r w:rsidRPr="00B45B4F">
        <w:rPr>
          <w:rFonts w:ascii="Verdana" w:eastAsia="Times New Roman" w:hAnsi="Verdana"/>
          <w:i/>
          <w:sz w:val="18"/>
          <w:szCs w:val="18"/>
          <w:lang w:val="bg-BG"/>
        </w:rPr>
        <w:t xml:space="preserve">силна връзка, </w:t>
      </w:r>
      <w:r w:rsidRPr="00B45B4F">
        <w:rPr>
          <w:rFonts w:ascii="Wingdings 2" w:eastAsia="Times New Roman" w:hAnsi="Wingdings 2"/>
          <w:color w:val="0070C0"/>
          <w:sz w:val="26"/>
          <w:szCs w:val="26"/>
          <w:lang w:val="bg-BG"/>
        </w:rPr>
        <w:t></w:t>
      </w:r>
      <w:r w:rsidRPr="00B45B4F">
        <w:rPr>
          <w:rFonts w:ascii="Wingdings 2" w:eastAsia="Times New Roman" w:hAnsi="Wingdings 2"/>
          <w:color w:val="0070C0"/>
          <w:sz w:val="26"/>
          <w:szCs w:val="26"/>
          <w:lang w:val="bg-BG"/>
        </w:rPr>
        <w:t></w:t>
      </w:r>
      <w:r w:rsidRPr="00B45B4F">
        <w:rPr>
          <w:rFonts w:ascii="Wingdings 2" w:eastAsia="Times New Roman" w:hAnsi="Wingdings 2"/>
          <w:color w:val="0070C0"/>
          <w:sz w:val="26"/>
          <w:szCs w:val="26"/>
          <w:lang w:val="bg-BG"/>
        </w:rPr>
        <w:t></w:t>
      </w:r>
      <w:r w:rsidRPr="00B45B4F">
        <w:rPr>
          <w:rFonts w:ascii="Verdana" w:eastAsia="Times New Roman" w:hAnsi="Verdana"/>
          <w:i/>
          <w:sz w:val="18"/>
          <w:szCs w:val="18"/>
          <w:lang w:val="bg-BG"/>
        </w:rPr>
        <w:t xml:space="preserve"> - силна връзка</w:t>
      </w:r>
    </w:p>
    <w:p w:rsidR="006F74A8" w:rsidRPr="00B45B4F" w:rsidRDefault="006F74A8" w:rsidP="006F74A8">
      <w:pPr>
        <w:keepNext/>
        <w:spacing w:before="240" w:after="120"/>
        <w:rPr>
          <w:rFonts w:ascii="Verdana" w:hAnsi="Verdana"/>
          <w:b/>
          <w:color w:val="548DD4" w:themeColor="text2" w:themeTint="99"/>
          <w:sz w:val="20"/>
          <w:szCs w:val="20"/>
          <w:lang w:val="bg-BG"/>
        </w:rPr>
      </w:pPr>
      <w:bookmarkStart w:id="59" w:name="_Toc395612562"/>
      <w:r w:rsidRPr="00B45B4F">
        <w:rPr>
          <w:rFonts w:ascii="Verdana" w:hAnsi="Verdana"/>
          <w:b/>
          <w:color w:val="548DD4" w:themeColor="text2" w:themeTint="99"/>
          <w:sz w:val="20"/>
          <w:szCs w:val="20"/>
          <w:lang w:val="bg-BG"/>
        </w:rPr>
        <w:t xml:space="preserve">Таблица </w:t>
      </w:r>
      <w:r w:rsidR="00BF1936" w:rsidRPr="00B45B4F">
        <w:rPr>
          <w:rFonts w:ascii="Verdana" w:hAnsi="Verdana"/>
          <w:b/>
          <w:color w:val="548DD4" w:themeColor="text2" w:themeTint="99"/>
          <w:sz w:val="20"/>
          <w:szCs w:val="20"/>
          <w:lang w:val="bg-BG"/>
        </w:rPr>
        <w:fldChar w:fldCharType="begin"/>
      </w:r>
      <w:r w:rsidRPr="00B45B4F">
        <w:rPr>
          <w:rFonts w:ascii="Verdana" w:hAnsi="Verdana"/>
          <w:b/>
          <w:color w:val="548DD4" w:themeColor="text2" w:themeTint="99"/>
          <w:sz w:val="20"/>
          <w:szCs w:val="20"/>
          <w:lang w:val="bg-BG"/>
        </w:rPr>
        <w:instrText>SEQ таблица \* ARABIC</w:instrText>
      </w:r>
      <w:r w:rsidR="00BF1936" w:rsidRPr="00B45B4F">
        <w:rPr>
          <w:rFonts w:ascii="Verdana" w:hAnsi="Verdana"/>
          <w:b/>
          <w:color w:val="548DD4" w:themeColor="text2" w:themeTint="99"/>
          <w:sz w:val="20"/>
          <w:szCs w:val="20"/>
          <w:lang w:val="bg-BG"/>
        </w:rPr>
        <w:fldChar w:fldCharType="separate"/>
      </w:r>
      <w:r w:rsidR="001361E0">
        <w:rPr>
          <w:rFonts w:ascii="Verdana" w:hAnsi="Verdana"/>
          <w:b/>
          <w:noProof/>
          <w:color w:val="548DD4" w:themeColor="text2" w:themeTint="99"/>
          <w:sz w:val="20"/>
          <w:szCs w:val="20"/>
          <w:lang w:val="bg-BG"/>
        </w:rPr>
        <w:t>6</w:t>
      </w:r>
      <w:r w:rsidR="00BF1936" w:rsidRPr="00B45B4F">
        <w:rPr>
          <w:rFonts w:ascii="Verdana" w:hAnsi="Verdana"/>
          <w:b/>
          <w:color w:val="548DD4" w:themeColor="text2" w:themeTint="99"/>
          <w:sz w:val="20"/>
          <w:szCs w:val="20"/>
          <w:lang w:val="bg-BG"/>
        </w:rPr>
        <w:fldChar w:fldCharType="end"/>
      </w:r>
      <w:r w:rsidRPr="00B45B4F">
        <w:rPr>
          <w:rFonts w:ascii="Verdana" w:hAnsi="Verdana"/>
          <w:b/>
          <w:color w:val="548DD4" w:themeColor="text2" w:themeTint="99"/>
          <w:sz w:val="20"/>
          <w:szCs w:val="20"/>
          <w:lang w:val="bg-BG"/>
        </w:rPr>
        <w:t>. Допълване и разграничаване между ОПНОИР и ОПОС</w:t>
      </w:r>
      <w:bookmarkEnd w:id="59"/>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7398"/>
      </w:tblGrid>
      <w:tr w:rsidR="006F74A8" w:rsidRPr="00B45B4F" w:rsidTr="004708A9">
        <w:tc>
          <w:tcPr>
            <w:tcW w:w="1800" w:type="dxa"/>
            <w:shd w:val="clear" w:color="auto" w:fill="548DD4" w:themeFill="text2" w:themeFillTint="99"/>
          </w:tcPr>
          <w:p w:rsidR="006F74A8" w:rsidRPr="00B45B4F" w:rsidRDefault="006F74A8" w:rsidP="006F74A8">
            <w:pPr>
              <w:spacing w:after="0"/>
              <w:rPr>
                <w:rFonts w:ascii="Verdana" w:hAnsi="Verdana"/>
                <w:sz w:val="20"/>
                <w:szCs w:val="20"/>
                <w:lang w:val="bg-BG" w:eastAsia="cs-CZ"/>
              </w:rPr>
            </w:pPr>
            <w:r w:rsidRPr="00B45B4F">
              <w:rPr>
                <w:rFonts w:ascii="Verdana" w:hAnsi="Verdana"/>
                <w:color w:val="FFFFFF" w:themeColor="background1"/>
                <w:sz w:val="20"/>
                <w:szCs w:val="20"/>
                <w:lang w:val="bg-BG"/>
              </w:rPr>
              <w:t>Допълване / Разграничаване в текста на ОПНОИР</w:t>
            </w:r>
          </w:p>
        </w:tc>
        <w:tc>
          <w:tcPr>
            <w:tcW w:w="7398" w:type="dxa"/>
          </w:tcPr>
          <w:p w:rsidR="006F74A8" w:rsidRPr="00B45B4F" w:rsidRDefault="006F74A8" w:rsidP="002D4C3A">
            <w:pPr>
              <w:widowControl w:val="0"/>
              <w:autoSpaceDE w:val="0"/>
              <w:autoSpaceDN w:val="0"/>
              <w:adjustRightInd w:val="0"/>
              <w:spacing w:after="120"/>
              <w:jc w:val="both"/>
              <w:rPr>
                <w:rFonts w:ascii="Verdana" w:hAnsi="Verdana"/>
                <w:sz w:val="20"/>
                <w:szCs w:val="20"/>
                <w:lang w:val="bg-BG"/>
              </w:rPr>
            </w:pPr>
            <w:r w:rsidRPr="00B45B4F">
              <w:rPr>
                <w:rFonts w:ascii="Verdana" w:hAnsi="Verdana"/>
                <w:b/>
                <w:sz w:val="20"/>
                <w:szCs w:val="20"/>
                <w:lang w:val="bg-BG"/>
              </w:rPr>
              <w:t>Допълване</w:t>
            </w:r>
            <w:r w:rsidR="002D4C3A">
              <w:rPr>
                <w:rFonts w:ascii="Verdana" w:hAnsi="Verdana"/>
                <w:b/>
                <w:sz w:val="20"/>
                <w:szCs w:val="20"/>
                <w:lang w:val="bg-BG"/>
              </w:rPr>
              <w:t xml:space="preserve"> </w:t>
            </w:r>
            <w:r w:rsidR="004708A9" w:rsidRPr="00B45B4F">
              <w:rPr>
                <w:rFonts w:ascii="Verdana" w:hAnsi="Verdana"/>
                <w:sz w:val="20"/>
                <w:szCs w:val="20"/>
                <w:lang w:val="bg-BG"/>
              </w:rPr>
              <w:t xml:space="preserve">и </w:t>
            </w:r>
            <w:r w:rsidR="004708A9" w:rsidRPr="00B45B4F">
              <w:rPr>
                <w:rFonts w:ascii="Verdana" w:hAnsi="Verdana"/>
                <w:b/>
                <w:sz w:val="20"/>
                <w:szCs w:val="20"/>
                <w:lang w:val="bg-BG"/>
              </w:rPr>
              <w:t>р</w:t>
            </w:r>
            <w:r w:rsidRPr="00B45B4F">
              <w:rPr>
                <w:rFonts w:ascii="Verdana" w:hAnsi="Verdana"/>
                <w:b/>
                <w:sz w:val="20"/>
                <w:szCs w:val="20"/>
                <w:lang w:val="bg-BG"/>
              </w:rPr>
              <w:t>азгранич</w:t>
            </w:r>
            <w:r w:rsidR="002D4C3A">
              <w:rPr>
                <w:rFonts w:ascii="Verdana" w:hAnsi="Verdana"/>
                <w:b/>
                <w:sz w:val="20"/>
                <w:szCs w:val="20"/>
                <w:lang w:val="bg-BG"/>
              </w:rPr>
              <w:t>аване</w:t>
            </w:r>
            <w:r w:rsidRPr="00B45B4F">
              <w:rPr>
                <w:rFonts w:ascii="Verdana" w:hAnsi="Verdana"/>
                <w:sz w:val="20"/>
                <w:szCs w:val="20"/>
                <w:lang w:val="bg-BG"/>
              </w:rPr>
              <w:t xml:space="preserve"> – отразен</w:t>
            </w:r>
            <w:r w:rsidR="004708A9" w:rsidRPr="00B45B4F">
              <w:rPr>
                <w:rFonts w:ascii="Verdana" w:hAnsi="Verdana"/>
                <w:sz w:val="20"/>
                <w:szCs w:val="20"/>
                <w:lang w:val="bg-BG"/>
              </w:rPr>
              <w:t xml:space="preserve">и. </w:t>
            </w:r>
            <w:r w:rsidRPr="00B45B4F">
              <w:rPr>
                <w:rFonts w:ascii="Verdana" w:hAnsi="Verdana"/>
                <w:sz w:val="20"/>
                <w:szCs w:val="20"/>
                <w:lang w:val="bg-BG"/>
              </w:rPr>
              <w:t xml:space="preserve">В ОПНОИР е посочено, че </w:t>
            </w:r>
            <w:r w:rsidR="00732A64" w:rsidRPr="00B45B4F">
              <w:rPr>
                <w:rFonts w:ascii="Verdana" w:hAnsi="Verdana"/>
                <w:sz w:val="20"/>
                <w:szCs w:val="20"/>
                <w:lang w:val="bg-BG"/>
              </w:rPr>
              <w:t xml:space="preserve">между </w:t>
            </w:r>
            <w:r w:rsidRPr="00B45B4F">
              <w:rPr>
                <w:rFonts w:ascii="Verdana" w:hAnsi="Verdana"/>
                <w:sz w:val="20"/>
                <w:szCs w:val="20"/>
                <w:lang w:val="bg-BG"/>
              </w:rPr>
              <w:t>двете програми няма припокриване на тематични цели и дефинирането на демаркационни линии не е необходимо.</w:t>
            </w:r>
            <w:r w:rsidR="004C3422" w:rsidRPr="00B45B4F">
              <w:rPr>
                <w:rFonts w:ascii="Verdana" w:hAnsi="Verdana"/>
                <w:sz w:val="20"/>
                <w:szCs w:val="20"/>
                <w:lang w:val="bg-BG"/>
              </w:rPr>
              <w:t xml:space="preserve"> Отбелязано е и че </w:t>
            </w:r>
            <w:proofErr w:type="spellStart"/>
            <w:r w:rsidR="004C3422" w:rsidRPr="00B45B4F">
              <w:rPr>
                <w:rFonts w:ascii="Verdana" w:hAnsi="Verdana"/>
                <w:sz w:val="20"/>
                <w:szCs w:val="20"/>
                <w:lang w:val="bg-BG"/>
              </w:rPr>
              <w:t>допълняемост</w:t>
            </w:r>
            <w:proofErr w:type="spellEnd"/>
            <w:r w:rsidR="004C3422" w:rsidRPr="00B45B4F">
              <w:rPr>
                <w:rFonts w:ascii="Verdana" w:hAnsi="Verdana"/>
                <w:sz w:val="20"/>
                <w:szCs w:val="20"/>
                <w:lang w:val="bg-BG"/>
              </w:rPr>
              <w:t xml:space="preserve"> между програмите може да бъде постигната при реализацията на научни проекти по теми, свързани с приоритетите на ОПОС, както и при финансиране на научна инфраструктура, работеща в областта на околната среда.</w:t>
            </w:r>
          </w:p>
        </w:tc>
      </w:tr>
      <w:tr w:rsidR="006F74A8" w:rsidRPr="00B45B4F" w:rsidTr="004708A9">
        <w:tc>
          <w:tcPr>
            <w:tcW w:w="1800" w:type="dxa"/>
            <w:shd w:val="clear" w:color="auto" w:fill="548DD4" w:themeFill="text2" w:themeFillTint="99"/>
          </w:tcPr>
          <w:p w:rsidR="006F74A8" w:rsidRPr="00B45B4F" w:rsidRDefault="006F74A8" w:rsidP="006F74A8">
            <w:pPr>
              <w:spacing w:after="0"/>
              <w:rPr>
                <w:rFonts w:ascii="Verdana" w:hAnsi="Verdana"/>
                <w:color w:val="FFFFFF" w:themeColor="background1"/>
                <w:sz w:val="20"/>
                <w:szCs w:val="20"/>
                <w:lang w:val="bg-BG"/>
              </w:rPr>
            </w:pPr>
            <w:r w:rsidRPr="00B45B4F">
              <w:rPr>
                <w:rFonts w:ascii="Verdana" w:hAnsi="Verdana"/>
                <w:color w:val="FFFFFF" w:themeColor="background1"/>
                <w:sz w:val="20"/>
                <w:szCs w:val="20"/>
                <w:lang w:val="bg-BG"/>
              </w:rPr>
              <w:t>Коментар</w:t>
            </w:r>
          </w:p>
        </w:tc>
        <w:tc>
          <w:tcPr>
            <w:tcW w:w="7398" w:type="dxa"/>
          </w:tcPr>
          <w:p w:rsidR="006F74A8" w:rsidRPr="00B45B4F" w:rsidRDefault="004C3422" w:rsidP="006F74A8">
            <w:pPr>
              <w:spacing w:after="120"/>
              <w:jc w:val="both"/>
              <w:rPr>
                <w:rFonts w:ascii="Verdana" w:hAnsi="Verdana"/>
                <w:sz w:val="20"/>
                <w:szCs w:val="20"/>
                <w:lang w:val="bg-BG"/>
              </w:rPr>
            </w:pPr>
            <w:r w:rsidRPr="00B45B4F">
              <w:rPr>
                <w:rFonts w:ascii="Verdana" w:hAnsi="Verdana"/>
                <w:sz w:val="20"/>
                <w:szCs w:val="20"/>
                <w:lang w:val="bg-BG"/>
              </w:rPr>
              <w:t>Между двете програми няма пряка връзка</w:t>
            </w:r>
          </w:p>
        </w:tc>
      </w:tr>
      <w:tr w:rsidR="006F74A8" w:rsidRPr="00B45B4F" w:rsidTr="004708A9">
        <w:tc>
          <w:tcPr>
            <w:tcW w:w="1800" w:type="dxa"/>
            <w:shd w:val="clear" w:color="auto" w:fill="548DD4" w:themeFill="text2" w:themeFillTint="99"/>
          </w:tcPr>
          <w:p w:rsidR="006F74A8" w:rsidRPr="00B45B4F" w:rsidRDefault="006F74A8" w:rsidP="006F74A8">
            <w:pPr>
              <w:spacing w:after="0"/>
              <w:rPr>
                <w:rFonts w:ascii="Verdana" w:hAnsi="Verdana"/>
                <w:color w:val="FFFFFF" w:themeColor="background1"/>
                <w:sz w:val="20"/>
                <w:szCs w:val="20"/>
                <w:lang w:val="bg-BG"/>
              </w:rPr>
            </w:pPr>
            <w:r w:rsidRPr="00B45B4F">
              <w:rPr>
                <w:rFonts w:ascii="Verdana" w:hAnsi="Verdana"/>
                <w:color w:val="FFFFFF" w:themeColor="background1"/>
                <w:sz w:val="20"/>
                <w:szCs w:val="20"/>
                <w:lang w:val="bg-BG" w:eastAsia="cs-CZ"/>
              </w:rPr>
              <w:t>Препоръка</w:t>
            </w:r>
          </w:p>
        </w:tc>
        <w:tc>
          <w:tcPr>
            <w:tcW w:w="7398" w:type="dxa"/>
          </w:tcPr>
          <w:p w:rsidR="006F74A8" w:rsidRPr="00B45B4F" w:rsidRDefault="001877B4" w:rsidP="006F74A8">
            <w:pPr>
              <w:spacing w:after="120"/>
              <w:jc w:val="both"/>
              <w:rPr>
                <w:rFonts w:ascii="Verdana" w:hAnsi="Verdana"/>
                <w:sz w:val="20"/>
                <w:szCs w:val="20"/>
                <w:lang w:val="bg-BG" w:eastAsia="cs-CZ"/>
              </w:rPr>
            </w:pPr>
            <w:r w:rsidRPr="00B45B4F">
              <w:rPr>
                <w:rFonts w:ascii="Verdana" w:hAnsi="Verdana"/>
                <w:sz w:val="20"/>
                <w:szCs w:val="20"/>
                <w:lang w:val="bg-BG" w:eastAsia="cs-CZ"/>
              </w:rPr>
              <w:t>Няма</w:t>
            </w:r>
          </w:p>
        </w:tc>
      </w:tr>
    </w:tbl>
    <w:p w:rsidR="006F74A8" w:rsidRPr="00B45B4F" w:rsidRDefault="006F74A8" w:rsidP="00416243">
      <w:pPr>
        <w:ind w:left="360"/>
        <w:rPr>
          <w:rFonts w:ascii="Verdana" w:hAnsi="Verdana"/>
          <w:sz w:val="20"/>
          <w:szCs w:val="20"/>
          <w:lang w:val="bg-BG" w:eastAsia="cs-CZ"/>
        </w:rPr>
      </w:pPr>
    </w:p>
    <w:p w:rsidR="00DF1209" w:rsidRPr="00B45B4F" w:rsidRDefault="00DF1209" w:rsidP="00416243">
      <w:pPr>
        <w:keepNext/>
        <w:pBdr>
          <w:bottom w:val="single" w:sz="4" w:space="1" w:color="0070C0"/>
        </w:pBdr>
        <w:spacing w:before="360" w:after="120"/>
        <w:jc w:val="both"/>
        <w:rPr>
          <w:rFonts w:ascii="Verdana" w:hAnsi="Verdana"/>
          <w:color w:val="0070C0"/>
          <w:sz w:val="20"/>
          <w:szCs w:val="20"/>
          <w:lang w:val="bg-BG" w:eastAsia="cs-CZ"/>
        </w:rPr>
      </w:pPr>
      <w:r w:rsidRPr="00B45B4F">
        <w:rPr>
          <w:rFonts w:ascii="Verdana" w:hAnsi="Verdana"/>
          <w:color w:val="0070C0"/>
          <w:sz w:val="20"/>
          <w:szCs w:val="20"/>
          <w:lang w:val="bg-BG" w:eastAsia="cs-CZ"/>
        </w:rPr>
        <w:t>Оперативна програма „Транспорт</w:t>
      </w:r>
      <w:r w:rsidR="004C3422" w:rsidRPr="00B45B4F">
        <w:rPr>
          <w:rFonts w:ascii="Verdana" w:hAnsi="Verdana"/>
          <w:color w:val="0070C0"/>
          <w:sz w:val="20"/>
          <w:szCs w:val="20"/>
          <w:lang w:val="bg-BG" w:eastAsia="cs-CZ"/>
        </w:rPr>
        <w:t xml:space="preserve"> и транспортна инфраструктура</w:t>
      </w:r>
      <w:r w:rsidRPr="00B45B4F">
        <w:rPr>
          <w:rFonts w:ascii="Verdana" w:hAnsi="Verdana"/>
          <w:color w:val="0070C0"/>
          <w:sz w:val="20"/>
          <w:szCs w:val="20"/>
          <w:lang w:val="bg-BG" w:eastAsia="cs-CZ"/>
        </w:rPr>
        <w:t>” (ОПТ</w:t>
      </w:r>
      <w:r w:rsidR="004C3422" w:rsidRPr="00B45B4F">
        <w:rPr>
          <w:rFonts w:ascii="Verdana" w:hAnsi="Verdana"/>
          <w:color w:val="0070C0"/>
          <w:sz w:val="20"/>
          <w:szCs w:val="20"/>
          <w:lang w:val="bg-BG" w:eastAsia="cs-CZ"/>
        </w:rPr>
        <w:t>ТИ</w:t>
      </w:r>
      <w:r w:rsidRPr="00B45B4F">
        <w:rPr>
          <w:rFonts w:ascii="Verdana" w:hAnsi="Verdana"/>
          <w:color w:val="0070C0"/>
          <w:sz w:val="20"/>
          <w:szCs w:val="20"/>
          <w:lang w:val="bg-BG" w:eastAsia="cs-CZ"/>
        </w:rPr>
        <w:t xml:space="preserve">) </w:t>
      </w:r>
      <w:r w:rsidR="005106CE" w:rsidRPr="00B45B4F">
        <w:rPr>
          <w:rFonts w:ascii="Verdana" w:hAnsi="Verdana"/>
          <w:color w:val="0070C0"/>
          <w:sz w:val="20"/>
          <w:szCs w:val="20"/>
          <w:lang w:val="bg-BG" w:eastAsia="cs-CZ"/>
        </w:rPr>
        <w:t>2014–2020</w:t>
      </w:r>
      <w:r w:rsidRPr="00B45B4F">
        <w:rPr>
          <w:rFonts w:ascii="Verdana" w:hAnsi="Verdana"/>
          <w:color w:val="0070C0"/>
          <w:sz w:val="20"/>
          <w:szCs w:val="20"/>
          <w:lang w:val="bg-BG" w:eastAsia="cs-CZ"/>
        </w:rPr>
        <w:t xml:space="preserve"> г.</w:t>
      </w:r>
    </w:p>
    <w:p w:rsidR="006F74A8" w:rsidRPr="00B45B4F" w:rsidRDefault="006F74A8" w:rsidP="007716A5">
      <w:pPr>
        <w:pBdr>
          <w:top w:val="single" w:sz="4" w:space="1" w:color="auto"/>
          <w:bottom w:val="single" w:sz="4" w:space="1" w:color="auto"/>
        </w:pBdr>
        <w:shd w:val="clear" w:color="auto" w:fill="548DD4" w:themeFill="text2" w:themeFillTint="99"/>
        <w:tabs>
          <w:tab w:val="left" w:pos="540"/>
        </w:tabs>
        <w:spacing w:before="120" w:after="120" w:line="240" w:lineRule="auto"/>
        <w:ind w:left="540" w:hanging="540"/>
        <w:contextualSpacing/>
        <w:jc w:val="both"/>
        <w:rPr>
          <w:rFonts w:ascii="Verdana" w:hAnsi="Verdana"/>
          <w:color w:val="FFFFFF" w:themeColor="background1"/>
          <w:sz w:val="20"/>
          <w:szCs w:val="20"/>
          <w:lang w:val="bg-BG" w:eastAsia="bg-BG"/>
        </w:rPr>
      </w:pPr>
      <w:r w:rsidRPr="00B45B4F">
        <w:rPr>
          <w:rFonts w:ascii="Verdana" w:hAnsi="Verdana"/>
          <w:color w:val="FFFFFF" w:themeColor="background1"/>
          <w:sz w:val="20"/>
          <w:szCs w:val="20"/>
          <w:shd w:val="clear" w:color="auto" w:fill="548DD4" w:themeFill="text2" w:themeFillTint="99"/>
          <w:lang w:val="bg-BG" w:eastAsia="bg-BG"/>
        </w:rPr>
        <w:t>ПО 1: Развитие на железопътната инфраструктура по „основната” и „раз</w:t>
      </w:r>
      <w:r w:rsidR="007716A5" w:rsidRPr="00B45B4F">
        <w:rPr>
          <w:rFonts w:ascii="Verdana" w:hAnsi="Verdana"/>
          <w:color w:val="FFFFFF" w:themeColor="background1"/>
          <w:sz w:val="20"/>
          <w:szCs w:val="20"/>
          <w:shd w:val="clear" w:color="auto" w:fill="548DD4" w:themeFill="text2" w:themeFillTint="99"/>
          <w:lang w:val="bg-BG" w:eastAsia="bg-BG"/>
        </w:rPr>
        <w:t>ш</w:t>
      </w:r>
      <w:r w:rsidRPr="00B45B4F">
        <w:rPr>
          <w:rFonts w:ascii="Verdana" w:hAnsi="Verdana"/>
          <w:color w:val="FFFFFF" w:themeColor="background1"/>
          <w:sz w:val="20"/>
          <w:szCs w:val="20"/>
          <w:shd w:val="clear" w:color="auto" w:fill="548DD4" w:themeFill="text2" w:themeFillTint="99"/>
          <w:lang w:val="bg-BG" w:eastAsia="bg-BG"/>
        </w:rPr>
        <w:t xml:space="preserve">ирената” </w:t>
      </w:r>
      <w:proofErr w:type="spellStart"/>
      <w:r w:rsidRPr="00B45B4F">
        <w:rPr>
          <w:rFonts w:ascii="Verdana" w:hAnsi="Verdana"/>
          <w:color w:val="FFFFFF" w:themeColor="background1"/>
          <w:sz w:val="20"/>
          <w:szCs w:val="20"/>
          <w:shd w:val="clear" w:color="auto" w:fill="548DD4" w:themeFill="text2" w:themeFillTint="99"/>
          <w:lang w:val="bg-BG" w:eastAsia="bg-BG"/>
        </w:rPr>
        <w:t>Трансевропейска</w:t>
      </w:r>
      <w:proofErr w:type="spellEnd"/>
      <w:r w:rsidRPr="00B45B4F">
        <w:rPr>
          <w:rFonts w:ascii="Verdana" w:hAnsi="Verdana"/>
          <w:color w:val="FFFFFF" w:themeColor="background1"/>
          <w:sz w:val="20"/>
          <w:szCs w:val="20"/>
          <w:shd w:val="clear" w:color="auto" w:fill="548DD4" w:themeFill="text2" w:themeFillTint="99"/>
          <w:lang w:val="bg-BG" w:eastAsia="bg-BG"/>
        </w:rPr>
        <w:t xml:space="preserve"> транспортна мрежа</w:t>
      </w:r>
    </w:p>
    <w:p w:rsidR="006F74A8" w:rsidRPr="00B45B4F" w:rsidRDefault="006F74A8" w:rsidP="006861B0">
      <w:pPr>
        <w:pStyle w:val="Default"/>
        <w:numPr>
          <w:ilvl w:val="0"/>
          <w:numId w:val="46"/>
        </w:numPr>
        <w:tabs>
          <w:tab w:val="left" w:pos="1080"/>
        </w:tabs>
        <w:spacing w:after="120" w:line="276" w:lineRule="auto"/>
        <w:ind w:left="990" w:hanging="450"/>
        <w:jc w:val="both"/>
        <w:rPr>
          <w:rFonts w:ascii="Verdana" w:hAnsi="Verdana"/>
          <w:sz w:val="20"/>
          <w:szCs w:val="20"/>
          <w:lang w:val="bg-BG"/>
        </w:rPr>
      </w:pPr>
      <w:r w:rsidRPr="00B45B4F">
        <w:rPr>
          <w:rFonts w:ascii="Verdana" w:hAnsi="Verdana"/>
          <w:sz w:val="20"/>
          <w:szCs w:val="20"/>
          <w:lang w:val="bg-BG"/>
        </w:rPr>
        <w:t xml:space="preserve">Предоставяне на подкрепа за </w:t>
      </w:r>
      <w:proofErr w:type="spellStart"/>
      <w:r w:rsidRPr="00B45B4F">
        <w:rPr>
          <w:rFonts w:ascii="Verdana" w:hAnsi="Verdana"/>
          <w:sz w:val="20"/>
          <w:szCs w:val="20"/>
          <w:lang w:val="bg-BG"/>
        </w:rPr>
        <w:t>мултимодалното</w:t>
      </w:r>
      <w:proofErr w:type="spellEnd"/>
      <w:r w:rsidRPr="00B45B4F">
        <w:rPr>
          <w:rFonts w:ascii="Verdana" w:hAnsi="Verdana"/>
          <w:sz w:val="20"/>
          <w:szCs w:val="20"/>
          <w:lang w:val="bg-BG"/>
        </w:rPr>
        <w:t xml:space="preserve"> единно европейско транспортно пространство, посредством инвестиции в </w:t>
      </w:r>
      <w:proofErr w:type="spellStart"/>
      <w:r w:rsidRPr="00B45B4F">
        <w:rPr>
          <w:rFonts w:ascii="Verdana" w:hAnsi="Verdana"/>
          <w:sz w:val="20"/>
          <w:szCs w:val="20"/>
          <w:lang w:val="bg-BG"/>
        </w:rPr>
        <w:t>Трансевропейската</w:t>
      </w:r>
      <w:proofErr w:type="spellEnd"/>
      <w:r w:rsidRPr="00B45B4F">
        <w:rPr>
          <w:rFonts w:ascii="Verdana" w:hAnsi="Verdana"/>
          <w:sz w:val="20"/>
          <w:szCs w:val="20"/>
          <w:lang w:val="bg-BG"/>
        </w:rPr>
        <w:t xml:space="preserve"> транспортна мрежа; </w:t>
      </w:r>
    </w:p>
    <w:p w:rsidR="006F74A8" w:rsidRPr="00B45B4F" w:rsidRDefault="006F74A8" w:rsidP="006861B0">
      <w:pPr>
        <w:pStyle w:val="Default"/>
        <w:numPr>
          <w:ilvl w:val="0"/>
          <w:numId w:val="46"/>
        </w:numPr>
        <w:tabs>
          <w:tab w:val="left" w:pos="1080"/>
        </w:tabs>
        <w:spacing w:after="120" w:line="276" w:lineRule="auto"/>
        <w:ind w:left="990" w:hanging="450"/>
        <w:jc w:val="both"/>
        <w:rPr>
          <w:rFonts w:ascii="Verdana" w:hAnsi="Verdana"/>
          <w:sz w:val="20"/>
          <w:szCs w:val="20"/>
          <w:lang w:val="bg-BG"/>
        </w:rPr>
      </w:pPr>
      <w:r w:rsidRPr="00B45B4F">
        <w:rPr>
          <w:rFonts w:ascii="Verdana" w:hAnsi="Verdana"/>
          <w:iCs/>
          <w:sz w:val="20"/>
          <w:szCs w:val="20"/>
          <w:lang w:val="bg-BG"/>
        </w:rPr>
        <w:t>Изграждане и рехабилитация на всеобхватни, висококачествени и оперативно съвместими железопътни системи и насърчаване на мерки за намаляване на шума.</w:t>
      </w:r>
    </w:p>
    <w:p w:rsidR="006F74A8" w:rsidRPr="00B45B4F" w:rsidRDefault="006F74A8" w:rsidP="004C3422">
      <w:pPr>
        <w:pBdr>
          <w:top w:val="single" w:sz="4" w:space="1" w:color="auto"/>
          <w:bottom w:val="single" w:sz="4" w:space="1" w:color="auto"/>
        </w:pBdr>
        <w:shd w:val="clear" w:color="auto" w:fill="548DD4" w:themeFill="text2" w:themeFillTint="99"/>
        <w:tabs>
          <w:tab w:val="left" w:pos="540"/>
        </w:tabs>
        <w:spacing w:before="120" w:after="120" w:line="240" w:lineRule="auto"/>
        <w:ind w:left="540" w:hanging="540"/>
        <w:contextualSpacing/>
        <w:rPr>
          <w:rFonts w:ascii="Verdana" w:hAnsi="Verdana"/>
          <w:color w:val="FFFFFF" w:themeColor="background1"/>
          <w:sz w:val="20"/>
          <w:szCs w:val="20"/>
          <w:lang w:val="bg-BG" w:eastAsia="bg-BG"/>
        </w:rPr>
      </w:pPr>
      <w:r w:rsidRPr="00B45B4F">
        <w:rPr>
          <w:rFonts w:ascii="Verdana" w:hAnsi="Verdana"/>
          <w:color w:val="FFFFFF" w:themeColor="background1"/>
          <w:sz w:val="20"/>
          <w:szCs w:val="20"/>
          <w:lang w:val="bg-BG" w:eastAsia="bg-BG"/>
        </w:rPr>
        <w:lastRenderedPageBreak/>
        <w:t xml:space="preserve">ПО 2: Развитие на пътната инфраструктура по „основната” </w:t>
      </w:r>
      <w:proofErr w:type="spellStart"/>
      <w:r w:rsidRPr="00B45B4F">
        <w:rPr>
          <w:rFonts w:ascii="Verdana" w:hAnsi="Verdana"/>
          <w:color w:val="FFFFFF" w:themeColor="background1"/>
          <w:sz w:val="20"/>
          <w:szCs w:val="20"/>
          <w:lang w:val="bg-BG" w:eastAsia="bg-BG"/>
        </w:rPr>
        <w:t>Трансевропейска</w:t>
      </w:r>
      <w:proofErr w:type="spellEnd"/>
      <w:r w:rsidRPr="00B45B4F">
        <w:rPr>
          <w:rFonts w:ascii="Verdana" w:hAnsi="Verdana"/>
          <w:color w:val="FFFFFF" w:themeColor="background1"/>
          <w:sz w:val="20"/>
          <w:szCs w:val="20"/>
          <w:lang w:val="bg-BG" w:eastAsia="bg-BG"/>
        </w:rPr>
        <w:t xml:space="preserve"> транспортна мрежа</w:t>
      </w:r>
    </w:p>
    <w:p w:rsidR="006F74A8" w:rsidRPr="00B45B4F" w:rsidRDefault="006F74A8" w:rsidP="006861B0">
      <w:pPr>
        <w:pStyle w:val="Default"/>
        <w:numPr>
          <w:ilvl w:val="0"/>
          <w:numId w:val="47"/>
        </w:numPr>
        <w:spacing w:after="120" w:line="276" w:lineRule="auto"/>
        <w:ind w:left="1080" w:hanging="540"/>
        <w:jc w:val="both"/>
        <w:rPr>
          <w:rFonts w:ascii="Verdana" w:hAnsi="Verdana"/>
          <w:sz w:val="20"/>
          <w:szCs w:val="20"/>
          <w:lang w:val="bg-BG"/>
        </w:rPr>
      </w:pPr>
      <w:r w:rsidRPr="00B45B4F">
        <w:rPr>
          <w:rFonts w:ascii="Verdana" w:hAnsi="Verdana"/>
          <w:sz w:val="20"/>
          <w:szCs w:val="20"/>
          <w:lang w:val="bg-BG"/>
        </w:rPr>
        <w:t xml:space="preserve">Предоставяне на подкрепа за </w:t>
      </w:r>
      <w:proofErr w:type="spellStart"/>
      <w:r w:rsidRPr="00B45B4F">
        <w:rPr>
          <w:rFonts w:ascii="Verdana" w:hAnsi="Verdana"/>
          <w:sz w:val="20"/>
          <w:szCs w:val="20"/>
          <w:lang w:val="bg-BG"/>
        </w:rPr>
        <w:t>мултимодалното</w:t>
      </w:r>
      <w:proofErr w:type="spellEnd"/>
      <w:r w:rsidRPr="00B45B4F">
        <w:rPr>
          <w:rFonts w:ascii="Verdana" w:hAnsi="Verdana"/>
          <w:sz w:val="20"/>
          <w:szCs w:val="20"/>
          <w:lang w:val="bg-BG"/>
        </w:rPr>
        <w:t xml:space="preserve"> единно европейско транспортно пространство, посредством инвестиции в </w:t>
      </w:r>
      <w:proofErr w:type="spellStart"/>
      <w:r w:rsidRPr="00B45B4F">
        <w:rPr>
          <w:rFonts w:ascii="Verdana" w:hAnsi="Verdana"/>
          <w:sz w:val="20"/>
          <w:szCs w:val="20"/>
          <w:lang w:val="bg-BG"/>
        </w:rPr>
        <w:t>Трансевропейската</w:t>
      </w:r>
      <w:proofErr w:type="spellEnd"/>
      <w:r w:rsidRPr="00B45B4F">
        <w:rPr>
          <w:rFonts w:ascii="Verdana" w:hAnsi="Verdana"/>
          <w:sz w:val="20"/>
          <w:szCs w:val="20"/>
          <w:lang w:val="bg-BG"/>
        </w:rPr>
        <w:t xml:space="preserve"> транспортна мрежа;</w:t>
      </w:r>
    </w:p>
    <w:p w:rsidR="006F74A8" w:rsidRPr="00B45B4F" w:rsidRDefault="006F74A8" w:rsidP="006861B0">
      <w:pPr>
        <w:pStyle w:val="ListParagraph"/>
        <w:numPr>
          <w:ilvl w:val="0"/>
          <w:numId w:val="47"/>
        </w:numPr>
        <w:spacing w:after="120"/>
        <w:ind w:left="1080" w:hanging="540"/>
        <w:contextualSpacing/>
        <w:jc w:val="both"/>
        <w:rPr>
          <w:rFonts w:ascii="Verdana" w:hAnsi="Verdana"/>
          <w:sz w:val="20"/>
          <w:szCs w:val="20"/>
          <w:lang w:val="bg-BG" w:eastAsia="bg-BG"/>
        </w:rPr>
      </w:pPr>
      <w:r w:rsidRPr="00B45B4F">
        <w:rPr>
          <w:rFonts w:ascii="Verdana" w:hAnsi="Verdana"/>
          <w:sz w:val="20"/>
          <w:szCs w:val="20"/>
          <w:lang w:val="bg-BG" w:eastAsia="bg-BG"/>
        </w:rPr>
        <w:t xml:space="preserve">Развитие на железопътната инфраструктура по „основната” </w:t>
      </w:r>
      <w:proofErr w:type="spellStart"/>
      <w:r w:rsidRPr="00B45B4F">
        <w:rPr>
          <w:rFonts w:ascii="Verdana" w:hAnsi="Verdana"/>
          <w:sz w:val="20"/>
          <w:szCs w:val="20"/>
          <w:lang w:val="bg-BG" w:eastAsia="bg-BG"/>
        </w:rPr>
        <w:t>Трансевропейска</w:t>
      </w:r>
      <w:proofErr w:type="spellEnd"/>
      <w:r w:rsidRPr="00B45B4F">
        <w:rPr>
          <w:rFonts w:ascii="Verdana" w:hAnsi="Verdana"/>
          <w:sz w:val="20"/>
          <w:szCs w:val="20"/>
          <w:lang w:val="bg-BG" w:eastAsia="bg-BG"/>
        </w:rPr>
        <w:t xml:space="preserve"> транспортна мрежа.</w:t>
      </w:r>
    </w:p>
    <w:p w:rsidR="006F74A8" w:rsidRPr="00B45B4F" w:rsidRDefault="006F74A8" w:rsidP="004C3422">
      <w:pPr>
        <w:pBdr>
          <w:top w:val="single" w:sz="4" w:space="1" w:color="auto"/>
          <w:bottom w:val="single" w:sz="4" w:space="1" w:color="auto"/>
        </w:pBdr>
        <w:shd w:val="clear" w:color="auto" w:fill="548DD4" w:themeFill="text2" w:themeFillTint="99"/>
        <w:tabs>
          <w:tab w:val="left" w:pos="540"/>
        </w:tabs>
        <w:spacing w:before="120" w:after="120" w:line="240" w:lineRule="auto"/>
        <w:ind w:left="540" w:hanging="540"/>
        <w:contextualSpacing/>
        <w:rPr>
          <w:rFonts w:ascii="Verdana" w:hAnsi="Verdana"/>
          <w:color w:val="FFFFFF" w:themeColor="background1"/>
          <w:sz w:val="20"/>
          <w:szCs w:val="20"/>
          <w:lang w:val="bg-BG" w:eastAsia="bg-BG"/>
        </w:rPr>
      </w:pPr>
      <w:r w:rsidRPr="00B45B4F">
        <w:rPr>
          <w:rFonts w:ascii="Verdana" w:hAnsi="Verdana"/>
          <w:color w:val="FFFFFF" w:themeColor="background1"/>
          <w:sz w:val="20"/>
          <w:szCs w:val="20"/>
          <w:lang w:val="bg-BG" w:eastAsia="bg-BG"/>
        </w:rPr>
        <w:t xml:space="preserve">ПО 3: </w:t>
      </w:r>
      <w:r w:rsidRPr="00B45B4F">
        <w:rPr>
          <w:rFonts w:ascii="Verdana" w:hAnsi="Verdana"/>
          <w:bCs/>
          <w:color w:val="FFFFFF" w:themeColor="background1"/>
          <w:sz w:val="20"/>
          <w:szCs w:val="20"/>
          <w:lang w:val="bg-BG"/>
        </w:rPr>
        <w:t xml:space="preserve">Подобряване на </w:t>
      </w:r>
      <w:proofErr w:type="spellStart"/>
      <w:r w:rsidRPr="00B45B4F">
        <w:rPr>
          <w:rFonts w:ascii="Verdana" w:hAnsi="Verdana"/>
          <w:bCs/>
          <w:color w:val="FFFFFF" w:themeColor="background1"/>
          <w:sz w:val="20"/>
          <w:szCs w:val="20"/>
          <w:lang w:val="bg-BG"/>
        </w:rPr>
        <w:t>интермодалността</w:t>
      </w:r>
      <w:proofErr w:type="spellEnd"/>
      <w:r w:rsidRPr="00B45B4F">
        <w:rPr>
          <w:rFonts w:ascii="Verdana" w:hAnsi="Verdana"/>
          <w:bCs/>
          <w:color w:val="FFFFFF" w:themeColor="background1"/>
          <w:sz w:val="20"/>
          <w:szCs w:val="20"/>
          <w:lang w:val="bg-BG"/>
        </w:rPr>
        <w:t xml:space="preserve"> при превоза на пътници и товари и развитие на устойчив градски транспорт </w:t>
      </w:r>
    </w:p>
    <w:p w:rsidR="006F74A8" w:rsidRPr="00B45B4F" w:rsidRDefault="006F74A8" w:rsidP="00AF6F4A">
      <w:pPr>
        <w:pStyle w:val="Default"/>
        <w:spacing w:after="120" w:line="276" w:lineRule="auto"/>
        <w:ind w:left="1080" w:hanging="540"/>
        <w:jc w:val="both"/>
        <w:rPr>
          <w:rFonts w:ascii="Verdana" w:hAnsi="Verdana"/>
          <w:sz w:val="20"/>
          <w:szCs w:val="20"/>
          <w:lang w:val="bg-BG"/>
        </w:rPr>
      </w:pPr>
      <w:r w:rsidRPr="00B45B4F">
        <w:rPr>
          <w:rFonts w:ascii="Verdana" w:hAnsi="Verdana"/>
          <w:sz w:val="20"/>
          <w:szCs w:val="20"/>
          <w:lang w:val="bg-BG" w:eastAsia="bg-BG"/>
        </w:rPr>
        <w:t>3.1.</w:t>
      </w:r>
      <w:r w:rsidRPr="00B45B4F">
        <w:rPr>
          <w:rFonts w:ascii="Verdana" w:hAnsi="Verdana"/>
          <w:sz w:val="20"/>
          <w:szCs w:val="20"/>
          <w:lang w:val="bg-BG" w:eastAsia="bg-BG"/>
        </w:rPr>
        <w:tab/>
      </w:r>
      <w:r w:rsidRPr="00B45B4F">
        <w:rPr>
          <w:rFonts w:ascii="Verdana" w:hAnsi="Verdana"/>
          <w:sz w:val="20"/>
          <w:szCs w:val="20"/>
          <w:lang w:val="bg-BG"/>
        </w:rPr>
        <w:t xml:space="preserve">Предоставяне на подкрепа за </w:t>
      </w:r>
      <w:proofErr w:type="spellStart"/>
      <w:r w:rsidRPr="00B45B4F">
        <w:rPr>
          <w:rFonts w:ascii="Verdana" w:hAnsi="Verdana"/>
          <w:sz w:val="20"/>
          <w:szCs w:val="20"/>
          <w:lang w:val="bg-BG"/>
        </w:rPr>
        <w:t>мултимодалното</w:t>
      </w:r>
      <w:proofErr w:type="spellEnd"/>
      <w:r w:rsidRPr="00B45B4F">
        <w:rPr>
          <w:rFonts w:ascii="Verdana" w:hAnsi="Verdana"/>
          <w:sz w:val="20"/>
          <w:szCs w:val="20"/>
          <w:lang w:val="bg-BG"/>
        </w:rPr>
        <w:t xml:space="preserve"> единно европейско транспортно пространство, посредством инвестиции в </w:t>
      </w:r>
      <w:proofErr w:type="spellStart"/>
      <w:r w:rsidRPr="00B45B4F">
        <w:rPr>
          <w:rFonts w:ascii="Verdana" w:hAnsi="Verdana"/>
          <w:sz w:val="20"/>
          <w:szCs w:val="20"/>
          <w:lang w:val="bg-BG"/>
        </w:rPr>
        <w:t>Трансевропейската</w:t>
      </w:r>
      <w:proofErr w:type="spellEnd"/>
      <w:r w:rsidRPr="00B45B4F">
        <w:rPr>
          <w:rFonts w:ascii="Verdana" w:hAnsi="Verdana"/>
          <w:sz w:val="20"/>
          <w:szCs w:val="20"/>
          <w:lang w:val="bg-BG"/>
        </w:rPr>
        <w:t xml:space="preserve"> транспортна мрежа;</w:t>
      </w:r>
    </w:p>
    <w:p w:rsidR="006F74A8" w:rsidRPr="00B45B4F" w:rsidRDefault="006F74A8" w:rsidP="00AF6F4A">
      <w:pPr>
        <w:pStyle w:val="Default"/>
        <w:spacing w:after="120" w:line="276" w:lineRule="auto"/>
        <w:ind w:left="1080" w:hanging="540"/>
        <w:jc w:val="both"/>
        <w:rPr>
          <w:rFonts w:ascii="Verdana" w:hAnsi="Verdana"/>
          <w:sz w:val="20"/>
          <w:szCs w:val="20"/>
          <w:lang w:val="bg-BG"/>
        </w:rPr>
      </w:pPr>
      <w:r w:rsidRPr="00B45B4F">
        <w:rPr>
          <w:rFonts w:ascii="Verdana" w:hAnsi="Verdana"/>
          <w:sz w:val="20"/>
          <w:szCs w:val="20"/>
          <w:lang w:val="bg-BG" w:eastAsia="bg-BG"/>
        </w:rPr>
        <w:t>3.2.</w:t>
      </w:r>
      <w:r w:rsidRPr="00B45B4F">
        <w:rPr>
          <w:rFonts w:ascii="Verdana" w:hAnsi="Verdana"/>
          <w:sz w:val="20"/>
          <w:szCs w:val="20"/>
          <w:lang w:val="bg-BG" w:eastAsia="bg-BG"/>
        </w:rPr>
        <w:tab/>
      </w:r>
      <w:r w:rsidRPr="00B45B4F">
        <w:rPr>
          <w:rFonts w:ascii="Verdana" w:hAnsi="Verdana"/>
          <w:sz w:val="20"/>
          <w:szCs w:val="20"/>
          <w:lang w:val="bg-BG"/>
        </w:rPr>
        <w:t xml:space="preserve">Насърчаване на стратегии за </w:t>
      </w:r>
      <w:proofErr w:type="spellStart"/>
      <w:r w:rsidRPr="00B45B4F">
        <w:rPr>
          <w:rFonts w:ascii="Verdana" w:hAnsi="Verdana"/>
          <w:sz w:val="20"/>
          <w:szCs w:val="20"/>
          <w:lang w:val="bg-BG"/>
        </w:rPr>
        <w:t>нисковъглеродно</w:t>
      </w:r>
      <w:proofErr w:type="spellEnd"/>
      <w:r w:rsidRPr="00B45B4F">
        <w:rPr>
          <w:rFonts w:ascii="Verdana" w:hAnsi="Verdana"/>
          <w:sz w:val="20"/>
          <w:szCs w:val="20"/>
          <w:lang w:val="bg-BG"/>
        </w:rPr>
        <w:t xml:space="preserve"> развитие във всички видове територии, по-специално градските райони, включително насърчаването на устойчива </w:t>
      </w:r>
      <w:proofErr w:type="spellStart"/>
      <w:r w:rsidRPr="00B45B4F">
        <w:rPr>
          <w:rFonts w:ascii="Verdana" w:hAnsi="Verdana"/>
          <w:sz w:val="20"/>
          <w:szCs w:val="20"/>
          <w:lang w:val="bg-BG"/>
        </w:rPr>
        <w:t>мултимодална</w:t>
      </w:r>
      <w:proofErr w:type="spellEnd"/>
      <w:r w:rsidRPr="00B45B4F">
        <w:rPr>
          <w:rFonts w:ascii="Verdana" w:hAnsi="Verdana"/>
          <w:sz w:val="20"/>
          <w:szCs w:val="20"/>
          <w:lang w:val="bg-BG"/>
        </w:rPr>
        <w:t xml:space="preserve"> градска мобилност и мерки за приспособяване и смекчаване, свързани с изменението на климата.</w:t>
      </w:r>
    </w:p>
    <w:p w:rsidR="006F74A8" w:rsidRPr="00B45B4F" w:rsidRDefault="006F74A8" w:rsidP="004C3422">
      <w:pPr>
        <w:pBdr>
          <w:top w:val="single" w:sz="4" w:space="1" w:color="auto"/>
          <w:bottom w:val="single" w:sz="4" w:space="1" w:color="auto"/>
        </w:pBdr>
        <w:shd w:val="clear" w:color="auto" w:fill="548DD4" w:themeFill="text2" w:themeFillTint="99"/>
        <w:tabs>
          <w:tab w:val="left" w:pos="540"/>
        </w:tabs>
        <w:spacing w:before="120" w:after="120" w:line="240" w:lineRule="auto"/>
        <w:ind w:left="540" w:hanging="540"/>
        <w:contextualSpacing/>
        <w:rPr>
          <w:rFonts w:ascii="Verdana" w:hAnsi="Verdana"/>
          <w:color w:val="FFFFFF" w:themeColor="background1"/>
          <w:sz w:val="20"/>
          <w:szCs w:val="20"/>
          <w:lang w:val="bg-BG" w:eastAsia="bg-BG"/>
        </w:rPr>
      </w:pPr>
      <w:r w:rsidRPr="00B45B4F">
        <w:rPr>
          <w:rFonts w:ascii="Verdana" w:hAnsi="Verdana"/>
          <w:color w:val="FFFFFF" w:themeColor="background1"/>
          <w:sz w:val="20"/>
          <w:szCs w:val="20"/>
          <w:shd w:val="clear" w:color="auto" w:fill="548DD4" w:themeFill="text2" w:themeFillTint="99"/>
          <w:lang w:val="bg-BG" w:eastAsia="bg-BG"/>
        </w:rPr>
        <w:t>ПО 4: Иновации в управлението и услугите - внедряване на модернизирана инфраструктура</w:t>
      </w:r>
      <w:r w:rsidRPr="00B45B4F">
        <w:rPr>
          <w:rFonts w:ascii="Verdana" w:hAnsi="Verdana"/>
          <w:color w:val="FFFFFF" w:themeColor="background1"/>
          <w:sz w:val="20"/>
          <w:szCs w:val="20"/>
          <w:lang w:val="bg-BG" w:eastAsia="bg-BG"/>
        </w:rPr>
        <w:t xml:space="preserve"> за управление на трафика, подобряване на безопасността и сигурността на транспорта</w:t>
      </w:r>
    </w:p>
    <w:p w:rsidR="006F74A8" w:rsidRPr="00B45B4F" w:rsidRDefault="006F74A8" w:rsidP="00AF6F4A">
      <w:pPr>
        <w:spacing w:after="120"/>
        <w:ind w:left="1080" w:hanging="540"/>
        <w:contextualSpacing/>
        <w:jc w:val="both"/>
        <w:rPr>
          <w:rFonts w:ascii="Verdana" w:hAnsi="Verdana"/>
          <w:sz w:val="20"/>
          <w:szCs w:val="20"/>
          <w:lang w:val="bg-BG"/>
        </w:rPr>
      </w:pPr>
      <w:r w:rsidRPr="00B45B4F">
        <w:rPr>
          <w:rFonts w:ascii="Verdana" w:hAnsi="Verdana"/>
          <w:sz w:val="20"/>
          <w:szCs w:val="20"/>
          <w:lang w:val="bg-BG" w:eastAsia="bg-BG"/>
        </w:rPr>
        <w:t>4.1.</w:t>
      </w:r>
      <w:r w:rsidRPr="00B45B4F">
        <w:rPr>
          <w:rFonts w:ascii="Verdana" w:hAnsi="Verdana"/>
          <w:sz w:val="20"/>
          <w:szCs w:val="20"/>
          <w:lang w:val="bg-BG" w:eastAsia="bg-BG"/>
        </w:rPr>
        <w:tab/>
      </w:r>
      <w:r w:rsidRPr="00B45B4F">
        <w:rPr>
          <w:rFonts w:ascii="Verdana" w:hAnsi="Verdana"/>
          <w:sz w:val="20"/>
          <w:szCs w:val="20"/>
          <w:lang w:val="bg-BG"/>
        </w:rPr>
        <w:t xml:space="preserve">Разработване и подобряване на екологосъобразни, включително с ниски емисии на шум, и ниско-въглеродни транспортни системи, включително вътрешни водни пътища и морски транспорт, пристанища, </w:t>
      </w:r>
      <w:proofErr w:type="spellStart"/>
      <w:r w:rsidRPr="00B45B4F">
        <w:rPr>
          <w:rFonts w:ascii="Verdana" w:hAnsi="Verdana"/>
          <w:sz w:val="20"/>
          <w:szCs w:val="20"/>
          <w:lang w:val="bg-BG"/>
        </w:rPr>
        <w:t>мултимодални</w:t>
      </w:r>
      <w:proofErr w:type="spellEnd"/>
      <w:r w:rsidRPr="00B45B4F">
        <w:rPr>
          <w:rFonts w:ascii="Verdana" w:hAnsi="Verdana"/>
          <w:sz w:val="20"/>
          <w:szCs w:val="20"/>
          <w:lang w:val="bg-BG"/>
        </w:rPr>
        <w:t xml:space="preserve"> връзки и летищна инфраструктура с цел насърчаване на устойчиво развита регионална и местна достъпност;</w:t>
      </w:r>
    </w:p>
    <w:p w:rsidR="006F74A8" w:rsidRPr="00B45B4F" w:rsidRDefault="006F74A8" w:rsidP="00AF6F4A">
      <w:pPr>
        <w:pStyle w:val="Default"/>
        <w:spacing w:after="120" w:line="276" w:lineRule="auto"/>
        <w:ind w:left="1080" w:hanging="540"/>
        <w:jc w:val="both"/>
        <w:rPr>
          <w:rFonts w:ascii="Verdana" w:hAnsi="Verdana"/>
          <w:sz w:val="20"/>
          <w:szCs w:val="20"/>
          <w:lang w:val="bg-BG"/>
        </w:rPr>
      </w:pPr>
      <w:r w:rsidRPr="00B45B4F">
        <w:rPr>
          <w:rFonts w:ascii="Verdana" w:hAnsi="Verdana"/>
          <w:sz w:val="20"/>
          <w:szCs w:val="20"/>
          <w:lang w:val="bg-BG" w:eastAsia="bg-BG"/>
        </w:rPr>
        <w:t>4.2.</w:t>
      </w:r>
      <w:r w:rsidRPr="00B45B4F">
        <w:rPr>
          <w:rFonts w:ascii="Verdana" w:hAnsi="Verdana"/>
          <w:sz w:val="20"/>
          <w:szCs w:val="20"/>
          <w:lang w:val="bg-BG" w:eastAsia="bg-BG"/>
        </w:rPr>
        <w:tab/>
      </w:r>
      <w:r w:rsidRPr="00B45B4F">
        <w:rPr>
          <w:rFonts w:ascii="Verdana" w:hAnsi="Verdana"/>
          <w:sz w:val="20"/>
          <w:szCs w:val="20"/>
          <w:lang w:val="bg-BG"/>
        </w:rPr>
        <w:t>Изграждане и рехабилитация на всеобхватни, висококачествени и оперативно съвместими железопътни системи и насърчаване на мерки за намаляване на шума”.</w:t>
      </w:r>
    </w:p>
    <w:p w:rsidR="006F74A8" w:rsidRPr="00B45B4F" w:rsidRDefault="006F74A8" w:rsidP="001877B4">
      <w:pPr>
        <w:keepNext/>
        <w:spacing w:before="240" w:after="120"/>
        <w:rPr>
          <w:rFonts w:ascii="Verdana" w:hAnsi="Verdana"/>
          <w:b/>
          <w:color w:val="548DD4" w:themeColor="text2" w:themeTint="99"/>
          <w:sz w:val="20"/>
          <w:szCs w:val="20"/>
          <w:lang w:val="bg-BG"/>
        </w:rPr>
      </w:pPr>
      <w:bookmarkStart w:id="60" w:name="_Toc395612563"/>
      <w:r w:rsidRPr="00B45B4F">
        <w:rPr>
          <w:rFonts w:ascii="Verdana" w:hAnsi="Verdana"/>
          <w:b/>
          <w:color w:val="548DD4" w:themeColor="text2" w:themeTint="99"/>
          <w:sz w:val="20"/>
          <w:szCs w:val="20"/>
          <w:lang w:val="bg-BG"/>
        </w:rPr>
        <w:t xml:space="preserve">Таблица </w:t>
      </w:r>
      <w:r w:rsidR="00BF1936" w:rsidRPr="00B45B4F">
        <w:rPr>
          <w:rFonts w:ascii="Verdana" w:hAnsi="Verdana"/>
          <w:b/>
          <w:color w:val="548DD4" w:themeColor="text2" w:themeTint="99"/>
          <w:sz w:val="20"/>
          <w:szCs w:val="20"/>
          <w:lang w:val="bg-BG"/>
        </w:rPr>
        <w:fldChar w:fldCharType="begin"/>
      </w:r>
      <w:r w:rsidRPr="00B45B4F">
        <w:rPr>
          <w:rFonts w:ascii="Verdana" w:hAnsi="Verdana"/>
          <w:b/>
          <w:color w:val="548DD4" w:themeColor="text2" w:themeTint="99"/>
          <w:sz w:val="20"/>
          <w:szCs w:val="20"/>
          <w:lang w:val="bg-BG"/>
        </w:rPr>
        <w:instrText xml:space="preserve"> SEQ Таблица \* ARABIC </w:instrText>
      </w:r>
      <w:r w:rsidR="00BF1936" w:rsidRPr="00B45B4F">
        <w:rPr>
          <w:rFonts w:ascii="Verdana" w:hAnsi="Verdana"/>
          <w:b/>
          <w:color w:val="548DD4" w:themeColor="text2" w:themeTint="99"/>
          <w:sz w:val="20"/>
          <w:szCs w:val="20"/>
          <w:lang w:val="bg-BG"/>
        </w:rPr>
        <w:fldChar w:fldCharType="separate"/>
      </w:r>
      <w:r w:rsidR="001361E0">
        <w:rPr>
          <w:rFonts w:ascii="Verdana" w:hAnsi="Verdana"/>
          <w:b/>
          <w:noProof/>
          <w:color w:val="548DD4" w:themeColor="text2" w:themeTint="99"/>
          <w:sz w:val="20"/>
          <w:szCs w:val="20"/>
          <w:lang w:val="bg-BG"/>
        </w:rPr>
        <w:t>7</w:t>
      </w:r>
      <w:r w:rsidR="00BF1936" w:rsidRPr="00B45B4F">
        <w:rPr>
          <w:rFonts w:ascii="Verdana" w:hAnsi="Verdana"/>
          <w:b/>
          <w:color w:val="548DD4" w:themeColor="text2" w:themeTint="99"/>
          <w:sz w:val="20"/>
          <w:szCs w:val="20"/>
          <w:lang w:val="bg-BG"/>
        </w:rPr>
        <w:fldChar w:fldCharType="end"/>
      </w:r>
      <w:r w:rsidR="00ED77E9">
        <w:rPr>
          <w:rFonts w:ascii="Verdana" w:hAnsi="Verdana"/>
          <w:b/>
          <w:color w:val="548DD4" w:themeColor="text2" w:themeTint="99"/>
          <w:sz w:val="20"/>
          <w:szCs w:val="20"/>
          <w:lang w:val="bg-BG"/>
        </w:rPr>
        <w:t>.</w:t>
      </w:r>
      <w:r w:rsidRPr="00B45B4F">
        <w:rPr>
          <w:rFonts w:ascii="Verdana" w:hAnsi="Verdana"/>
          <w:b/>
          <w:color w:val="548DD4" w:themeColor="text2" w:themeTint="99"/>
          <w:sz w:val="20"/>
          <w:szCs w:val="20"/>
          <w:lang w:val="bg-BG"/>
        </w:rPr>
        <w:t xml:space="preserve"> Връзки между приоритетите на ОПНОИР и ОПТТИ</w:t>
      </w:r>
      <w:bookmarkEnd w:id="60"/>
    </w:p>
    <w:tbl>
      <w:tblPr>
        <w:tblW w:w="10160" w:type="dxa"/>
        <w:jc w:val="center"/>
        <w:tblLook w:val="04A0" w:firstRow="1" w:lastRow="0" w:firstColumn="1" w:lastColumn="0" w:noHBand="0" w:noVBand="1"/>
      </w:tblPr>
      <w:tblGrid>
        <w:gridCol w:w="2822"/>
        <w:gridCol w:w="1311"/>
        <w:gridCol w:w="878"/>
        <w:gridCol w:w="866"/>
        <w:gridCol w:w="843"/>
        <w:gridCol w:w="730"/>
        <w:gridCol w:w="786"/>
        <w:gridCol w:w="900"/>
        <w:gridCol w:w="1024"/>
      </w:tblGrid>
      <w:tr w:rsidR="006F74A8" w:rsidRPr="00B45B4F" w:rsidTr="001877B4">
        <w:trPr>
          <w:trHeight w:val="510"/>
          <w:jc w:val="center"/>
        </w:trPr>
        <w:tc>
          <w:tcPr>
            <w:tcW w:w="2822" w:type="dxa"/>
            <w:tcBorders>
              <w:top w:val="single" w:sz="4" w:space="0" w:color="auto"/>
              <w:left w:val="single" w:sz="4" w:space="0" w:color="auto"/>
              <w:bottom w:val="single" w:sz="4" w:space="0" w:color="auto"/>
              <w:right w:val="single" w:sz="4" w:space="0" w:color="auto"/>
            </w:tcBorders>
            <w:shd w:val="clear" w:color="000000" w:fill="548DD4"/>
            <w:vAlign w:val="center"/>
            <w:hideMark/>
          </w:tcPr>
          <w:p w:rsidR="006F74A8" w:rsidRPr="00B45B4F" w:rsidRDefault="006F74A8" w:rsidP="006F74A8">
            <w:pPr>
              <w:spacing w:after="0" w:line="240" w:lineRule="auto"/>
              <w:jc w:val="center"/>
              <w:rPr>
                <w:rFonts w:ascii="Verdana" w:eastAsia="Times New Roman" w:hAnsi="Verdana"/>
                <w:bCs/>
                <w:color w:val="FFFFFF"/>
                <w:sz w:val="18"/>
                <w:szCs w:val="18"/>
                <w:lang w:val="bg-BG"/>
              </w:rPr>
            </w:pPr>
            <w:r w:rsidRPr="00B45B4F">
              <w:rPr>
                <w:rFonts w:ascii="Verdana" w:eastAsia="Times New Roman" w:hAnsi="Verdana"/>
                <w:bCs/>
                <w:color w:val="FFFFFF"/>
                <w:sz w:val="18"/>
                <w:szCs w:val="18"/>
                <w:lang w:val="bg-BG"/>
              </w:rPr>
              <w:t>Оперативна програма / приоритетна ос</w:t>
            </w:r>
          </w:p>
        </w:tc>
        <w:tc>
          <w:tcPr>
            <w:tcW w:w="1311" w:type="dxa"/>
            <w:tcBorders>
              <w:top w:val="single" w:sz="4" w:space="0" w:color="auto"/>
              <w:left w:val="nil"/>
              <w:bottom w:val="single" w:sz="4" w:space="0" w:color="auto"/>
              <w:right w:val="single" w:sz="4" w:space="0" w:color="auto"/>
            </w:tcBorders>
            <w:shd w:val="clear" w:color="000000" w:fill="548DD4"/>
            <w:vAlign w:val="center"/>
            <w:hideMark/>
          </w:tcPr>
          <w:p w:rsidR="006F74A8" w:rsidRPr="00B45B4F" w:rsidRDefault="006F74A8" w:rsidP="006F74A8">
            <w:pPr>
              <w:spacing w:after="0" w:line="240" w:lineRule="auto"/>
              <w:jc w:val="center"/>
              <w:rPr>
                <w:rFonts w:ascii="Verdana" w:eastAsia="Times New Roman" w:hAnsi="Verdana"/>
                <w:bCs/>
                <w:color w:val="FFFFFF"/>
                <w:sz w:val="18"/>
                <w:szCs w:val="18"/>
                <w:lang w:val="bg-BG"/>
              </w:rPr>
            </w:pPr>
            <w:r w:rsidRPr="00B45B4F">
              <w:rPr>
                <w:rFonts w:ascii="Verdana" w:eastAsia="Times New Roman" w:hAnsi="Verdana"/>
                <w:bCs/>
                <w:color w:val="FFFFFF"/>
                <w:sz w:val="18"/>
                <w:szCs w:val="18"/>
                <w:lang w:val="bg-BG"/>
              </w:rPr>
              <w:t>ОПНОИР</w:t>
            </w:r>
          </w:p>
        </w:tc>
        <w:tc>
          <w:tcPr>
            <w:tcW w:w="1744" w:type="dxa"/>
            <w:gridSpan w:val="2"/>
            <w:tcBorders>
              <w:top w:val="single" w:sz="4" w:space="0" w:color="auto"/>
              <w:left w:val="nil"/>
              <w:bottom w:val="single" w:sz="4" w:space="0" w:color="auto"/>
              <w:right w:val="single" w:sz="4" w:space="0" w:color="auto"/>
            </w:tcBorders>
            <w:shd w:val="clear" w:color="000000" w:fill="548DD4"/>
            <w:vAlign w:val="center"/>
            <w:hideMark/>
          </w:tcPr>
          <w:p w:rsidR="006F74A8" w:rsidRPr="00B45B4F" w:rsidRDefault="006F74A8" w:rsidP="006F74A8">
            <w:pPr>
              <w:spacing w:after="0" w:line="240" w:lineRule="auto"/>
              <w:jc w:val="center"/>
              <w:rPr>
                <w:rFonts w:ascii="Verdana" w:eastAsia="Times New Roman" w:hAnsi="Verdana"/>
                <w:color w:val="FFFFFF"/>
                <w:sz w:val="18"/>
                <w:szCs w:val="18"/>
                <w:lang w:val="bg-BG"/>
              </w:rPr>
            </w:pPr>
            <w:r w:rsidRPr="00B45B4F">
              <w:rPr>
                <w:rFonts w:ascii="Verdana" w:eastAsia="Times New Roman" w:hAnsi="Verdana"/>
                <w:color w:val="FFFFFF"/>
                <w:sz w:val="18"/>
                <w:szCs w:val="18"/>
                <w:lang w:val="bg-BG"/>
              </w:rPr>
              <w:t>ПО 1: Научни изследвания и технологично развитие</w:t>
            </w:r>
          </w:p>
        </w:tc>
        <w:tc>
          <w:tcPr>
            <w:tcW w:w="2359" w:type="dxa"/>
            <w:gridSpan w:val="3"/>
            <w:tcBorders>
              <w:top w:val="single" w:sz="4" w:space="0" w:color="auto"/>
              <w:left w:val="nil"/>
              <w:bottom w:val="single" w:sz="4" w:space="0" w:color="auto"/>
              <w:right w:val="single" w:sz="4" w:space="0" w:color="auto"/>
            </w:tcBorders>
            <w:shd w:val="clear" w:color="000000" w:fill="548DD4"/>
            <w:vAlign w:val="center"/>
            <w:hideMark/>
          </w:tcPr>
          <w:p w:rsidR="006F74A8" w:rsidRPr="00B45B4F" w:rsidRDefault="006F74A8" w:rsidP="006F74A8">
            <w:pPr>
              <w:spacing w:after="0" w:line="240" w:lineRule="auto"/>
              <w:jc w:val="center"/>
              <w:rPr>
                <w:rFonts w:ascii="Verdana" w:eastAsia="Times New Roman" w:hAnsi="Verdana"/>
                <w:color w:val="FFFFFF"/>
                <w:sz w:val="18"/>
                <w:szCs w:val="18"/>
                <w:lang w:val="bg-BG"/>
              </w:rPr>
            </w:pPr>
            <w:r w:rsidRPr="00B45B4F">
              <w:rPr>
                <w:rFonts w:ascii="Verdana" w:eastAsia="Times New Roman" w:hAnsi="Verdana"/>
                <w:color w:val="FFFFFF"/>
                <w:sz w:val="18"/>
                <w:szCs w:val="18"/>
                <w:lang w:val="bg-BG"/>
              </w:rPr>
              <w:t>ПО 2: Образование и учене през целия живот</w:t>
            </w:r>
          </w:p>
        </w:tc>
        <w:tc>
          <w:tcPr>
            <w:tcW w:w="1924" w:type="dxa"/>
            <w:gridSpan w:val="2"/>
            <w:tcBorders>
              <w:top w:val="single" w:sz="4" w:space="0" w:color="auto"/>
              <w:left w:val="nil"/>
              <w:bottom w:val="single" w:sz="4" w:space="0" w:color="auto"/>
              <w:right w:val="single" w:sz="4" w:space="0" w:color="auto"/>
            </w:tcBorders>
            <w:shd w:val="clear" w:color="000000" w:fill="548DD4"/>
            <w:vAlign w:val="center"/>
            <w:hideMark/>
          </w:tcPr>
          <w:p w:rsidR="006F74A8" w:rsidRPr="00B45B4F" w:rsidRDefault="006F74A8" w:rsidP="006F74A8">
            <w:pPr>
              <w:spacing w:after="0" w:line="240" w:lineRule="auto"/>
              <w:ind w:left="-65"/>
              <w:jc w:val="center"/>
              <w:rPr>
                <w:rFonts w:ascii="Verdana" w:eastAsia="Times New Roman" w:hAnsi="Verdana"/>
                <w:color w:val="FFFFFF"/>
                <w:sz w:val="18"/>
                <w:szCs w:val="18"/>
                <w:lang w:val="bg-BG"/>
              </w:rPr>
            </w:pPr>
            <w:r w:rsidRPr="00B45B4F">
              <w:rPr>
                <w:rFonts w:ascii="Verdana" w:eastAsia="Times New Roman" w:hAnsi="Verdana"/>
                <w:color w:val="FFFFFF"/>
                <w:sz w:val="18"/>
                <w:szCs w:val="18"/>
                <w:lang w:val="bg-BG"/>
              </w:rPr>
              <w:t>ПО 3: Образователна среда за активно соц. приобщаване</w:t>
            </w:r>
          </w:p>
        </w:tc>
      </w:tr>
      <w:tr w:rsidR="006F74A8" w:rsidRPr="00B45B4F" w:rsidTr="00AF6F4A">
        <w:trPr>
          <w:trHeight w:val="300"/>
          <w:jc w:val="center"/>
        </w:trPr>
        <w:tc>
          <w:tcPr>
            <w:tcW w:w="2822" w:type="dxa"/>
            <w:tcBorders>
              <w:top w:val="nil"/>
              <w:left w:val="single" w:sz="4" w:space="0" w:color="auto"/>
              <w:bottom w:val="single" w:sz="4" w:space="0" w:color="auto"/>
              <w:right w:val="single" w:sz="4" w:space="0" w:color="auto"/>
            </w:tcBorders>
            <w:shd w:val="clear" w:color="auto" w:fill="548DD4" w:themeFill="text2" w:themeFillTint="99"/>
            <w:vAlign w:val="center"/>
            <w:hideMark/>
          </w:tcPr>
          <w:p w:rsidR="006F74A8" w:rsidRPr="00B45B4F" w:rsidRDefault="006F74A8" w:rsidP="001877B4">
            <w:pPr>
              <w:spacing w:after="0" w:line="240" w:lineRule="auto"/>
              <w:rPr>
                <w:rFonts w:ascii="Verdana" w:eastAsia="Times New Roman" w:hAnsi="Verdana"/>
                <w:bCs/>
                <w:color w:val="FFFFFF"/>
                <w:sz w:val="18"/>
                <w:szCs w:val="18"/>
                <w:lang w:val="bg-BG"/>
              </w:rPr>
            </w:pPr>
            <w:r w:rsidRPr="00B45B4F">
              <w:rPr>
                <w:rFonts w:ascii="Verdana" w:eastAsia="Times New Roman" w:hAnsi="Verdana"/>
                <w:bCs/>
                <w:color w:val="FFFFFF"/>
                <w:sz w:val="18"/>
                <w:szCs w:val="18"/>
                <w:lang w:val="bg-BG"/>
              </w:rPr>
              <w:t>ОПТТИ</w:t>
            </w:r>
          </w:p>
        </w:tc>
        <w:tc>
          <w:tcPr>
            <w:tcW w:w="1311" w:type="dxa"/>
            <w:tcBorders>
              <w:top w:val="nil"/>
              <w:left w:val="nil"/>
              <w:bottom w:val="single" w:sz="4" w:space="0" w:color="auto"/>
              <w:right w:val="single" w:sz="4" w:space="0" w:color="auto"/>
            </w:tcBorders>
            <w:shd w:val="clear" w:color="000000" w:fill="C6D9F1"/>
            <w:vAlign w:val="bottom"/>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Приоритет</w:t>
            </w:r>
          </w:p>
        </w:tc>
        <w:tc>
          <w:tcPr>
            <w:tcW w:w="878" w:type="dxa"/>
            <w:tcBorders>
              <w:top w:val="nil"/>
              <w:left w:val="nil"/>
              <w:bottom w:val="single" w:sz="4" w:space="0" w:color="auto"/>
              <w:right w:val="single" w:sz="4" w:space="0" w:color="auto"/>
            </w:tcBorders>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1.1</w:t>
            </w:r>
          </w:p>
        </w:tc>
        <w:tc>
          <w:tcPr>
            <w:tcW w:w="866" w:type="dxa"/>
            <w:tcBorders>
              <w:top w:val="nil"/>
              <w:left w:val="nil"/>
              <w:bottom w:val="single" w:sz="4" w:space="0" w:color="auto"/>
              <w:right w:val="single" w:sz="4" w:space="0" w:color="auto"/>
            </w:tcBorders>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1.2</w:t>
            </w:r>
          </w:p>
        </w:tc>
        <w:tc>
          <w:tcPr>
            <w:tcW w:w="843" w:type="dxa"/>
            <w:tcBorders>
              <w:top w:val="nil"/>
              <w:left w:val="nil"/>
              <w:bottom w:val="single" w:sz="4" w:space="0" w:color="auto"/>
              <w:right w:val="single" w:sz="4" w:space="0" w:color="auto"/>
            </w:tcBorders>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2.1</w:t>
            </w:r>
          </w:p>
        </w:tc>
        <w:tc>
          <w:tcPr>
            <w:tcW w:w="730" w:type="dxa"/>
            <w:tcBorders>
              <w:top w:val="nil"/>
              <w:left w:val="nil"/>
              <w:bottom w:val="single" w:sz="4" w:space="0" w:color="auto"/>
              <w:right w:val="single" w:sz="4" w:space="0" w:color="auto"/>
            </w:tcBorders>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2.2</w:t>
            </w:r>
          </w:p>
        </w:tc>
        <w:tc>
          <w:tcPr>
            <w:tcW w:w="786" w:type="dxa"/>
            <w:tcBorders>
              <w:top w:val="nil"/>
              <w:left w:val="nil"/>
              <w:bottom w:val="single" w:sz="4" w:space="0" w:color="auto"/>
              <w:right w:val="single" w:sz="4" w:space="0" w:color="auto"/>
            </w:tcBorders>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2.3</w:t>
            </w:r>
          </w:p>
        </w:tc>
        <w:tc>
          <w:tcPr>
            <w:tcW w:w="900" w:type="dxa"/>
            <w:tcBorders>
              <w:top w:val="nil"/>
              <w:left w:val="nil"/>
              <w:bottom w:val="single" w:sz="4" w:space="0" w:color="auto"/>
              <w:right w:val="single" w:sz="4" w:space="0" w:color="auto"/>
            </w:tcBorders>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3.1</w:t>
            </w:r>
          </w:p>
        </w:tc>
        <w:tc>
          <w:tcPr>
            <w:tcW w:w="1024" w:type="dxa"/>
            <w:tcBorders>
              <w:top w:val="nil"/>
              <w:left w:val="nil"/>
              <w:bottom w:val="single" w:sz="4" w:space="0" w:color="auto"/>
              <w:right w:val="single" w:sz="4" w:space="0" w:color="auto"/>
            </w:tcBorders>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3.2</w:t>
            </w:r>
          </w:p>
        </w:tc>
      </w:tr>
      <w:tr w:rsidR="006F74A8" w:rsidRPr="00B45B4F" w:rsidTr="00AF6F4A">
        <w:trPr>
          <w:trHeight w:val="330"/>
          <w:jc w:val="center"/>
        </w:trPr>
        <w:tc>
          <w:tcPr>
            <w:tcW w:w="2822" w:type="dxa"/>
            <w:vMerge w:val="restart"/>
            <w:tcBorders>
              <w:top w:val="nil"/>
              <w:left w:val="single" w:sz="4" w:space="0" w:color="auto"/>
              <w:bottom w:val="single" w:sz="4" w:space="0" w:color="auto"/>
              <w:right w:val="single" w:sz="4" w:space="0" w:color="auto"/>
            </w:tcBorders>
            <w:shd w:val="clear" w:color="auto" w:fill="548DD4" w:themeFill="text2" w:themeFillTint="99"/>
            <w:vAlign w:val="bottom"/>
            <w:hideMark/>
          </w:tcPr>
          <w:p w:rsidR="006F74A8" w:rsidRPr="00B45B4F" w:rsidRDefault="006F74A8" w:rsidP="001877B4">
            <w:pPr>
              <w:spacing w:after="0" w:line="240" w:lineRule="auto"/>
              <w:rPr>
                <w:rFonts w:ascii="Verdana" w:eastAsia="Times New Roman" w:hAnsi="Verdana"/>
                <w:bCs/>
                <w:color w:val="FFFFFF"/>
                <w:sz w:val="18"/>
                <w:szCs w:val="18"/>
                <w:lang w:val="bg-BG"/>
              </w:rPr>
            </w:pPr>
            <w:r w:rsidRPr="00B45B4F">
              <w:rPr>
                <w:rFonts w:ascii="Verdana" w:eastAsia="Times New Roman" w:hAnsi="Verdana"/>
                <w:bCs/>
                <w:color w:val="FFFFFF"/>
                <w:sz w:val="18"/>
                <w:szCs w:val="18"/>
                <w:lang w:val="bg-BG"/>
              </w:rPr>
              <w:t>ПО 1:</w:t>
            </w:r>
            <w:r w:rsidRPr="00B45B4F">
              <w:rPr>
                <w:rFonts w:ascii="Verdana" w:eastAsia="Times New Roman" w:hAnsi="Verdana"/>
                <w:color w:val="FFFFFF"/>
                <w:sz w:val="18"/>
                <w:szCs w:val="18"/>
                <w:lang w:val="bg-BG"/>
              </w:rPr>
              <w:t xml:space="preserve"> Развитие на </w:t>
            </w:r>
            <w:proofErr w:type="spellStart"/>
            <w:r w:rsidRPr="00B45B4F">
              <w:rPr>
                <w:rFonts w:ascii="Verdana" w:eastAsia="Times New Roman" w:hAnsi="Verdana"/>
                <w:color w:val="FFFFFF"/>
                <w:sz w:val="18"/>
                <w:szCs w:val="18"/>
                <w:lang w:val="bg-BG"/>
              </w:rPr>
              <w:t>ж.п</w:t>
            </w:r>
            <w:proofErr w:type="spellEnd"/>
            <w:r w:rsidRPr="00B45B4F">
              <w:rPr>
                <w:rFonts w:ascii="Verdana" w:eastAsia="Times New Roman" w:hAnsi="Verdana"/>
                <w:color w:val="FFFFFF"/>
                <w:sz w:val="18"/>
                <w:szCs w:val="18"/>
                <w:lang w:val="bg-BG"/>
              </w:rPr>
              <w:t>. инфраструктура по „основната” и „</w:t>
            </w:r>
            <w:proofErr w:type="spellStart"/>
            <w:r w:rsidRPr="00B45B4F">
              <w:rPr>
                <w:rFonts w:ascii="Verdana" w:eastAsia="Times New Roman" w:hAnsi="Verdana"/>
                <w:color w:val="FFFFFF"/>
                <w:sz w:val="18"/>
                <w:szCs w:val="18"/>
                <w:lang w:val="bg-BG"/>
              </w:rPr>
              <w:t>разирената</w:t>
            </w:r>
            <w:proofErr w:type="spellEnd"/>
            <w:r w:rsidRPr="00B45B4F">
              <w:rPr>
                <w:rFonts w:ascii="Verdana" w:eastAsia="Times New Roman" w:hAnsi="Verdana"/>
                <w:color w:val="FFFFFF"/>
                <w:sz w:val="18"/>
                <w:szCs w:val="18"/>
                <w:lang w:val="bg-BG"/>
              </w:rPr>
              <w:t xml:space="preserve">” </w:t>
            </w:r>
            <w:proofErr w:type="spellStart"/>
            <w:r w:rsidRPr="00B45B4F">
              <w:rPr>
                <w:rFonts w:ascii="Verdana" w:eastAsia="Times New Roman" w:hAnsi="Verdana"/>
                <w:color w:val="FFFFFF"/>
                <w:sz w:val="18"/>
                <w:szCs w:val="18"/>
                <w:lang w:val="bg-BG"/>
              </w:rPr>
              <w:t>Трансевропейска</w:t>
            </w:r>
            <w:proofErr w:type="spellEnd"/>
            <w:r w:rsidRPr="00B45B4F">
              <w:rPr>
                <w:rFonts w:ascii="Verdana" w:eastAsia="Times New Roman" w:hAnsi="Verdana"/>
                <w:color w:val="FFFFFF"/>
                <w:sz w:val="18"/>
                <w:szCs w:val="18"/>
                <w:lang w:val="bg-BG"/>
              </w:rPr>
              <w:t xml:space="preserve"> транспортна мрежа</w:t>
            </w:r>
          </w:p>
        </w:tc>
        <w:tc>
          <w:tcPr>
            <w:tcW w:w="1311" w:type="dxa"/>
            <w:tcBorders>
              <w:top w:val="nil"/>
              <w:left w:val="nil"/>
              <w:bottom w:val="single" w:sz="4" w:space="0" w:color="auto"/>
              <w:right w:val="single" w:sz="4" w:space="0" w:color="auto"/>
            </w:tcBorders>
            <w:shd w:val="clear" w:color="000000" w:fill="C6D9F1"/>
            <w:vAlign w:val="bottom"/>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1.1</w:t>
            </w:r>
          </w:p>
        </w:tc>
        <w:tc>
          <w:tcPr>
            <w:tcW w:w="878"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66"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43"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73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786"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90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1024"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p>
        </w:tc>
      </w:tr>
      <w:tr w:rsidR="006F74A8" w:rsidRPr="00B45B4F" w:rsidTr="00AF6F4A">
        <w:trPr>
          <w:trHeight w:val="330"/>
          <w:jc w:val="center"/>
        </w:trPr>
        <w:tc>
          <w:tcPr>
            <w:tcW w:w="2822" w:type="dxa"/>
            <w:vMerge/>
            <w:tcBorders>
              <w:top w:val="nil"/>
              <w:left w:val="single" w:sz="4" w:space="0" w:color="auto"/>
              <w:bottom w:val="single" w:sz="4" w:space="0" w:color="auto"/>
              <w:right w:val="single" w:sz="4" w:space="0" w:color="auto"/>
            </w:tcBorders>
            <w:shd w:val="clear" w:color="auto" w:fill="548DD4" w:themeFill="text2" w:themeFillTint="99"/>
            <w:vAlign w:val="center"/>
            <w:hideMark/>
          </w:tcPr>
          <w:p w:rsidR="006F74A8" w:rsidRPr="00B45B4F" w:rsidRDefault="006F74A8" w:rsidP="001877B4">
            <w:pPr>
              <w:spacing w:after="0" w:line="240" w:lineRule="auto"/>
              <w:rPr>
                <w:rFonts w:ascii="Verdana" w:eastAsia="Times New Roman" w:hAnsi="Verdana"/>
                <w:bCs/>
                <w:color w:val="FFFFFF"/>
                <w:sz w:val="18"/>
                <w:szCs w:val="18"/>
                <w:lang w:val="bg-BG"/>
              </w:rPr>
            </w:pPr>
          </w:p>
        </w:tc>
        <w:tc>
          <w:tcPr>
            <w:tcW w:w="1311" w:type="dxa"/>
            <w:tcBorders>
              <w:top w:val="nil"/>
              <w:left w:val="nil"/>
              <w:bottom w:val="single" w:sz="4" w:space="0" w:color="auto"/>
              <w:right w:val="single" w:sz="4" w:space="0" w:color="auto"/>
            </w:tcBorders>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1.2</w:t>
            </w:r>
          </w:p>
        </w:tc>
        <w:tc>
          <w:tcPr>
            <w:tcW w:w="878"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66"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43"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73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786"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90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1024"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p>
        </w:tc>
      </w:tr>
      <w:tr w:rsidR="006F74A8" w:rsidRPr="00B45B4F" w:rsidTr="00AF6F4A">
        <w:trPr>
          <w:trHeight w:val="330"/>
          <w:jc w:val="center"/>
        </w:trPr>
        <w:tc>
          <w:tcPr>
            <w:tcW w:w="2822" w:type="dxa"/>
            <w:vMerge/>
            <w:tcBorders>
              <w:top w:val="nil"/>
              <w:left w:val="single" w:sz="4" w:space="0" w:color="auto"/>
              <w:bottom w:val="single" w:sz="4" w:space="0" w:color="auto"/>
              <w:right w:val="single" w:sz="4" w:space="0" w:color="auto"/>
            </w:tcBorders>
            <w:shd w:val="clear" w:color="auto" w:fill="548DD4" w:themeFill="text2" w:themeFillTint="99"/>
            <w:vAlign w:val="center"/>
            <w:hideMark/>
          </w:tcPr>
          <w:p w:rsidR="006F74A8" w:rsidRPr="00B45B4F" w:rsidRDefault="006F74A8" w:rsidP="001877B4">
            <w:pPr>
              <w:spacing w:after="0" w:line="240" w:lineRule="auto"/>
              <w:rPr>
                <w:rFonts w:ascii="Verdana" w:eastAsia="Times New Roman" w:hAnsi="Verdana"/>
                <w:bCs/>
                <w:color w:val="FFFFFF"/>
                <w:sz w:val="18"/>
                <w:szCs w:val="18"/>
                <w:lang w:val="bg-BG"/>
              </w:rPr>
            </w:pPr>
          </w:p>
        </w:tc>
        <w:tc>
          <w:tcPr>
            <w:tcW w:w="1311" w:type="dxa"/>
            <w:tcBorders>
              <w:top w:val="nil"/>
              <w:left w:val="nil"/>
              <w:bottom w:val="single" w:sz="4" w:space="0" w:color="auto"/>
              <w:right w:val="single" w:sz="4" w:space="0" w:color="auto"/>
            </w:tcBorders>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1.3</w:t>
            </w:r>
          </w:p>
        </w:tc>
        <w:tc>
          <w:tcPr>
            <w:tcW w:w="878"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66"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43"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73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786"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90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1024"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r>
      <w:tr w:rsidR="006F74A8" w:rsidRPr="00B45B4F" w:rsidTr="00AF6F4A">
        <w:trPr>
          <w:trHeight w:val="330"/>
          <w:jc w:val="center"/>
        </w:trPr>
        <w:tc>
          <w:tcPr>
            <w:tcW w:w="2822" w:type="dxa"/>
            <w:vMerge w:val="restart"/>
            <w:tcBorders>
              <w:top w:val="nil"/>
              <w:left w:val="single" w:sz="4" w:space="0" w:color="auto"/>
              <w:bottom w:val="single" w:sz="4" w:space="0" w:color="auto"/>
              <w:right w:val="single" w:sz="4" w:space="0" w:color="auto"/>
            </w:tcBorders>
            <w:shd w:val="clear" w:color="auto" w:fill="548DD4" w:themeFill="text2" w:themeFillTint="99"/>
            <w:vAlign w:val="bottom"/>
            <w:hideMark/>
          </w:tcPr>
          <w:p w:rsidR="006F74A8" w:rsidRPr="00B45B4F" w:rsidRDefault="006F74A8" w:rsidP="001877B4">
            <w:pPr>
              <w:spacing w:after="0" w:line="240" w:lineRule="auto"/>
              <w:rPr>
                <w:rFonts w:ascii="Verdana" w:eastAsia="Times New Roman" w:hAnsi="Verdana"/>
                <w:bCs/>
                <w:color w:val="FFFFFF"/>
                <w:sz w:val="18"/>
                <w:szCs w:val="18"/>
                <w:lang w:val="bg-BG"/>
              </w:rPr>
            </w:pPr>
            <w:r w:rsidRPr="00B45B4F">
              <w:rPr>
                <w:rFonts w:ascii="Verdana" w:eastAsia="Times New Roman" w:hAnsi="Verdana"/>
                <w:bCs/>
                <w:color w:val="FFFFFF"/>
                <w:sz w:val="18"/>
                <w:szCs w:val="18"/>
                <w:lang w:val="bg-BG"/>
              </w:rPr>
              <w:t>ПО 2:</w:t>
            </w:r>
            <w:r w:rsidRPr="00B45B4F">
              <w:rPr>
                <w:rFonts w:ascii="Verdana" w:eastAsia="Times New Roman" w:hAnsi="Verdana"/>
                <w:color w:val="FFFFFF"/>
                <w:sz w:val="18"/>
                <w:szCs w:val="18"/>
                <w:lang w:val="bg-BG"/>
              </w:rPr>
              <w:t xml:space="preserve"> Развитие на пътната инфраструктура по „основната” </w:t>
            </w:r>
            <w:proofErr w:type="spellStart"/>
            <w:r w:rsidRPr="00B45B4F">
              <w:rPr>
                <w:rFonts w:ascii="Verdana" w:eastAsia="Times New Roman" w:hAnsi="Verdana"/>
                <w:color w:val="FFFFFF"/>
                <w:sz w:val="18"/>
                <w:szCs w:val="18"/>
                <w:lang w:val="bg-BG"/>
              </w:rPr>
              <w:t>Трансевропейска</w:t>
            </w:r>
            <w:proofErr w:type="spellEnd"/>
            <w:r w:rsidRPr="00B45B4F">
              <w:rPr>
                <w:rFonts w:ascii="Verdana" w:eastAsia="Times New Roman" w:hAnsi="Verdana"/>
                <w:color w:val="FFFFFF"/>
                <w:sz w:val="18"/>
                <w:szCs w:val="18"/>
                <w:lang w:val="bg-BG"/>
              </w:rPr>
              <w:t xml:space="preserve"> транспортна мрежа</w:t>
            </w:r>
          </w:p>
        </w:tc>
        <w:tc>
          <w:tcPr>
            <w:tcW w:w="1311" w:type="dxa"/>
            <w:tcBorders>
              <w:top w:val="nil"/>
              <w:left w:val="nil"/>
              <w:bottom w:val="single" w:sz="4" w:space="0" w:color="auto"/>
              <w:right w:val="single" w:sz="4" w:space="0" w:color="auto"/>
            </w:tcBorders>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2.1</w:t>
            </w:r>
          </w:p>
        </w:tc>
        <w:tc>
          <w:tcPr>
            <w:tcW w:w="878"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66"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43"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73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786"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90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1024"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r>
      <w:tr w:rsidR="006F74A8" w:rsidRPr="00B45B4F" w:rsidTr="00AF6F4A">
        <w:trPr>
          <w:trHeight w:val="330"/>
          <w:jc w:val="center"/>
        </w:trPr>
        <w:tc>
          <w:tcPr>
            <w:tcW w:w="2822" w:type="dxa"/>
            <w:vMerge/>
            <w:tcBorders>
              <w:top w:val="nil"/>
              <w:left w:val="single" w:sz="4" w:space="0" w:color="auto"/>
              <w:bottom w:val="single" w:sz="4" w:space="0" w:color="auto"/>
              <w:right w:val="single" w:sz="4" w:space="0" w:color="auto"/>
            </w:tcBorders>
            <w:shd w:val="clear" w:color="auto" w:fill="548DD4" w:themeFill="text2" w:themeFillTint="99"/>
            <w:vAlign w:val="center"/>
            <w:hideMark/>
          </w:tcPr>
          <w:p w:rsidR="006F74A8" w:rsidRPr="00B45B4F" w:rsidRDefault="006F74A8" w:rsidP="001877B4">
            <w:pPr>
              <w:spacing w:after="0" w:line="240" w:lineRule="auto"/>
              <w:rPr>
                <w:rFonts w:ascii="Verdana" w:eastAsia="Times New Roman" w:hAnsi="Verdana"/>
                <w:bCs/>
                <w:color w:val="FFFFFF"/>
                <w:sz w:val="18"/>
                <w:szCs w:val="18"/>
                <w:lang w:val="bg-BG"/>
              </w:rPr>
            </w:pPr>
          </w:p>
        </w:tc>
        <w:tc>
          <w:tcPr>
            <w:tcW w:w="1311" w:type="dxa"/>
            <w:tcBorders>
              <w:top w:val="nil"/>
              <w:left w:val="nil"/>
              <w:bottom w:val="single" w:sz="4" w:space="0" w:color="auto"/>
              <w:right w:val="single" w:sz="4" w:space="0" w:color="auto"/>
            </w:tcBorders>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2.2</w:t>
            </w:r>
          </w:p>
        </w:tc>
        <w:tc>
          <w:tcPr>
            <w:tcW w:w="878"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66"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43"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73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786"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90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1024"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r>
      <w:tr w:rsidR="006F74A8" w:rsidRPr="00B45B4F" w:rsidTr="00AF6F4A">
        <w:trPr>
          <w:trHeight w:val="330"/>
          <w:jc w:val="center"/>
        </w:trPr>
        <w:tc>
          <w:tcPr>
            <w:tcW w:w="2822" w:type="dxa"/>
            <w:vMerge/>
            <w:tcBorders>
              <w:top w:val="nil"/>
              <w:left w:val="single" w:sz="4" w:space="0" w:color="auto"/>
              <w:bottom w:val="single" w:sz="4" w:space="0" w:color="auto"/>
              <w:right w:val="single" w:sz="4" w:space="0" w:color="auto"/>
            </w:tcBorders>
            <w:shd w:val="clear" w:color="auto" w:fill="548DD4" w:themeFill="text2" w:themeFillTint="99"/>
            <w:vAlign w:val="center"/>
            <w:hideMark/>
          </w:tcPr>
          <w:p w:rsidR="006F74A8" w:rsidRPr="00B45B4F" w:rsidRDefault="006F74A8" w:rsidP="001877B4">
            <w:pPr>
              <w:spacing w:after="0" w:line="240" w:lineRule="auto"/>
              <w:rPr>
                <w:rFonts w:ascii="Verdana" w:eastAsia="Times New Roman" w:hAnsi="Verdana"/>
                <w:bCs/>
                <w:color w:val="FFFFFF"/>
                <w:sz w:val="18"/>
                <w:szCs w:val="18"/>
                <w:lang w:val="bg-BG"/>
              </w:rPr>
            </w:pPr>
          </w:p>
        </w:tc>
        <w:tc>
          <w:tcPr>
            <w:tcW w:w="1311" w:type="dxa"/>
            <w:tcBorders>
              <w:top w:val="nil"/>
              <w:left w:val="nil"/>
              <w:bottom w:val="single" w:sz="4" w:space="0" w:color="auto"/>
              <w:right w:val="single" w:sz="4" w:space="0" w:color="auto"/>
            </w:tcBorders>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2.3</w:t>
            </w:r>
          </w:p>
        </w:tc>
        <w:tc>
          <w:tcPr>
            <w:tcW w:w="878"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66"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43"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73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786"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90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1024"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r>
      <w:tr w:rsidR="006F74A8" w:rsidRPr="00B45B4F" w:rsidTr="00AF6F4A">
        <w:trPr>
          <w:trHeight w:val="782"/>
          <w:jc w:val="center"/>
        </w:trPr>
        <w:tc>
          <w:tcPr>
            <w:tcW w:w="2822" w:type="dxa"/>
            <w:vMerge w:val="restart"/>
            <w:tcBorders>
              <w:top w:val="nil"/>
              <w:left w:val="single" w:sz="4" w:space="0" w:color="auto"/>
              <w:bottom w:val="single" w:sz="4" w:space="0" w:color="auto"/>
              <w:right w:val="single" w:sz="4" w:space="0" w:color="auto"/>
            </w:tcBorders>
            <w:shd w:val="clear" w:color="auto" w:fill="548DD4" w:themeFill="text2" w:themeFillTint="99"/>
            <w:vAlign w:val="bottom"/>
            <w:hideMark/>
          </w:tcPr>
          <w:p w:rsidR="006F74A8" w:rsidRPr="00B45B4F" w:rsidRDefault="006F74A8" w:rsidP="001877B4">
            <w:pPr>
              <w:spacing w:after="0" w:line="240" w:lineRule="auto"/>
              <w:rPr>
                <w:rFonts w:ascii="Verdana" w:eastAsia="Times New Roman" w:hAnsi="Verdana"/>
                <w:bCs/>
                <w:color w:val="FFFFFF"/>
                <w:sz w:val="18"/>
                <w:szCs w:val="18"/>
                <w:lang w:val="bg-BG"/>
              </w:rPr>
            </w:pPr>
            <w:r w:rsidRPr="00B45B4F">
              <w:rPr>
                <w:rFonts w:ascii="Verdana" w:eastAsia="Times New Roman" w:hAnsi="Verdana"/>
                <w:bCs/>
                <w:color w:val="FFFFFF"/>
                <w:sz w:val="18"/>
                <w:szCs w:val="18"/>
                <w:lang w:val="bg-BG"/>
              </w:rPr>
              <w:lastRenderedPageBreak/>
              <w:t>ПО 3:</w:t>
            </w:r>
            <w:r w:rsidRPr="00B45B4F">
              <w:rPr>
                <w:rFonts w:ascii="Verdana" w:eastAsia="Times New Roman" w:hAnsi="Verdana"/>
                <w:color w:val="FFFFFF"/>
                <w:sz w:val="18"/>
                <w:szCs w:val="18"/>
                <w:lang w:val="bg-BG"/>
              </w:rPr>
              <w:t xml:space="preserve"> Подобряване на </w:t>
            </w:r>
            <w:proofErr w:type="spellStart"/>
            <w:r w:rsidRPr="00B45B4F">
              <w:rPr>
                <w:rFonts w:ascii="Verdana" w:eastAsia="Times New Roman" w:hAnsi="Verdana"/>
                <w:color w:val="FFFFFF"/>
                <w:sz w:val="18"/>
                <w:szCs w:val="18"/>
                <w:lang w:val="bg-BG"/>
              </w:rPr>
              <w:t>интермодалността</w:t>
            </w:r>
            <w:proofErr w:type="spellEnd"/>
            <w:r w:rsidRPr="00B45B4F">
              <w:rPr>
                <w:rFonts w:ascii="Verdana" w:eastAsia="Times New Roman" w:hAnsi="Verdana"/>
                <w:color w:val="FFFFFF"/>
                <w:sz w:val="18"/>
                <w:szCs w:val="18"/>
                <w:lang w:val="bg-BG"/>
              </w:rPr>
              <w:t xml:space="preserve"> при превоза на пътници и товари и развитие на устойчив градски транспорт</w:t>
            </w:r>
          </w:p>
        </w:tc>
        <w:tc>
          <w:tcPr>
            <w:tcW w:w="1311" w:type="dxa"/>
            <w:tcBorders>
              <w:top w:val="nil"/>
              <w:left w:val="nil"/>
              <w:bottom w:val="single" w:sz="4" w:space="0" w:color="auto"/>
              <w:right w:val="single" w:sz="4" w:space="0" w:color="auto"/>
            </w:tcBorders>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3.1</w:t>
            </w:r>
          </w:p>
        </w:tc>
        <w:tc>
          <w:tcPr>
            <w:tcW w:w="878"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66"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43"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73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786"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90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1024"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r>
      <w:tr w:rsidR="006F74A8" w:rsidRPr="00B45B4F" w:rsidTr="00AF6F4A">
        <w:trPr>
          <w:trHeight w:val="330"/>
          <w:jc w:val="center"/>
        </w:trPr>
        <w:tc>
          <w:tcPr>
            <w:tcW w:w="2822" w:type="dxa"/>
            <w:vMerge/>
            <w:tcBorders>
              <w:top w:val="nil"/>
              <w:left w:val="single" w:sz="4" w:space="0" w:color="auto"/>
              <w:bottom w:val="single" w:sz="4" w:space="0" w:color="auto"/>
              <w:right w:val="single" w:sz="4" w:space="0" w:color="auto"/>
            </w:tcBorders>
            <w:shd w:val="clear" w:color="auto" w:fill="548DD4" w:themeFill="text2" w:themeFillTint="99"/>
            <w:vAlign w:val="center"/>
            <w:hideMark/>
          </w:tcPr>
          <w:p w:rsidR="006F74A8" w:rsidRPr="00B45B4F" w:rsidRDefault="006F74A8" w:rsidP="001877B4">
            <w:pPr>
              <w:spacing w:after="0" w:line="240" w:lineRule="auto"/>
              <w:rPr>
                <w:rFonts w:ascii="Verdana" w:eastAsia="Times New Roman" w:hAnsi="Verdana"/>
                <w:bCs/>
                <w:color w:val="FFFFFF"/>
                <w:sz w:val="18"/>
                <w:szCs w:val="18"/>
                <w:lang w:val="bg-BG"/>
              </w:rPr>
            </w:pPr>
          </w:p>
        </w:tc>
        <w:tc>
          <w:tcPr>
            <w:tcW w:w="1311" w:type="dxa"/>
            <w:tcBorders>
              <w:top w:val="nil"/>
              <w:left w:val="nil"/>
              <w:bottom w:val="single" w:sz="4" w:space="0" w:color="auto"/>
              <w:right w:val="single" w:sz="4" w:space="0" w:color="auto"/>
            </w:tcBorders>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3.2</w:t>
            </w:r>
          </w:p>
        </w:tc>
        <w:tc>
          <w:tcPr>
            <w:tcW w:w="878"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66"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43"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73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786"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90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1024"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r>
      <w:tr w:rsidR="006F74A8" w:rsidRPr="00B45B4F" w:rsidTr="00AF6F4A">
        <w:trPr>
          <w:trHeight w:val="710"/>
          <w:jc w:val="center"/>
        </w:trPr>
        <w:tc>
          <w:tcPr>
            <w:tcW w:w="2822" w:type="dxa"/>
            <w:vMerge w:val="restart"/>
            <w:tcBorders>
              <w:top w:val="nil"/>
              <w:left w:val="single" w:sz="4" w:space="0" w:color="auto"/>
              <w:bottom w:val="single" w:sz="4" w:space="0" w:color="auto"/>
              <w:right w:val="single" w:sz="4" w:space="0" w:color="auto"/>
            </w:tcBorders>
            <w:shd w:val="clear" w:color="auto" w:fill="548DD4" w:themeFill="text2" w:themeFillTint="99"/>
            <w:vAlign w:val="bottom"/>
            <w:hideMark/>
          </w:tcPr>
          <w:p w:rsidR="006F74A8" w:rsidRPr="00B45B4F" w:rsidRDefault="006F74A8" w:rsidP="001877B4">
            <w:pPr>
              <w:spacing w:after="0" w:line="240" w:lineRule="auto"/>
              <w:rPr>
                <w:rFonts w:ascii="Verdana" w:eastAsia="Times New Roman" w:hAnsi="Verdana"/>
                <w:bCs/>
                <w:color w:val="FFFFFF"/>
                <w:sz w:val="18"/>
                <w:szCs w:val="18"/>
                <w:lang w:val="bg-BG"/>
              </w:rPr>
            </w:pPr>
            <w:r w:rsidRPr="00B45B4F">
              <w:rPr>
                <w:rFonts w:ascii="Verdana" w:eastAsia="Times New Roman" w:hAnsi="Verdana"/>
                <w:bCs/>
                <w:color w:val="FFFFFF"/>
                <w:sz w:val="18"/>
                <w:szCs w:val="18"/>
                <w:lang w:val="bg-BG"/>
              </w:rPr>
              <w:t>ПО 4:</w:t>
            </w:r>
            <w:r w:rsidRPr="00B45B4F">
              <w:rPr>
                <w:rFonts w:ascii="Verdana" w:eastAsia="Times New Roman" w:hAnsi="Verdana"/>
                <w:color w:val="FFFFFF"/>
                <w:sz w:val="18"/>
                <w:szCs w:val="18"/>
                <w:lang w:val="bg-BG"/>
              </w:rPr>
              <w:t xml:space="preserve"> Иновации в управлението и услугите - внедряване на модернизирана инфраструктура за управление на трафика, подобряване на безопасността и сигурността на транспорта</w:t>
            </w:r>
          </w:p>
        </w:tc>
        <w:tc>
          <w:tcPr>
            <w:tcW w:w="1311" w:type="dxa"/>
            <w:tcBorders>
              <w:top w:val="nil"/>
              <w:left w:val="nil"/>
              <w:bottom w:val="single" w:sz="4" w:space="0" w:color="auto"/>
              <w:right w:val="single" w:sz="4" w:space="0" w:color="auto"/>
            </w:tcBorders>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4.1</w:t>
            </w:r>
          </w:p>
        </w:tc>
        <w:tc>
          <w:tcPr>
            <w:tcW w:w="878"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66"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43"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73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786"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90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1024"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r>
      <w:tr w:rsidR="006F74A8" w:rsidRPr="00B45B4F" w:rsidTr="00AF6F4A">
        <w:trPr>
          <w:trHeight w:val="620"/>
          <w:jc w:val="center"/>
        </w:trPr>
        <w:tc>
          <w:tcPr>
            <w:tcW w:w="2822" w:type="dxa"/>
            <w:vMerge/>
            <w:tcBorders>
              <w:top w:val="nil"/>
              <w:left w:val="single" w:sz="4" w:space="0" w:color="auto"/>
              <w:bottom w:val="single" w:sz="4" w:space="0" w:color="auto"/>
              <w:right w:val="single" w:sz="4" w:space="0" w:color="auto"/>
            </w:tcBorders>
            <w:shd w:val="clear" w:color="auto" w:fill="548DD4" w:themeFill="text2" w:themeFillTint="99"/>
            <w:vAlign w:val="center"/>
            <w:hideMark/>
          </w:tcPr>
          <w:p w:rsidR="006F74A8" w:rsidRPr="00B45B4F" w:rsidRDefault="006F74A8" w:rsidP="006F74A8">
            <w:pPr>
              <w:spacing w:after="0" w:line="240" w:lineRule="auto"/>
              <w:rPr>
                <w:rFonts w:ascii="Verdana" w:eastAsia="Times New Roman" w:hAnsi="Verdana"/>
                <w:bCs/>
                <w:color w:val="FFFFFF"/>
                <w:sz w:val="18"/>
                <w:szCs w:val="18"/>
                <w:lang w:val="bg-BG"/>
              </w:rPr>
            </w:pPr>
          </w:p>
        </w:tc>
        <w:tc>
          <w:tcPr>
            <w:tcW w:w="1311" w:type="dxa"/>
            <w:tcBorders>
              <w:top w:val="nil"/>
              <w:left w:val="nil"/>
              <w:bottom w:val="single" w:sz="4" w:space="0" w:color="auto"/>
              <w:right w:val="single" w:sz="4" w:space="0" w:color="auto"/>
            </w:tcBorders>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4.2</w:t>
            </w:r>
          </w:p>
        </w:tc>
        <w:tc>
          <w:tcPr>
            <w:tcW w:w="878"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66"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43"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73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786"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90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1024"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r>
      <w:tr w:rsidR="006F74A8" w:rsidRPr="00B45B4F" w:rsidTr="00AF6F4A">
        <w:trPr>
          <w:trHeight w:val="330"/>
          <w:jc w:val="center"/>
        </w:trPr>
        <w:tc>
          <w:tcPr>
            <w:tcW w:w="2822" w:type="dxa"/>
            <w:vMerge/>
            <w:tcBorders>
              <w:top w:val="nil"/>
              <w:left w:val="single" w:sz="4" w:space="0" w:color="auto"/>
              <w:bottom w:val="single" w:sz="4" w:space="0" w:color="auto"/>
              <w:right w:val="single" w:sz="4" w:space="0" w:color="auto"/>
            </w:tcBorders>
            <w:shd w:val="clear" w:color="auto" w:fill="548DD4" w:themeFill="text2" w:themeFillTint="99"/>
            <w:vAlign w:val="center"/>
            <w:hideMark/>
          </w:tcPr>
          <w:p w:rsidR="006F74A8" w:rsidRPr="00B45B4F" w:rsidRDefault="006F74A8" w:rsidP="006F74A8">
            <w:pPr>
              <w:spacing w:after="0" w:line="240" w:lineRule="auto"/>
              <w:rPr>
                <w:rFonts w:ascii="Verdana" w:eastAsia="Times New Roman" w:hAnsi="Verdana"/>
                <w:bCs/>
                <w:color w:val="FFFFFF"/>
                <w:sz w:val="18"/>
                <w:szCs w:val="18"/>
                <w:lang w:val="bg-BG"/>
              </w:rPr>
            </w:pPr>
          </w:p>
        </w:tc>
        <w:tc>
          <w:tcPr>
            <w:tcW w:w="1311" w:type="dxa"/>
            <w:tcBorders>
              <w:top w:val="nil"/>
              <w:left w:val="nil"/>
              <w:bottom w:val="single" w:sz="4" w:space="0" w:color="auto"/>
              <w:right w:val="single" w:sz="4" w:space="0" w:color="auto"/>
            </w:tcBorders>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4.3</w:t>
            </w:r>
          </w:p>
        </w:tc>
        <w:tc>
          <w:tcPr>
            <w:tcW w:w="878"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66"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43"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73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786"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90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1024"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r>
    </w:tbl>
    <w:p w:rsidR="008410DF" w:rsidRPr="00B45B4F" w:rsidRDefault="008410DF" w:rsidP="008410DF">
      <w:pPr>
        <w:spacing w:before="120"/>
        <w:rPr>
          <w:rFonts w:ascii="Verdana" w:hAnsi="Verdana"/>
          <w:i/>
          <w:sz w:val="18"/>
          <w:szCs w:val="18"/>
          <w:lang w:val="bg-BG" w:eastAsia="bg-BG"/>
        </w:rPr>
      </w:pPr>
      <w:r w:rsidRPr="00B45B4F">
        <w:rPr>
          <w:rFonts w:ascii="Verdana" w:hAnsi="Verdana"/>
          <w:i/>
          <w:sz w:val="18"/>
          <w:szCs w:val="18"/>
          <w:lang w:val="bg-BG" w:eastAsia="bg-BG"/>
        </w:rPr>
        <w:t xml:space="preserve">Легенда: </w:t>
      </w:r>
      <w:r w:rsidRPr="00B45B4F">
        <w:rPr>
          <w:rFonts w:ascii="Wingdings 2" w:eastAsia="Times New Roman" w:hAnsi="Wingdings 2"/>
          <w:color w:val="0070C0"/>
          <w:sz w:val="26"/>
          <w:szCs w:val="26"/>
          <w:lang w:val="bg-BG"/>
        </w:rPr>
        <w:t></w:t>
      </w:r>
      <w:r w:rsidRPr="00B45B4F">
        <w:rPr>
          <w:rFonts w:ascii="Verdana" w:eastAsia="Times New Roman" w:hAnsi="Verdana"/>
          <w:i/>
          <w:sz w:val="18"/>
          <w:szCs w:val="18"/>
          <w:lang w:val="bg-BG"/>
        </w:rPr>
        <w:t xml:space="preserve"> - слаба връзка, </w:t>
      </w:r>
      <w:r w:rsidRPr="00B45B4F">
        <w:rPr>
          <w:rFonts w:ascii="Wingdings 2" w:eastAsia="Times New Roman" w:hAnsi="Wingdings 2"/>
          <w:color w:val="0070C0"/>
          <w:sz w:val="26"/>
          <w:szCs w:val="26"/>
          <w:lang w:val="bg-BG"/>
        </w:rPr>
        <w:t></w:t>
      </w:r>
      <w:r w:rsidRPr="00B45B4F">
        <w:rPr>
          <w:rFonts w:ascii="Wingdings 2" w:eastAsia="Times New Roman" w:hAnsi="Wingdings 2"/>
          <w:color w:val="0070C0"/>
          <w:sz w:val="26"/>
          <w:szCs w:val="26"/>
          <w:lang w:val="bg-BG"/>
        </w:rPr>
        <w:t></w:t>
      </w:r>
      <w:r w:rsidRPr="00B45B4F">
        <w:rPr>
          <w:rFonts w:ascii="Wingdings 2" w:eastAsia="Times New Roman" w:hAnsi="Wingdings 2"/>
          <w:color w:val="0070C0"/>
          <w:sz w:val="26"/>
          <w:szCs w:val="26"/>
          <w:lang w:val="bg-BG"/>
        </w:rPr>
        <w:t></w:t>
      </w:r>
      <w:r w:rsidRPr="00EC3BDA">
        <w:rPr>
          <w:rFonts w:ascii="Verdana" w:eastAsia="Times New Roman" w:hAnsi="Verdana"/>
          <w:sz w:val="26"/>
          <w:szCs w:val="26"/>
          <w:lang w:val="bg-BG"/>
        </w:rPr>
        <w:t xml:space="preserve">- </w:t>
      </w:r>
      <w:r w:rsidRPr="00EC3BDA">
        <w:rPr>
          <w:rFonts w:ascii="Verdana" w:eastAsia="Times New Roman" w:hAnsi="Verdana"/>
          <w:i/>
          <w:sz w:val="18"/>
          <w:szCs w:val="18"/>
          <w:lang w:val="bg-BG"/>
        </w:rPr>
        <w:t>с</w:t>
      </w:r>
      <w:r w:rsidRPr="00B45B4F">
        <w:rPr>
          <w:rFonts w:ascii="Verdana" w:eastAsia="Times New Roman" w:hAnsi="Verdana"/>
          <w:i/>
          <w:sz w:val="18"/>
          <w:szCs w:val="18"/>
          <w:lang w:val="bg-BG"/>
        </w:rPr>
        <w:t xml:space="preserve">редно силна връзка, </w:t>
      </w:r>
      <w:r w:rsidRPr="00B45B4F">
        <w:rPr>
          <w:rFonts w:ascii="Wingdings 2" w:eastAsia="Times New Roman" w:hAnsi="Wingdings 2"/>
          <w:color w:val="0070C0"/>
          <w:sz w:val="26"/>
          <w:szCs w:val="26"/>
          <w:lang w:val="bg-BG"/>
        </w:rPr>
        <w:t></w:t>
      </w:r>
      <w:r w:rsidRPr="00B45B4F">
        <w:rPr>
          <w:rFonts w:ascii="Wingdings 2" w:eastAsia="Times New Roman" w:hAnsi="Wingdings 2"/>
          <w:color w:val="0070C0"/>
          <w:sz w:val="26"/>
          <w:szCs w:val="26"/>
          <w:lang w:val="bg-BG"/>
        </w:rPr>
        <w:t></w:t>
      </w:r>
      <w:r w:rsidRPr="00B45B4F">
        <w:rPr>
          <w:rFonts w:ascii="Wingdings 2" w:eastAsia="Times New Roman" w:hAnsi="Wingdings 2"/>
          <w:color w:val="0070C0"/>
          <w:sz w:val="26"/>
          <w:szCs w:val="26"/>
          <w:lang w:val="bg-BG"/>
        </w:rPr>
        <w:t></w:t>
      </w:r>
      <w:r w:rsidRPr="00B45B4F">
        <w:rPr>
          <w:rFonts w:ascii="Verdana" w:eastAsia="Times New Roman" w:hAnsi="Verdana"/>
          <w:i/>
          <w:sz w:val="18"/>
          <w:szCs w:val="18"/>
          <w:lang w:val="bg-BG"/>
        </w:rPr>
        <w:t xml:space="preserve"> - силна връзка</w:t>
      </w:r>
    </w:p>
    <w:p w:rsidR="006F74A8" w:rsidRPr="00B45B4F" w:rsidRDefault="006F74A8" w:rsidP="006F74A8">
      <w:pPr>
        <w:keepNext/>
        <w:spacing w:before="240" w:after="120"/>
        <w:rPr>
          <w:rFonts w:ascii="Verdana" w:hAnsi="Verdana"/>
          <w:b/>
          <w:color w:val="548DD4" w:themeColor="text2" w:themeTint="99"/>
          <w:sz w:val="20"/>
          <w:szCs w:val="20"/>
          <w:lang w:val="bg-BG"/>
        </w:rPr>
      </w:pPr>
      <w:bookmarkStart w:id="61" w:name="_Toc395612564"/>
      <w:r w:rsidRPr="00B45B4F">
        <w:rPr>
          <w:rFonts w:ascii="Verdana" w:hAnsi="Verdana"/>
          <w:b/>
          <w:color w:val="548DD4" w:themeColor="text2" w:themeTint="99"/>
          <w:sz w:val="20"/>
          <w:szCs w:val="20"/>
          <w:lang w:val="bg-BG"/>
        </w:rPr>
        <w:t xml:space="preserve">Таблица </w:t>
      </w:r>
      <w:r w:rsidR="00BF1936" w:rsidRPr="00B45B4F">
        <w:rPr>
          <w:rFonts w:ascii="Verdana" w:hAnsi="Verdana"/>
          <w:b/>
          <w:color w:val="548DD4" w:themeColor="text2" w:themeTint="99"/>
          <w:sz w:val="20"/>
          <w:szCs w:val="20"/>
          <w:lang w:val="bg-BG"/>
        </w:rPr>
        <w:fldChar w:fldCharType="begin"/>
      </w:r>
      <w:r w:rsidRPr="00B45B4F">
        <w:rPr>
          <w:rFonts w:ascii="Verdana" w:hAnsi="Verdana"/>
          <w:b/>
          <w:color w:val="548DD4" w:themeColor="text2" w:themeTint="99"/>
          <w:sz w:val="20"/>
          <w:szCs w:val="20"/>
          <w:lang w:val="bg-BG"/>
        </w:rPr>
        <w:instrText>SEQ таблица \* ARABIC</w:instrText>
      </w:r>
      <w:r w:rsidR="00BF1936" w:rsidRPr="00B45B4F">
        <w:rPr>
          <w:rFonts w:ascii="Verdana" w:hAnsi="Verdana"/>
          <w:b/>
          <w:color w:val="548DD4" w:themeColor="text2" w:themeTint="99"/>
          <w:sz w:val="20"/>
          <w:szCs w:val="20"/>
          <w:lang w:val="bg-BG"/>
        </w:rPr>
        <w:fldChar w:fldCharType="separate"/>
      </w:r>
      <w:r w:rsidR="001361E0">
        <w:rPr>
          <w:rFonts w:ascii="Verdana" w:hAnsi="Verdana"/>
          <w:b/>
          <w:noProof/>
          <w:color w:val="548DD4" w:themeColor="text2" w:themeTint="99"/>
          <w:sz w:val="20"/>
          <w:szCs w:val="20"/>
          <w:lang w:val="bg-BG"/>
        </w:rPr>
        <w:t>8</w:t>
      </w:r>
      <w:r w:rsidR="00BF1936" w:rsidRPr="00B45B4F">
        <w:rPr>
          <w:rFonts w:ascii="Verdana" w:hAnsi="Verdana"/>
          <w:b/>
          <w:color w:val="548DD4" w:themeColor="text2" w:themeTint="99"/>
          <w:sz w:val="20"/>
          <w:szCs w:val="20"/>
          <w:lang w:val="bg-BG"/>
        </w:rPr>
        <w:fldChar w:fldCharType="end"/>
      </w:r>
      <w:r w:rsidRPr="00B45B4F">
        <w:rPr>
          <w:rFonts w:ascii="Verdana" w:hAnsi="Verdana"/>
          <w:b/>
          <w:color w:val="548DD4" w:themeColor="text2" w:themeTint="99"/>
          <w:sz w:val="20"/>
          <w:szCs w:val="20"/>
          <w:lang w:val="bg-BG"/>
        </w:rPr>
        <w:t>. Допълване и разграничаване между ОПНОИР и ОПТТП</w:t>
      </w:r>
      <w:bookmarkEnd w:id="61"/>
    </w:p>
    <w:tbl>
      <w:tblPr>
        <w:tblW w:w="90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7290"/>
      </w:tblGrid>
      <w:tr w:rsidR="006F74A8" w:rsidRPr="00B45B4F" w:rsidTr="00AF6F4A">
        <w:tc>
          <w:tcPr>
            <w:tcW w:w="1800" w:type="dxa"/>
            <w:shd w:val="clear" w:color="auto" w:fill="548DD4" w:themeFill="text2" w:themeFillTint="99"/>
          </w:tcPr>
          <w:p w:rsidR="006F74A8" w:rsidRPr="00B45B4F" w:rsidRDefault="006F74A8" w:rsidP="006F74A8">
            <w:pPr>
              <w:spacing w:after="0"/>
              <w:rPr>
                <w:rFonts w:ascii="Verdana" w:hAnsi="Verdana"/>
                <w:sz w:val="20"/>
                <w:szCs w:val="20"/>
                <w:lang w:val="bg-BG" w:eastAsia="cs-CZ"/>
              </w:rPr>
            </w:pPr>
            <w:r w:rsidRPr="00B45B4F">
              <w:rPr>
                <w:rFonts w:ascii="Verdana" w:hAnsi="Verdana"/>
                <w:color w:val="FFFFFF" w:themeColor="background1"/>
                <w:sz w:val="20"/>
                <w:szCs w:val="20"/>
                <w:lang w:val="bg-BG"/>
              </w:rPr>
              <w:t>Допълване / Разграничаване в текста на ОПНОИР</w:t>
            </w:r>
          </w:p>
        </w:tc>
        <w:tc>
          <w:tcPr>
            <w:tcW w:w="7290" w:type="dxa"/>
          </w:tcPr>
          <w:p w:rsidR="006F74A8" w:rsidRPr="00B45B4F" w:rsidRDefault="004C3422" w:rsidP="00BA06F3">
            <w:pPr>
              <w:spacing w:after="120"/>
              <w:jc w:val="both"/>
              <w:rPr>
                <w:rFonts w:ascii="Verdana" w:hAnsi="Verdana"/>
                <w:sz w:val="20"/>
                <w:szCs w:val="20"/>
                <w:lang w:val="bg-BG" w:eastAsia="cs-CZ"/>
              </w:rPr>
            </w:pPr>
            <w:r w:rsidRPr="00B45B4F">
              <w:rPr>
                <w:rFonts w:ascii="Verdana" w:hAnsi="Verdana"/>
                <w:b/>
                <w:sz w:val="20"/>
                <w:szCs w:val="20"/>
                <w:lang w:val="bg-BG"/>
              </w:rPr>
              <w:t>Допълване и разграничаване:</w:t>
            </w:r>
            <w:r w:rsidR="002D4C3A">
              <w:rPr>
                <w:rFonts w:ascii="Verdana" w:hAnsi="Verdana"/>
                <w:b/>
                <w:sz w:val="20"/>
                <w:szCs w:val="20"/>
                <w:lang w:val="bg-BG"/>
              </w:rPr>
              <w:t xml:space="preserve"> </w:t>
            </w:r>
            <w:r w:rsidR="006F74A8" w:rsidRPr="00B45B4F">
              <w:rPr>
                <w:rFonts w:ascii="Verdana" w:hAnsi="Verdana"/>
                <w:sz w:val="20"/>
                <w:szCs w:val="20"/>
                <w:lang w:val="bg-BG"/>
              </w:rPr>
              <w:t>Посочено е, че</w:t>
            </w:r>
            <w:r w:rsidR="00711E88">
              <w:rPr>
                <w:rFonts w:ascii="Verdana" w:hAnsi="Verdana"/>
                <w:sz w:val="20"/>
                <w:szCs w:val="20"/>
                <w:lang w:val="bg-BG"/>
              </w:rPr>
              <w:t xml:space="preserve"> няма допирни точки между двете програми</w:t>
            </w:r>
          </w:p>
        </w:tc>
      </w:tr>
      <w:tr w:rsidR="006F74A8" w:rsidRPr="00B45B4F" w:rsidTr="00AF6F4A">
        <w:tc>
          <w:tcPr>
            <w:tcW w:w="1800" w:type="dxa"/>
            <w:shd w:val="clear" w:color="auto" w:fill="548DD4" w:themeFill="text2" w:themeFillTint="99"/>
          </w:tcPr>
          <w:p w:rsidR="006F74A8" w:rsidRPr="00B45B4F" w:rsidRDefault="006F74A8" w:rsidP="006F74A8">
            <w:pPr>
              <w:spacing w:after="0"/>
              <w:rPr>
                <w:rFonts w:ascii="Verdana" w:hAnsi="Verdana"/>
                <w:color w:val="FFFFFF" w:themeColor="background1"/>
                <w:sz w:val="20"/>
                <w:szCs w:val="20"/>
                <w:lang w:val="bg-BG"/>
              </w:rPr>
            </w:pPr>
            <w:r w:rsidRPr="00B45B4F">
              <w:rPr>
                <w:rFonts w:ascii="Verdana" w:hAnsi="Verdana"/>
                <w:color w:val="FFFFFF" w:themeColor="background1"/>
                <w:sz w:val="20"/>
                <w:szCs w:val="20"/>
                <w:lang w:val="bg-BG"/>
              </w:rPr>
              <w:t>Коментар</w:t>
            </w:r>
          </w:p>
        </w:tc>
        <w:tc>
          <w:tcPr>
            <w:tcW w:w="7290" w:type="dxa"/>
          </w:tcPr>
          <w:p w:rsidR="006F74A8" w:rsidRPr="00B45B4F" w:rsidRDefault="004C3422" w:rsidP="006F74A8">
            <w:pPr>
              <w:spacing w:after="120"/>
              <w:jc w:val="both"/>
              <w:rPr>
                <w:rFonts w:ascii="Verdana" w:hAnsi="Verdana"/>
                <w:sz w:val="20"/>
                <w:szCs w:val="20"/>
                <w:lang w:val="bg-BG"/>
              </w:rPr>
            </w:pPr>
            <w:r w:rsidRPr="00B45B4F">
              <w:rPr>
                <w:rFonts w:ascii="Verdana" w:hAnsi="Verdana"/>
                <w:sz w:val="20"/>
                <w:szCs w:val="20"/>
                <w:lang w:val="bg-BG"/>
              </w:rPr>
              <w:t>Между двете програми няма допирни точки.</w:t>
            </w:r>
          </w:p>
        </w:tc>
      </w:tr>
      <w:tr w:rsidR="006F74A8" w:rsidRPr="00B45B4F" w:rsidTr="00AF6F4A">
        <w:tc>
          <w:tcPr>
            <w:tcW w:w="1800" w:type="dxa"/>
            <w:shd w:val="clear" w:color="auto" w:fill="548DD4" w:themeFill="text2" w:themeFillTint="99"/>
          </w:tcPr>
          <w:p w:rsidR="006F74A8" w:rsidRPr="00B45B4F" w:rsidRDefault="006F74A8" w:rsidP="006F74A8">
            <w:pPr>
              <w:spacing w:after="0"/>
              <w:rPr>
                <w:rFonts w:ascii="Verdana" w:hAnsi="Verdana"/>
                <w:color w:val="FFFFFF" w:themeColor="background1"/>
                <w:sz w:val="20"/>
                <w:szCs w:val="20"/>
                <w:lang w:val="bg-BG"/>
              </w:rPr>
            </w:pPr>
            <w:r w:rsidRPr="00B45B4F">
              <w:rPr>
                <w:rFonts w:ascii="Verdana" w:hAnsi="Verdana"/>
                <w:color w:val="FFFFFF" w:themeColor="background1"/>
                <w:sz w:val="20"/>
                <w:szCs w:val="20"/>
                <w:lang w:val="bg-BG" w:eastAsia="cs-CZ"/>
              </w:rPr>
              <w:t>Препоръка</w:t>
            </w:r>
          </w:p>
        </w:tc>
        <w:tc>
          <w:tcPr>
            <w:tcW w:w="7290" w:type="dxa"/>
          </w:tcPr>
          <w:p w:rsidR="006F74A8" w:rsidRPr="00B45B4F" w:rsidRDefault="00711E88" w:rsidP="006F74A8">
            <w:pPr>
              <w:spacing w:after="120"/>
              <w:jc w:val="both"/>
              <w:rPr>
                <w:rFonts w:ascii="Verdana" w:hAnsi="Verdana"/>
                <w:sz w:val="20"/>
                <w:szCs w:val="20"/>
                <w:lang w:val="bg-BG" w:eastAsia="cs-CZ"/>
              </w:rPr>
            </w:pPr>
            <w:r>
              <w:rPr>
                <w:rFonts w:ascii="Verdana" w:hAnsi="Verdana"/>
                <w:sz w:val="20"/>
                <w:szCs w:val="20"/>
                <w:lang w:val="bg-BG" w:eastAsia="cs-CZ"/>
              </w:rPr>
              <w:t>Няма</w:t>
            </w:r>
          </w:p>
        </w:tc>
      </w:tr>
    </w:tbl>
    <w:p w:rsidR="00DF1209" w:rsidRPr="00B45B4F" w:rsidRDefault="00DF1209" w:rsidP="00416243">
      <w:pPr>
        <w:keepNext/>
        <w:pBdr>
          <w:bottom w:val="single" w:sz="4" w:space="1" w:color="0070C0"/>
        </w:pBdr>
        <w:spacing w:before="360" w:after="120"/>
        <w:jc w:val="both"/>
        <w:rPr>
          <w:rFonts w:ascii="Verdana" w:hAnsi="Verdana"/>
          <w:color w:val="0070C0"/>
          <w:sz w:val="20"/>
          <w:szCs w:val="20"/>
          <w:lang w:val="bg-BG" w:eastAsia="cs-CZ"/>
        </w:rPr>
      </w:pPr>
      <w:r w:rsidRPr="00B45B4F">
        <w:rPr>
          <w:rFonts w:ascii="Verdana" w:hAnsi="Verdana"/>
          <w:color w:val="0070C0"/>
          <w:sz w:val="20"/>
          <w:szCs w:val="20"/>
          <w:lang w:val="bg-BG" w:eastAsia="cs-CZ"/>
        </w:rPr>
        <w:t xml:space="preserve">Оперативна програма „Добро управление” (ОПДУ) </w:t>
      </w:r>
      <w:r w:rsidR="005106CE" w:rsidRPr="00B45B4F">
        <w:rPr>
          <w:rFonts w:ascii="Verdana" w:hAnsi="Verdana"/>
          <w:color w:val="0070C0"/>
          <w:sz w:val="20"/>
          <w:szCs w:val="20"/>
          <w:lang w:val="bg-BG" w:eastAsia="cs-CZ"/>
        </w:rPr>
        <w:t>2014–2020</w:t>
      </w:r>
      <w:r w:rsidRPr="00B45B4F">
        <w:rPr>
          <w:rFonts w:ascii="Verdana" w:hAnsi="Verdana"/>
          <w:color w:val="0070C0"/>
          <w:sz w:val="20"/>
          <w:szCs w:val="20"/>
          <w:lang w:val="bg-BG" w:eastAsia="cs-CZ"/>
        </w:rPr>
        <w:t xml:space="preserve"> г.</w:t>
      </w:r>
    </w:p>
    <w:p w:rsidR="006F74A8" w:rsidRPr="00B45B4F" w:rsidRDefault="006F74A8" w:rsidP="009E0DA3">
      <w:pPr>
        <w:pBdr>
          <w:top w:val="single" w:sz="4" w:space="1" w:color="auto"/>
          <w:bottom w:val="single" w:sz="4" w:space="1" w:color="auto"/>
        </w:pBdr>
        <w:shd w:val="clear" w:color="auto" w:fill="548DD4" w:themeFill="text2" w:themeFillTint="99"/>
        <w:spacing w:after="120"/>
        <w:rPr>
          <w:rFonts w:ascii="Verdana" w:hAnsi="Verdana"/>
          <w:b/>
          <w:color w:val="FFFFFF" w:themeColor="background1"/>
          <w:sz w:val="20"/>
          <w:szCs w:val="20"/>
          <w:lang w:val="bg-BG" w:eastAsia="cs-CZ"/>
        </w:rPr>
      </w:pPr>
      <w:r w:rsidRPr="00B45B4F">
        <w:rPr>
          <w:rFonts w:ascii="Verdana" w:hAnsi="Verdana"/>
          <w:b/>
          <w:color w:val="FFFFFF" w:themeColor="background1"/>
          <w:sz w:val="20"/>
          <w:szCs w:val="20"/>
          <w:lang w:val="bg-BG" w:eastAsia="cs-CZ"/>
        </w:rPr>
        <w:t>Приоритетна ос 1: Административно обслужване и е-управление</w:t>
      </w:r>
    </w:p>
    <w:p w:rsidR="006F74A8" w:rsidRPr="00B45B4F" w:rsidRDefault="006F74A8" w:rsidP="006861B0">
      <w:pPr>
        <w:pStyle w:val="ListParagraph"/>
        <w:numPr>
          <w:ilvl w:val="0"/>
          <w:numId w:val="48"/>
        </w:numPr>
        <w:tabs>
          <w:tab w:val="left" w:pos="720"/>
        </w:tabs>
        <w:spacing w:after="120"/>
        <w:ind w:left="720" w:hanging="540"/>
        <w:jc w:val="both"/>
        <w:rPr>
          <w:rFonts w:ascii="Verdana" w:hAnsi="Verdana"/>
          <w:bCs/>
          <w:iCs/>
          <w:sz w:val="20"/>
          <w:szCs w:val="20"/>
          <w:lang w:val="bg-BG"/>
        </w:rPr>
      </w:pPr>
      <w:r w:rsidRPr="00B45B4F">
        <w:rPr>
          <w:rFonts w:ascii="Verdana" w:hAnsi="Verdana"/>
          <w:bCs/>
          <w:iCs/>
          <w:sz w:val="20"/>
          <w:szCs w:val="20"/>
          <w:lang w:val="bg-BG"/>
        </w:rPr>
        <w:t xml:space="preserve">Подобряване на административното обслужване на гражданите и бизнеса чрез стандартизиране на услуги, въвеждане на комплексно административно обслужване и внедряване на системи за управление на качеството </w:t>
      </w:r>
    </w:p>
    <w:p w:rsidR="006F74A8" w:rsidRPr="00B45B4F" w:rsidRDefault="006F74A8" w:rsidP="006861B0">
      <w:pPr>
        <w:pStyle w:val="ListParagraph"/>
        <w:numPr>
          <w:ilvl w:val="0"/>
          <w:numId w:val="48"/>
        </w:numPr>
        <w:tabs>
          <w:tab w:val="left" w:pos="720"/>
        </w:tabs>
        <w:spacing w:after="120"/>
        <w:ind w:left="720" w:hanging="540"/>
        <w:jc w:val="both"/>
        <w:rPr>
          <w:rFonts w:ascii="Verdana" w:hAnsi="Verdana"/>
          <w:bCs/>
          <w:iCs/>
          <w:sz w:val="20"/>
          <w:szCs w:val="20"/>
          <w:lang w:val="bg-BG"/>
        </w:rPr>
      </w:pPr>
      <w:r w:rsidRPr="00B45B4F">
        <w:rPr>
          <w:rFonts w:ascii="Verdana" w:hAnsi="Verdana"/>
          <w:bCs/>
          <w:iCs/>
          <w:sz w:val="20"/>
          <w:szCs w:val="20"/>
          <w:lang w:val="bg-BG"/>
        </w:rPr>
        <w:t xml:space="preserve">Изграждане на конкурентна бизнес среда чрез намаляване на регулаторната тежест </w:t>
      </w:r>
    </w:p>
    <w:p w:rsidR="006F74A8" w:rsidRPr="00B45B4F" w:rsidRDefault="006F74A8" w:rsidP="006861B0">
      <w:pPr>
        <w:pStyle w:val="ListParagraph"/>
        <w:numPr>
          <w:ilvl w:val="0"/>
          <w:numId w:val="48"/>
        </w:numPr>
        <w:tabs>
          <w:tab w:val="left" w:pos="720"/>
        </w:tabs>
        <w:spacing w:after="120"/>
        <w:ind w:left="720" w:hanging="540"/>
        <w:jc w:val="both"/>
        <w:rPr>
          <w:rFonts w:ascii="Verdana" w:hAnsi="Verdana"/>
          <w:bCs/>
          <w:iCs/>
          <w:sz w:val="20"/>
          <w:szCs w:val="20"/>
          <w:lang w:val="bg-BG"/>
        </w:rPr>
      </w:pPr>
      <w:r w:rsidRPr="00B45B4F">
        <w:rPr>
          <w:rFonts w:ascii="Verdana" w:hAnsi="Verdana"/>
          <w:bCs/>
          <w:iCs/>
          <w:sz w:val="20"/>
          <w:szCs w:val="20"/>
          <w:lang w:val="bg-BG"/>
        </w:rPr>
        <w:t xml:space="preserve">Модернизиране на администрацията чрез въвеждане на е-управление </w:t>
      </w:r>
    </w:p>
    <w:p w:rsidR="006F74A8" w:rsidRPr="00B45B4F" w:rsidRDefault="006F74A8" w:rsidP="009E0DA3">
      <w:pPr>
        <w:pBdr>
          <w:top w:val="single" w:sz="4" w:space="1" w:color="auto"/>
          <w:bottom w:val="single" w:sz="4" w:space="1" w:color="auto"/>
        </w:pBdr>
        <w:shd w:val="clear" w:color="auto" w:fill="548DD4" w:themeFill="text2" w:themeFillTint="99"/>
        <w:spacing w:after="120"/>
        <w:rPr>
          <w:rFonts w:ascii="Verdana" w:hAnsi="Verdana"/>
          <w:b/>
          <w:color w:val="FFFFFF" w:themeColor="background1"/>
          <w:sz w:val="20"/>
          <w:szCs w:val="20"/>
          <w:lang w:val="bg-BG" w:eastAsia="cs-CZ"/>
        </w:rPr>
      </w:pPr>
      <w:r w:rsidRPr="00B45B4F">
        <w:rPr>
          <w:rFonts w:ascii="Verdana" w:hAnsi="Verdana"/>
          <w:b/>
          <w:color w:val="FFFFFF" w:themeColor="background1"/>
          <w:sz w:val="20"/>
          <w:szCs w:val="20"/>
          <w:lang w:val="bg-BG" w:eastAsia="cs-CZ"/>
        </w:rPr>
        <w:t>Приоритетна ос 2: Ефективно и професионално управление в партньорство с гражданското общество и бизнеса</w:t>
      </w:r>
    </w:p>
    <w:p w:rsidR="006F74A8" w:rsidRPr="00B45B4F" w:rsidRDefault="006F74A8" w:rsidP="006861B0">
      <w:pPr>
        <w:pStyle w:val="ListParagraph"/>
        <w:numPr>
          <w:ilvl w:val="0"/>
          <w:numId w:val="50"/>
        </w:numPr>
        <w:spacing w:after="120"/>
        <w:ind w:left="720" w:hanging="540"/>
        <w:jc w:val="both"/>
        <w:rPr>
          <w:rFonts w:ascii="Verdana" w:hAnsi="Verdana"/>
          <w:bCs/>
          <w:iCs/>
          <w:sz w:val="20"/>
          <w:szCs w:val="20"/>
          <w:lang w:val="bg-BG"/>
        </w:rPr>
      </w:pPr>
      <w:r w:rsidRPr="00B45B4F">
        <w:rPr>
          <w:rFonts w:ascii="Verdana" w:hAnsi="Verdana"/>
          <w:bCs/>
          <w:iCs/>
          <w:sz w:val="20"/>
          <w:szCs w:val="20"/>
          <w:lang w:val="bg-BG"/>
        </w:rPr>
        <w:t xml:space="preserve">Подобряване на процеса на стратегическо планиране и програмно бюджетиране </w:t>
      </w:r>
    </w:p>
    <w:p w:rsidR="006F74A8" w:rsidRPr="00B45B4F" w:rsidRDefault="006F74A8" w:rsidP="006861B0">
      <w:pPr>
        <w:pStyle w:val="ListParagraph"/>
        <w:numPr>
          <w:ilvl w:val="0"/>
          <w:numId w:val="50"/>
        </w:numPr>
        <w:spacing w:after="120"/>
        <w:ind w:left="720" w:hanging="540"/>
        <w:jc w:val="both"/>
        <w:rPr>
          <w:rFonts w:ascii="Verdana" w:hAnsi="Verdana"/>
          <w:bCs/>
          <w:iCs/>
          <w:sz w:val="20"/>
          <w:szCs w:val="20"/>
          <w:lang w:val="bg-BG"/>
        </w:rPr>
      </w:pPr>
      <w:r w:rsidRPr="00B45B4F">
        <w:rPr>
          <w:rFonts w:ascii="Verdana" w:hAnsi="Verdana"/>
          <w:bCs/>
          <w:iCs/>
          <w:sz w:val="20"/>
          <w:szCs w:val="20"/>
          <w:lang w:val="bg-BG"/>
        </w:rPr>
        <w:t xml:space="preserve">Модерно управление на човешките ресурси, включително чрез повишаване компетенциите на служителите </w:t>
      </w:r>
    </w:p>
    <w:p w:rsidR="006F74A8" w:rsidRPr="00B45B4F" w:rsidRDefault="006F74A8" w:rsidP="006861B0">
      <w:pPr>
        <w:pStyle w:val="ListParagraph"/>
        <w:numPr>
          <w:ilvl w:val="0"/>
          <w:numId w:val="50"/>
        </w:numPr>
        <w:spacing w:after="120"/>
        <w:ind w:left="720" w:hanging="540"/>
        <w:jc w:val="both"/>
        <w:rPr>
          <w:rFonts w:ascii="Verdana" w:hAnsi="Verdana"/>
          <w:bCs/>
          <w:iCs/>
          <w:sz w:val="20"/>
          <w:szCs w:val="20"/>
          <w:lang w:val="bg-BG"/>
        </w:rPr>
      </w:pPr>
      <w:r w:rsidRPr="00B45B4F">
        <w:rPr>
          <w:rFonts w:ascii="Verdana" w:hAnsi="Verdana"/>
          <w:bCs/>
          <w:iCs/>
          <w:sz w:val="20"/>
          <w:szCs w:val="20"/>
          <w:lang w:val="bg-BG"/>
        </w:rPr>
        <w:t>Подобряване на достъпа до публична информация и повишаване на участието на гражданското общество и бизнеса в управлението</w:t>
      </w:r>
    </w:p>
    <w:p w:rsidR="006F74A8" w:rsidRPr="00B45B4F" w:rsidRDefault="006F74A8" w:rsidP="009E0DA3">
      <w:pPr>
        <w:pBdr>
          <w:top w:val="single" w:sz="4" w:space="1" w:color="auto"/>
          <w:bottom w:val="single" w:sz="4" w:space="1" w:color="auto"/>
        </w:pBdr>
        <w:shd w:val="clear" w:color="auto" w:fill="548DD4" w:themeFill="text2" w:themeFillTint="99"/>
        <w:spacing w:after="120"/>
        <w:rPr>
          <w:rFonts w:ascii="Verdana" w:hAnsi="Verdana"/>
          <w:b/>
          <w:color w:val="FFFFFF" w:themeColor="background1"/>
          <w:sz w:val="20"/>
          <w:szCs w:val="20"/>
          <w:lang w:val="bg-BG" w:eastAsia="cs-CZ"/>
        </w:rPr>
      </w:pPr>
      <w:r w:rsidRPr="00B45B4F">
        <w:rPr>
          <w:rFonts w:ascii="Verdana" w:hAnsi="Verdana"/>
          <w:b/>
          <w:color w:val="FFFFFF" w:themeColor="background1"/>
          <w:sz w:val="20"/>
          <w:szCs w:val="20"/>
          <w:lang w:val="bg-BG" w:eastAsia="cs-CZ"/>
        </w:rPr>
        <w:t>Приоритетна ос 3: Прозрачна и ефективна съдебна система</w:t>
      </w:r>
    </w:p>
    <w:p w:rsidR="006F74A8" w:rsidRPr="00B45B4F" w:rsidRDefault="006F74A8" w:rsidP="006861B0">
      <w:pPr>
        <w:pStyle w:val="ListParagraph"/>
        <w:numPr>
          <w:ilvl w:val="0"/>
          <w:numId w:val="51"/>
        </w:numPr>
        <w:spacing w:after="120"/>
        <w:ind w:left="720" w:hanging="540"/>
        <w:jc w:val="both"/>
        <w:rPr>
          <w:rFonts w:ascii="Verdana" w:hAnsi="Verdana"/>
          <w:bCs/>
          <w:iCs/>
          <w:sz w:val="20"/>
          <w:szCs w:val="20"/>
          <w:lang w:val="bg-BG"/>
        </w:rPr>
      </w:pPr>
      <w:r w:rsidRPr="00B45B4F">
        <w:rPr>
          <w:rFonts w:ascii="Verdana" w:hAnsi="Verdana"/>
          <w:bCs/>
          <w:iCs/>
          <w:sz w:val="20"/>
          <w:szCs w:val="20"/>
          <w:lang w:val="bg-BG"/>
        </w:rPr>
        <w:lastRenderedPageBreak/>
        <w:t xml:space="preserve">Повишаване на качеството и ускоряване на правораздаването и модернизиране на съдебната система чрез реформа в структурата, процедурите и организацията </w:t>
      </w:r>
    </w:p>
    <w:p w:rsidR="006F74A8" w:rsidRPr="00B45B4F" w:rsidRDefault="006F74A8" w:rsidP="006861B0">
      <w:pPr>
        <w:pStyle w:val="ListParagraph"/>
        <w:numPr>
          <w:ilvl w:val="0"/>
          <w:numId w:val="51"/>
        </w:numPr>
        <w:spacing w:after="120"/>
        <w:ind w:left="720" w:hanging="540"/>
        <w:jc w:val="both"/>
        <w:rPr>
          <w:rFonts w:ascii="Verdana" w:hAnsi="Verdana"/>
          <w:bCs/>
          <w:iCs/>
          <w:sz w:val="20"/>
          <w:szCs w:val="20"/>
          <w:lang w:val="bg-BG"/>
        </w:rPr>
      </w:pPr>
      <w:r w:rsidRPr="00B45B4F">
        <w:rPr>
          <w:rFonts w:ascii="Verdana" w:hAnsi="Verdana"/>
          <w:bCs/>
          <w:iCs/>
          <w:sz w:val="20"/>
          <w:szCs w:val="20"/>
          <w:lang w:val="bg-BG"/>
        </w:rPr>
        <w:t xml:space="preserve">Разширяване обхвата и подобряване на качеството на обученията в съдебната система </w:t>
      </w:r>
    </w:p>
    <w:p w:rsidR="006F74A8" w:rsidRPr="00B45B4F" w:rsidRDefault="006F74A8" w:rsidP="009E0DA3">
      <w:pPr>
        <w:pBdr>
          <w:top w:val="single" w:sz="4" w:space="1" w:color="auto"/>
          <w:bottom w:val="single" w:sz="4" w:space="1" w:color="auto"/>
        </w:pBdr>
        <w:shd w:val="clear" w:color="auto" w:fill="548DD4" w:themeFill="text2" w:themeFillTint="99"/>
        <w:spacing w:after="120"/>
        <w:rPr>
          <w:rFonts w:ascii="Verdana" w:hAnsi="Verdana"/>
          <w:b/>
          <w:color w:val="FFFFFF" w:themeColor="background1"/>
          <w:sz w:val="20"/>
          <w:szCs w:val="20"/>
          <w:lang w:val="bg-BG" w:eastAsia="cs-CZ"/>
        </w:rPr>
      </w:pPr>
      <w:r w:rsidRPr="00B45B4F">
        <w:rPr>
          <w:rFonts w:ascii="Verdana" w:hAnsi="Verdana"/>
          <w:b/>
          <w:color w:val="FFFFFF" w:themeColor="background1"/>
          <w:sz w:val="20"/>
          <w:szCs w:val="20"/>
          <w:lang w:val="bg-BG" w:eastAsia="cs-CZ"/>
        </w:rPr>
        <w:t>Приоритетна ос 4: Техническа помощ за структурите на администрацията, участващи в управлението и усвояването на ЕСИФ</w:t>
      </w:r>
    </w:p>
    <w:p w:rsidR="006F74A8" w:rsidRPr="00B45B4F" w:rsidRDefault="006F74A8" w:rsidP="006861B0">
      <w:pPr>
        <w:pStyle w:val="ListParagraph"/>
        <w:numPr>
          <w:ilvl w:val="0"/>
          <w:numId w:val="49"/>
        </w:numPr>
        <w:tabs>
          <w:tab w:val="left" w:pos="709"/>
        </w:tabs>
        <w:spacing w:after="120"/>
        <w:ind w:left="709" w:hanging="567"/>
        <w:jc w:val="both"/>
        <w:rPr>
          <w:rFonts w:ascii="Verdana" w:hAnsi="Verdana"/>
          <w:sz w:val="20"/>
          <w:szCs w:val="20"/>
          <w:lang w:val="bg-BG" w:eastAsia="cs-CZ"/>
        </w:rPr>
      </w:pPr>
      <w:r w:rsidRPr="00B45B4F">
        <w:rPr>
          <w:rFonts w:ascii="Verdana" w:hAnsi="Verdana"/>
          <w:bCs/>
          <w:iCs/>
          <w:sz w:val="20"/>
          <w:szCs w:val="20"/>
          <w:lang w:val="bg-BG"/>
        </w:rPr>
        <w:t>Подкрепа на хоризонталните структури, отговорни за изпълнението на ЕСИФ, чрез мерки за укрепване на капацитета в съответствие с идентифицираните нужди.</w:t>
      </w:r>
    </w:p>
    <w:p w:rsidR="006F74A8" w:rsidRPr="00B45B4F" w:rsidRDefault="006F74A8" w:rsidP="006861B0">
      <w:pPr>
        <w:pStyle w:val="ListParagraph"/>
        <w:numPr>
          <w:ilvl w:val="0"/>
          <w:numId w:val="49"/>
        </w:numPr>
        <w:tabs>
          <w:tab w:val="left" w:pos="709"/>
        </w:tabs>
        <w:spacing w:after="120"/>
        <w:ind w:left="709" w:hanging="567"/>
        <w:jc w:val="both"/>
        <w:rPr>
          <w:rFonts w:ascii="Verdana" w:hAnsi="Verdana"/>
          <w:sz w:val="20"/>
          <w:szCs w:val="20"/>
          <w:lang w:val="bg-BG" w:eastAsia="cs-CZ"/>
        </w:rPr>
      </w:pPr>
      <w:r w:rsidRPr="00B45B4F">
        <w:rPr>
          <w:rFonts w:ascii="Verdana" w:hAnsi="Verdana"/>
          <w:bCs/>
          <w:iCs/>
          <w:sz w:val="20"/>
          <w:szCs w:val="20"/>
          <w:lang w:val="bg-BG"/>
        </w:rPr>
        <w:t>Осигуряване на функционирането на ИСУН 2020 според нуждите на ЦИО, ЦКЗ, Сертифициращия орган, Одитния орган, Управляващите органи на ОП, Европейската комисия, кандидати и бенефициенти и широката общественост</w:t>
      </w:r>
    </w:p>
    <w:p w:rsidR="006F74A8" w:rsidRPr="00B45B4F" w:rsidRDefault="006F74A8" w:rsidP="006861B0">
      <w:pPr>
        <w:pStyle w:val="ListParagraph"/>
        <w:numPr>
          <w:ilvl w:val="0"/>
          <w:numId w:val="49"/>
        </w:numPr>
        <w:tabs>
          <w:tab w:val="left" w:pos="709"/>
        </w:tabs>
        <w:spacing w:after="120"/>
        <w:ind w:left="709" w:hanging="567"/>
        <w:jc w:val="both"/>
        <w:rPr>
          <w:rFonts w:ascii="Verdana" w:hAnsi="Verdana"/>
          <w:sz w:val="20"/>
          <w:szCs w:val="20"/>
          <w:lang w:val="bg-BG" w:eastAsia="cs-CZ"/>
        </w:rPr>
      </w:pPr>
      <w:r w:rsidRPr="00B45B4F">
        <w:rPr>
          <w:rFonts w:ascii="Verdana" w:hAnsi="Verdana"/>
          <w:bCs/>
          <w:iCs/>
          <w:sz w:val="20"/>
          <w:szCs w:val="20"/>
          <w:lang w:val="bg-BG"/>
        </w:rPr>
        <w:t>Подобряване на информираността на обществото за възможностите и резултатите от ЕСИФ в България, както и подобряване капацитета на бенефициентите</w:t>
      </w:r>
    </w:p>
    <w:p w:rsidR="006F74A8" w:rsidRPr="00B45B4F" w:rsidRDefault="007F2A5E" w:rsidP="004C3422">
      <w:pPr>
        <w:keepNext/>
        <w:spacing w:before="240" w:after="120"/>
        <w:rPr>
          <w:rFonts w:ascii="Verdana" w:hAnsi="Verdana"/>
          <w:b/>
          <w:color w:val="548DD4" w:themeColor="text2" w:themeTint="99"/>
          <w:sz w:val="20"/>
          <w:szCs w:val="20"/>
          <w:lang w:val="bg-BG"/>
        </w:rPr>
      </w:pPr>
      <w:bookmarkStart w:id="62" w:name="_Toc395612565"/>
      <w:r w:rsidRPr="00B45B4F">
        <w:rPr>
          <w:rFonts w:ascii="Verdana" w:hAnsi="Verdana"/>
          <w:b/>
          <w:color w:val="548DD4" w:themeColor="text2" w:themeTint="99"/>
          <w:sz w:val="20"/>
          <w:szCs w:val="20"/>
          <w:lang w:val="bg-BG"/>
        </w:rPr>
        <w:t>Таблица</w:t>
      </w:r>
      <w:r w:rsidR="00BF1936" w:rsidRPr="00B45B4F">
        <w:rPr>
          <w:rFonts w:ascii="Verdana" w:hAnsi="Verdana"/>
          <w:b/>
          <w:color w:val="548DD4" w:themeColor="text2" w:themeTint="99"/>
          <w:sz w:val="20"/>
          <w:szCs w:val="20"/>
          <w:lang w:val="bg-BG"/>
        </w:rPr>
        <w:fldChar w:fldCharType="begin"/>
      </w:r>
      <w:r w:rsidR="006F74A8" w:rsidRPr="00B45B4F">
        <w:rPr>
          <w:rFonts w:ascii="Verdana" w:hAnsi="Verdana"/>
          <w:b/>
          <w:color w:val="548DD4" w:themeColor="text2" w:themeTint="99"/>
          <w:sz w:val="20"/>
          <w:szCs w:val="20"/>
          <w:lang w:val="bg-BG"/>
        </w:rPr>
        <w:instrText xml:space="preserve"> SEQ </w:instrText>
      </w:r>
      <w:r w:rsidRPr="00B45B4F">
        <w:rPr>
          <w:rFonts w:ascii="Verdana" w:hAnsi="Verdana"/>
          <w:b/>
          <w:color w:val="548DD4" w:themeColor="text2" w:themeTint="99"/>
          <w:sz w:val="20"/>
          <w:szCs w:val="20"/>
          <w:lang w:val="bg-BG"/>
        </w:rPr>
        <w:instrText>Таблица</w:instrText>
      </w:r>
      <w:r w:rsidR="006F74A8" w:rsidRPr="00B45B4F">
        <w:rPr>
          <w:rFonts w:ascii="Verdana" w:hAnsi="Verdana"/>
          <w:b/>
          <w:color w:val="548DD4" w:themeColor="text2" w:themeTint="99"/>
          <w:sz w:val="20"/>
          <w:szCs w:val="20"/>
          <w:lang w:val="bg-BG"/>
        </w:rPr>
        <w:instrText xml:space="preserve"> \* ARABIC </w:instrText>
      </w:r>
      <w:r w:rsidR="00BF1936" w:rsidRPr="00B45B4F">
        <w:rPr>
          <w:rFonts w:ascii="Verdana" w:hAnsi="Verdana"/>
          <w:b/>
          <w:color w:val="548DD4" w:themeColor="text2" w:themeTint="99"/>
          <w:sz w:val="20"/>
          <w:szCs w:val="20"/>
          <w:lang w:val="bg-BG"/>
        </w:rPr>
        <w:fldChar w:fldCharType="separate"/>
      </w:r>
      <w:r w:rsidR="001361E0">
        <w:rPr>
          <w:rFonts w:ascii="Verdana" w:hAnsi="Verdana"/>
          <w:b/>
          <w:noProof/>
          <w:color w:val="548DD4" w:themeColor="text2" w:themeTint="99"/>
          <w:sz w:val="20"/>
          <w:szCs w:val="20"/>
          <w:lang w:val="bg-BG"/>
        </w:rPr>
        <w:t>9</w:t>
      </w:r>
      <w:r w:rsidR="00BF1936" w:rsidRPr="00B45B4F">
        <w:rPr>
          <w:rFonts w:ascii="Verdana" w:hAnsi="Verdana"/>
          <w:b/>
          <w:color w:val="548DD4" w:themeColor="text2" w:themeTint="99"/>
          <w:sz w:val="20"/>
          <w:szCs w:val="20"/>
          <w:lang w:val="bg-BG"/>
        </w:rPr>
        <w:fldChar w:fldCharType="end"/>
      </w:r>
      <w:r w:rsidR="00ED77E9">
        <w:rPr>
          <w:rFonts w:ascii="Verdana" w:hAnsi="Verdana"/>
          <w:b/>
          <w:color w:val="548DD4" w:themeColor="text2" w:themeTint="99"/>
          <w:sz w:val="20"/>
          <w:szCs w:val="20"/>
          <w:lang w:val="bg-BG"/>
        </w:rPr>
        <w:t>.</w:t>
      </w:r>
      <w:r w:rsidR="006F74A8" w:rsidRPr="00B45B4F">
        <w:rPr>
          <w:rFonts w:ascii="Verdana" w:hAnsi="Verdana"/>
          <w:b/>
          <w:color w:val="548DD4" w:themeColor="text2" w:themeTint="99"/>
          <w:sz w:val="20"/>
          <w:szCs w:val="20"/>
          <w:lang w:val="bg-BG"/>
        </w:rPr>
        <w:t xml:space="preserve"> Връзки между приоритетите на ОПНОИР и ОПДУ</w:t>
      </w:r>
      <w:bookmarkEnd w:id="62"/>
    </w:p>
    <w:tbl>
      <w:tblPr>
        <w:tblW w:w="9644" w:type="dxa"/>
        <w:tblInd w:w="94" w:type="dxa"/>
        <w:tblLayout w:type="fixed"/>
        <w:tblLook w:val="04A0" w:firstRow="1" w:lastRow="0" w:firstColumn="1" w:lastColumn="0" w:noHBand="0" w:noVBand="1"/>
      </w:tblPr>
      <w:tblGrid>
        <w:gridCol w:w="2392"/>
        <w:gridCol w:w="1222"/>
        <w:gridCol w:w="900"/>
        <w:gridCol w:w="810"/>
        <w:gridCol w:w="810"/>
        <w:gridCol w:w="810"/>
        <w:gridCol w:w="810"/>
        <w:gridCol w:w="900"/>
        <w:gridCol w:w="990"/>
      </w:tblGrid>
      <w:tr w:rsidR="006F74A8" w:rsidRPr="00B45B4F" w:rsidTr="00F55866">
        <w:trPr>
          <w:trHeight w:val="510"/>
        </w:trPr>
        <w:tc>
          <w:tcPr>
            <w:tcW w:w="2392" w:type="dxa"/>
            <w:tcBorders>
              <w:top w:val="single" w:sz="4" w:space="0" w:color="auto"/>
              <w:left w:val="single" w:sz="4" w:space="0" w:color="auto"/>
              <w:bottom w:val="single" w:sz="4" w:space="0" w:color="auto"/>
              <w:right w:val="single" w:sz="4" w:space="0" w:color="auto"/>
            </w:tcBorders>
            <w:shd w:val="clear" w:color="000000" w:fill="548DD4"/>
            <w:vAlign w:val="center"/>
            <w:hideMark/>
          </w:tcPr>
          <w:p w:rsidR="006F74A8" w:rsidRPr="00B45B4F" w:rsidRDefault="006F74A8" w:rsidP="006F74A8">
            <w:pPr>
              <w:spacing w:after="0" w:line="240" w:lineRule="auto"/>
              <w:jc w:val="center"/>
              <w:rPr>
                <w:rFonts w:ascii="Verdana" w:eastAsia="Times New Roman" w:hAnsi="Verdana"/>
                <w:bCs/>
                <w:color w:val="FFFFFF"/>
                <w:sz w:val="18"/>
                <w:szCs w:val="18"/>
                <w:lang w:val="bg-BG"/>
              </w:rPr>
            </w:pPr>
            <w:r w:rsidRPr="00B45B4F">
              <w:rPr>
                <w:rFonts w:ascii="Verdana" w:eastAsia="Times New Roman" w:hAnsi="Verdana"/>
                <w:bCs/>
                <w:color w:val="FFFFFF"/>
                <w:sz w:val="18"/>
                <w:szCs w:val="18"/>
                <w:lang w:val="bg-BG"/>
              </w:rPr>
              <w:t>Оперативна програма / приоритетна ос</w:t>
            </w:r>
          </w:p>
        </w:tc>
        <w:tc>
          <w:tcPr>
            <w:tcW w:w="1222" w:type="dxa"/>
            <w:tcBorders>
              <w:top w:val="single" w:sz="4" w:space="0" w:color="auto"/>
              <w:left w:val="nil"/>
              <w:bottom w:val="single" w:sz="4" w:space="0" w:color="auto"/>
              <w:right w:val="single" w:sz="4" w:space="0" w:color="auto"/>
            </w:tcBorders>
            <w:shd w:val="clear" w:color="000000" w:fill="548DD4"/>
            <w:vAlign w:val="center"/>
            <w:hideMark/>
          </w:tcPr>
          <w:p w:rsidR="006F74A8" w:rsidRPr="00B45B4F" w:rsidRDefault="006F74A8" w:rsidP="006F74A8">
            <w:pPr>
              <w:spacing w:after="0" w:line="240" w:lineRule="auto"/>
              <w:jc w:val="center"/>
              <w:rPr>
                <w:rFonts w:ascii="Verdana" w:eastAsia="Times New Roman" w:hAnsi="Verdana"/>
                <w:bCs/>
                <w:color w:val="FFFFFF"/>
                <w:sz w:val="18"/>
                <w:szCs w:val="18"/>
                <w:lang w:val="bg-BG"/>
              </w:rPr>
            </w:pPr>
            <w:r w:rsidRPr="00B45B4F">
              <w:rPr>
                <w:rFonts w:ascii="Verdana" w:eastAsia="Times New Roman" w:hAnsi="Verdana"/>
                <w:bCs/>
                <w:color w:val="FFFFFF"/>
                <w:sz w:val="18"/>
                <w:szCs w:val="18"/>
                <w:lang w:val="bg-BG"/>
              </w:rPr>
              <w:t>ОПНОИР</w:t>
            </w:r>
          </w:p>
        </w:tc>
        <w:tc>
          <w:tcPr>
            <w:tcW w:w="1710" w:type="dxa"/>
            <w:gridSpan w:val="2"/>
            <w:tcBorders>
              <w:top w:val="single" w:sz="4" w:space="0" w:color="auto"/>
              <w:left w:val="nil"/>
              <w:bottom w:val="single" w:sz="4" w:space="0" w:color="auto"/>
              <w:right w:val="single" w:sz="4" w:space="0" w:color="auto"/>
            </w:tcBorders>
            <w:shd w:val="clear" w:color="000000" w:fill="548DD4"/>
            <w:vAlign w:val="center"/>
            <w:hideMark/>
          </w:tcPr>
          <w:p w:rsidR="006F74A8" w:rsidRPr="00B45B4F" w:rsidRDefault="006F74A8" w:rsidP="006F74A8">
            <w:pPr>
              <w:spacing w:after="0" w:line="240" w:lineRule="auto"/>
              <w:jc w:val="center"/>
              <w:rPr>
                <w:rFonts w:ascii="Verdana" w:eastAsia="Times New Roman" w:hAnsi="Verdana"/>
                <w:color w:val="FFFFFF"/>
                <w:sz w:val="18"/>
                <w:szCs w:val="18"/>
                <w:lang w:val="bg-BG"/>
              </w:rPr>
            </w:pPr>
            <w:r w:rsidRPr="00B45B4F">
              <w:rPr>
                <w:rFonts w:ascii="Verdana" w:eastAsia="Times New Roman" w:hAnsi="Verdana"/>
                <w:color w:val="FFFFFF"/>
                <w:sz w:val="18"/>
                <w:szCs w:val="18"/>
                <w:lang w:val="bg-BG"/>
              </w:rPr>
              <w:t>ПО 1: Научни изследвания и техн. развитие</w:t>
            </w:r>
          </w:p>
        </w:tc>
        <w:tc>
          <w:tcPr>
            <w:tcW w:w="2430" w:type="dxa"/>
            <w:gridSpan w:val="3"/>
            <w:tcBorders>
              <w:top w:val="single" w:sz="4" w:space="0" w:color="auto"/>
              <w:left w:val="nil"/>
              <w:bottom w:val="single" w:sz="4" w:space="0" w:color="auto"/>
              <w:right w:val="single" w:sz="4" w:space="0" w:color="auto"/>
            </w:tcBorders>
            <w:shd w:val="clear" w:color="000000" w:fill="548DD4"/>
            <w:vAlign w:val="center"/>
            <w:hideMark/>
          </w:tcPr>
          <w:p w:rsidR="006F74A8" w:rsidRPr="00B45B4F" w:rsidRDefault="006F74A8" w:rsidP="006F74A8">
            <w:pPr>
              <w:spacing w:after="0" w:line="240" w:lineRule="auto"/>
              <w:jc w:val="center"/>
              <w:rPr>
                <w:rFonts w:ascii="Verdana" w:eastAsia="Times New Roman" w:hAnsi="Verdana"/>
                <w:color w:val="FFFFFF"/>
                <w:sz w:val="18"/>
                <w:szCs w:val="18"/>
                <w:lang w:val="bg-BG"/>
              </w:rPr>
            </w:pPr>
            <w:r w:rsidRPr="00B45B4F">
              <w:rPr>
                <w:rFonts w:ascii="Verdana" w:eastAsia="Times New Roman" w:hAnsi="Verdana"/>
                <w:color w:val="FFFFFF"/>
                <w:sz w:val="18"/>
                <w:szCs w:val="18"/>
                <w:lang w:val="bg-BG"/>
              </w:rPr>
              <w:t>ПО 2: Образование и учене през целия живот</w:t>
            </w:r>
          </w:p>
        </w:tc>
        <w:tc>
          <w:tcPr>
            <w:tcW w:w="1890" w:type="dxa"/>
            <w:gridSpan w:val="2"/>
            <w:tcBorders>
              <w:top w:val="single" w:sz="4" w:space="0" w:color="auto"/>
              <w:left w:val="nil"/>
              <w:bottom w:val="single" w:sz="4" w:space="0" w:color="auto"/>
              <w:right w:val="single" w:sz="4" w:space="0" w:color="auto"/>
            </w:tcBorders>
            <w:shd w:val="clear" w:color="000000" w:fill="548DD4"/>
            <w:vAlign w:val="center"/>
            <w:hideMark/>
          </w:tcPr>
          <w:p w:rsidR="006F74A8" w:rsidRPr="00B45B4F" w:rsidRDefault="006F74A8" w:rsidP="006F74A8">
            <w:pPr>
              <w:spacing w:after="0" w:line="240" w:lineRule="auto"/>
              <w:ind w:left="-100" w:right="-72"/>
              <w:jc w:val="center"/>
              <w:rPr>
                <w:rFonts w:ascii="Verdana" w:eastAsia="Times New Roman" w:hAnsi="Verdana"/>
                <w:color w:val="FFFFFF"/>
                <w:sz w:val="18"/>
                <w:szCs w:val="18"/>
                <w:lang w:val="bg-BG"/>
              </w:rPr>
            </w:pPr>
            <w:r w:rsidRPr="00B45B4F">
              <w:rPr>
                <w:rFonts w:ascii="Verdana" w:eastAsia="Times New Roman" w:hAnsi="Verdana"/>
                <w:color w:val="FFFFFF"/>
                <w:sz w:val="18"/>
                <w:szCs w:val="18"/>
                <w:lang w:val="bg-BG"/>
              </w:rPr>
              <w:t>ПО 3: Образ. среда за активно соц. приобщаване</w:t>
            </w:r>
          </w:p>
        </w:tc>
      </w:tr>
      <w:tr w:rsidR="006F74A8" w:rsidRPr="00B45B4F" w:rsidTr="00AF6F4A">
        <w:trPr>
          <w:trHeight w:val="300"/>
        </w:trPr>
        <w:tc>
          <w:tcPr>
            <w:tcW w:w="2392" w:type="dxa"/>
            <w:tcBorders>
              <w:top w:val="nil"/>
              <w:left w:val="single" w:sz="4" w:space="0" w:color="auto"/>
              <w:bottom w:val="single" w:sz="4" w:space="0" w:color="auto"/>
              <w:right w:val="single" w:sz="4" w:space="0" w:color="auto"/>
            </w:tcBorders>
            <w:shd w:val="clear" w:color="auto" w:fill="548DD4" w:themeFill="text2" w:themeFillTint="99"/>
            <w:vAlign w:val="center"/>
            <w:hideMark/>
          </w:tcPr>
          <w:p w:rsidR="006F74A8" w:rsidRPr="00B45B4F" w:rsidRDefault="006F74A8" w:rsidP="006F74A8">
            <w:pPr>
              <w:spacing w:after="0" w:line="240" w:lineRule="auto"/>
              <w:jc w:val="center"/>
              <w:rPr>
                <w:rFonts w:ascii="Verdana" w:eastAsia="Times New Roman" w:hAnsi="Verdana"/>
                <w:bCs/>
                <w:color w:val="FFFFFF"/>
                <w:sz w:val="18"/>
                <w:szCs w:val="18"/>
                <w:lang w:val="bg-BG"/>
              </w:rPr>
            </w:pPr>
            <w:r w:rsidRPr="00B45B4F">
              <w:rPr>
                <w:rFonts w:ascii="Verdana" w:eastAsia="Times New Roman" w:hAnsi="Verdana"/>
                <w:bCs/>
                <w:color w:val="FFFFFF"/>
                <w:sz w:val="18"/>
                <w:szCs w:val="18"/>
                <w:lang w:val="bg-BG"/>
              </w:rPr>
              <w:t>ОПДУ</w:t>
            </w:r>
          </w:p>
        </w:tc>
        <w:tc>
          <w:tcPr>
            <w:tcW w:w="1222" w:type="dxa"/>
            <w:tcBorders>
              <w:top w:val="nil"/>
              <w:left w:val="nil"/>
              <w:bottom w:val="single" w:sz="4" w:space="0" w:color="auto"/>
              <w:right w:val="single" w:sz="4" w:space="0" w:color="auto"/>
            </w:tcBorders>
            <w:shd w:val="clear" w:color="000000" w:fill="C6D9F1"/>
            <w:vAlign w:val="bottom"/>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Приоритет</w:t>
            </w:r>
          </w:p>
        </w:tc>
        <w:tc>
          <w:tcPr>
            <w:tcW w:w="900" w:type="dxa"/>
            <w:tcBorders>
              <w:top w:val="nil"/>
              <w:left w:val="nil"/>
              <w:bottom w:val="single" w:sz="4" w:space="0" w:color="auto"/>
              <w:right w:val="single" w:sz="4" w:space="0" w:color="auto"/>
            </w:tcBorders>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1.1</w:t>
            </w:r>
          </w:p>
        </w:tc>
        <w:tc>
          <w:tcPr>
            <w:tcW w:w="810" w:type="dxa"/>
            <w:tcBorders>
              <w:top w:val="nil"/>
              <w:left w:val="nil"/>
              <w:bottom w:val="single" w:sz="4" w:space="0" w:color="auto"/>
              <w:right w:val="single" w:sz="4" w:space="0" w:color="auto"/>
            </w:tcBorders>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1.2</w:t>
            </w:r>
          </w:p>
        </w:tc>
        <w:tc>
          <w:tcPr>
            <w:tcW w:w="810" w:type="dxa"/>
            <w:tcBorders>
              <w:top w:val="nil"/>
              <w:left w:val="nil"/>
              <w:bottom w:val="single" w:sz="4" w:space="0" w:color="auto"/>
              <w:right w:val="single" w:sz="4" w:space="0" w:color="auto"/>
            </w:tcBorders>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2.1</w:t>
            </w:r>
          </w:p>
        </w:tc>
        <w:tc>
          <w:tcPr>
            <w:tcW w:w="810" w:type="dxa"/>
            <w:tcBorders>
              <w:top w:val="nil"/>
              <w:left w:val="nil"/>
              <w:bottom w:val="single" w:sz="4" w:space="0" w:color="auto"/>
              <w:right w:val="single" w:sz="4" w:space="0" w:color="auto"/>
            </w:tcBorders>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2.2</w:t>
            </w:r>
          </w:p>
        </w:tc>
        <w:tc>
          <w:tcPr>
            <w:tcW w:w="810" w:type="dxa"/>
            <w:tcBorders>
              <w:top w:val="nil"/>
              <w:left w:val="nil"/>
              <w:bottom w:val="single" w:sz="4" w:space="0" w:color="auto"/>
              <w:right w:val="single" w:sz="4" w:space="0" w:color="auto"/>
            </w:tcBorders>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2.3</w:t>
            </w:r>
          </w:p>
        </w:tc>
        <w:tc>
          <w:tcPr>
            <w:tcW w:w="900" w:type="dxa"/>
            <w:tcBorders>
              <w:top w:val="nil"/>
              <w:left w:val="nil"/>
              <w:bottom w:val="single" w:sz="4" w:space="0" w:color="auto"/>
              <w:right w:val="single" w:sz="4" w:space="0" w:color="auto"/>
            </w:tcBorders>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3.1</w:t>
            </w:r>
          </w:p>
        </w:tc>
        <w:tc>
          <w:tcPr>
            <w:tcW w:w="990" w:type="dxa"/>
            <w:tcBorders>
              <w:top w:val="nil"/>
              <w:left w:val="nil"/>
              <w:bottom w:val="single" w:sz="4" w:space="0" w:color="auto"/>
              <w:right w:val="single" w:sz="4" w:space="0" w:color="auto"/>
            </w:tcBorders>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3.2</w:t>
            </w:r>
          </w:p>
        </w:tc>
      </w:tr>
      <w:tr w:rsidR="00382753" w:rsidRPr="00B45B4F" w:rsidTr="00AF6F4A">
        <w:trPr>
          <w:trHeight w:val="330"/>
        </w:trPr>
        <w:tc>
          <w:tcPr>
            <w:tcW w:w="2392" w:type="dxa"/>
            <w:vMerge w:val="restart"/>
            <w:tcBorders>
              <w:top w:val="nil"/>
              <w:left w:val="single" w:sz="4" w:space="0" w:color="auto"/>
              <w:bottom w:val="single" w:sz="4" w:space="0" w:color="auto"/>
              <w:right w:val="single" w:sz="4" w:space="0" w:color="auto"/>
            </w:tcBorders>
            <w:shd w:val="clear" w:color="auto" w:fill="548DD4" w:themeFill="text2" w:themeFillTint="99"/>
            <w:vAlign w:val="center"/>
            <w:hideMark/>
          </w:tcPr>
          <w:p w:rsidR="00382753" w:rsidRPr="00B45B4F" w:rsidRDefault="00382753" w:rsidP="006F74A8">
            <w:pPr>
              <w:spacing w:after="0" w:line="240" w:lineRule="auto"/>
              <w:jc w:val="center"/>
              <w:rPr>
                <w:rFonts w:ascii="Verdana" w:eastAsia="Times New Roman" w:hAnsi="Verdana"/>
                <w:bCs/>
                <w:color w:val="FFFFFF"/>
                <w:sz w:val="18"/>
                <w:szCs w:val="18"/>
                <w:lang w:val="bg-BG"/>
              </w:rPr>
            </w:pPr>
            <w:r w:rsidRPr="00B45B4F">
              <w:rPr>
                <w:rFonts w:ascii="Verdana" w:eastAsia="Times New Roman" w:hAnsi="Verdana"/>
                <w:bCs/>
                <w:color w:val="FFFFFF"/>
                <w:sz w:val="18"/>
                <w:szCs w:val="18"/>
                <w:lang w:val="bg-BG"/>
              </w:rPr>
              <w:t>ПО 1:</w:t>
            </w:r>
            <w:r w:rsidRPr="00B45B4F">
              <w:rPr>
                <w:rFonts w:ascii="Verdana" w:eastAsia="Times New Roman" w:hAnsi="Verdana"/>
                <w:color w:val="FFFFFF"/>
                <w:sz w:val="18"/>
                <w:szCs w:val="18"/>
                <w:lang w:val="bg-BG"/>
              </w:rPr>
              <w:t xml:space="preserve"> Административно обслужване и е-управление</w:t>
            </w:r>
          </w:p>
        </w:tc>
        <w:tc>
          <w:tcPr>
            <w:tcW w:w="1222" w:type="dxa"/>
            <w:tcBorders>
              <w:top w:val="nil"/>
              <w:left w:val="nil"/>
              <w:bottom w:val="single" w:sz="4" w:space="0" w:color="auto"/>
              <w:right w:val="single" w:sz="4" w:space="0" w:color="auto"/>
            </w:tcBorders>
            <w:shd w:val="clear" w:color="000000" w:fill="C6D9F1"/>
            <w:vAlign w:val="center"/>
            <w:hideMark/>
          </w:tcPr>
          <w:p w:rsidR="00382753" w:rsidRPr="00B45B4F" w:rsidRDefault="00382753"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1.1</w:t>
            </w:r>
          </w:p>
        </w:tc>
        <w:tc>
          <w:tcPr>
            <w:tcW w:w="900" w:type="dxa"/>
            <w:tcBorders>
              <w:top w:val="nil"/>
              <w:left w:val="nil"/>
              <w:bottom w:val="single" w:sz="4" w:space="0" w:color="auto"/>
              <w:right w:val="single" w:sz="4" w:space="0" w:color="auto"/>
            </w:tcBorders>
            <w:shd w:val="clear" w:color="auto" w:fill="auto"/>
            <w:vAlign w:val="center"/>
            <w:hideMark/>
          </w:tcPr>
          <w:p w:rsidR="00382753" w:rsidRPr="00B45B4F" w:rsidRDefault="00382753" w:rsidP="006F74A8">
            <w:pPr>
              <w:spacing w:after="0" w:line="240" w:lineRule="auto"/>
              <w:jc w:val="center"/>
              <w:rPr>
                <w:rFonts w:ascii="Verdana" w:eastAsia="Times New Roman" w:hAnsi="Verdana"/>
                <w:color w:val="0070C0"/>
                <w:sz w:val="18"/>
                <w:szCs w:val="18"/>
                <w:lang w:val="bg-BG"/>
              </w:rPr>
            </w:pPr>
          </w:p>
        </w:tc>
        <w:tc>
          <w:tcPr>
            <w:tcW w:w="810" w:type="dxa"/>
            <w:tcBorders>
              <w:top w:val="nil"/>
              <w:left w:val="nil"/>
              <w:bottom w:val="single" w:sz="4" w:space="0" w:color="auto"/>
              <w:right w:val="single" w:sz="4" w:space="0" w:color="auto"/>
            </w:tcBorders>
            <w:shd w:val="clear" w:color="auto" w:fill="auto"/>
            <w:vAlign w:val="center"/>
            <w:hideMark/>
          </w:tcPr>
          <w:p w:rsidR="00382753" w:rsidRPr="00B45B4F" w:rsidRDefault="00382753" w:rsidP="006F74A8">
            <w:pPr>
              <w:spacing w:after="0" w:line="240" w:lineRule="auto"/>
              <w:jc w:val="center"/>
              <w:rPr>
                <w:rFonts w:ascii="Verdana" w:eastAsia="Times New Roman" w:hAnsi="Verdana"/>
                <w:color w:val="0070C0"/>
                <w:sz w:val="18"/>
                <w:szCs w:val="18"/>
                <w:lang w:val="bg-BG"/>
              </w:rPr>
            </w:pPr>
          </w:p>
        </w:tc>
        <w:tc>
          <w:tcPr>
            <w:tcW w:w="810" w:type="dxa"/>
            <w:tcBorders>
              <w:top w:val="nil"/>
              <w:left w:val="nil"/>
              <w:bottom w:val="single" w:sz="4" w:space="0" w:color="auto"/>
              <w:right w:val="single" w:sz="4" w:space="0" w:color="auto"/>
            </w:tcBorders>
            <w:shd w:val="clear" w:color="auto" w:fill="auto"/>
            <w:vAlign w:val="center"/>
            <w:hideMark/>
          </w:tcPr>
          <w:p w:rsidR="00382753" w:rsidRPr="00B45B4F" w:rsidRDefault="00382753" w:rsidP="00382753">
            <w:pPr>
              <w:spacing w:after="0"/>
              <w:jc w:val="center"/>
              <w:rPr>
                <w:lang w:val="bg-BG"/>
              </w:rPr>
            </w:pPr>
            <w:r w:rsidRPr="00B45B4F">
              <w:rPr>
                <w:rFonts w:ascii="Wingdings 2" w:eastAsia="Times New Roman" w:hAnsi="Wingdings 2"/>
                <w:color w:val="0070C0"/>
                <w:sz w:val="26"/>
                <w:szCs w:val="26"/>
                <w:lang w:val="bg-BG"/>
              </w:rPr>
              <w:t></w:t>
            </w:r>
          </w:p>
        </w:tc>
        <w:tc>
          <w:tcPr>
            <w:tcW w:w="810" w:type="dxa"/>
            <w:tcBorders>
              <w:top w:val="nil"/>
              <w:left w:val="nil"/>
              <w:bottom w:val="single" w:sz="4" w:space="0" w:color="auto"/>
              <w:right w:val="single" w:sz="4" w:space="0" w:color="auto"/>
            </w:tcBorders>
            <w:shd w:val="clear" w:color="auto" w:fill="auto"/>
            <w:vAlign w:val="center"/>
            <w:hideMark/>
          </w:tcPr>
          <w:p w:rsidR="00382753" w:rsidRPr="00B45B4F" w:rsidRDefault="00382753" w:rsidP="00382753">
            <w:pPr>
              <w:spacing w:after="0"/>
              <w:jc w:val="center"/>
              <w:rPr>
                <w:lang w:val="bg-BG"/>
              </w:rPr>
            </w:pPr>
            <w:r w:rsidRPr="00B45B4F">
              <w:rPr>
                <w:rFonts w:ascii="Wingdings 2" w:eastAsia="Times New Roman" w:hAnsi="Wingdings 2"/>
                <w:color w:val="0070C0"/>
                <w:sz w:val="26"/>
                <w:szCs w:val="26"/>
                <w:lang w:val="bg-BG"/>
              </w:rPr>
              <w:t></w:t>
            </w:r>
          </w:p>
        </w:tc>
        <w:tc>
          <w:tcPr>
            <w:tcW w:w="810" w:type="dxa"/>
            <w:tcBorders>
              <w:top w:val="nil"/>
              <w:left w:val="nil"/>
              <w:bottom w:val="single" w:sz="4" w:space="0" w:color="auto"/>
              <w:right w:val="single" w:sz="4" w:space="0" w:color="auto"/>
            </w:tcBorders>
            <w:shd w:val="clear" w:color="auto" w:fill="auto"/>
            <w:vAlign w:val="center"/>
            <w:hideMark/>
          </w:tcPr>
          <w:p w:rsidR="00382753" w:rsidRPr="00B45B4F" w:rsidRDefault="00382753" w:rsidP="00382753">
            <w:pPr>
              <w:spacing w:after="0"/>
              <w:jc w:val="center"/>
              <w:rPr>
                <w:lang w:val="bg-BG"/>
              </w:rPr>
            </w:pPr>
            <w:r w:rsidRPr="00B45B4F">
              <w:rPr>
                <w:rFonts w:ascii="Wingdings 2" w:eastAsia="Times New Roman" w:hAnsi="Wingdings 2"/>
                <w:color w:val="0070C0"/>
                <w:sz w:val="26"/>
                <w:szCs w:val="26"/>
                <w:lang w:val="bg-BG"/>
              </w:rPr>
              <w:t></w:t>
            </w:r>
          </w:p>
        </w:tc>
        <w:tc>
          <w:tcPr>
            <w:tcW w:w="900" w:type="dxa"/>
            <w:tcBorders>
              <w:top w:val="nil"/>
              <w:left w:val="nil"/>
              <w:bottom w:val="single" w:sz="4" w:space="0" w:color="auto"/>
              <w:right w:val="single" w:sz="4" w:space="0" w:color="auto"/>
            </w:tcBorders>
            <w:shd w:val="clear" w:color="auto" w:fill="auto"/>
            <w:vAlign w:val="center"/>
            <w:hideMark/>
          </w:tcPr>
          <w:p w:rsidR="00382753" w:rsidRPr="00B45B4F" w:rsidRDefault="00382753" w:rsidP="006F74A8">
            <w:pPr>
              <w:spacing w:after="0" w:line="240" w:lineRule="auto"/>
              <w:jc w:val="center"/>
              <w:rPr>
                <w:rFonts w:ascii="Verdana" w:eastAsia="Times New Roman" w:hAnsi="Verdana"/>
                <w:color w:val="0070C0"/>
                <w:sz w:val="18"/>
                <w:szCs w:val="18"/>
                <w:lang w:val="bg-BG"/>
              </w:rPr>
            </w:pPr>
          </w:p>
        </w:tc>
        <w:tc>
          <w:tcPr>
            <w:tcW w:w="990" w:type="dxa"/>
            <w:tcBorders>
              <w:top w:val="nil"/>
              <w:left w:val="nil"/>
              <w:bottom w:val="single" w:sz="4" w:space="0" w:color="auto"/>
              <w:right w:val="single" w:sz="4" w:space="0" w:color="auto"/>
            </w:tcBorders>
            <w:shd w:val="clear" w:color="auto" w:fill="auto"/>
            <w:vAlign w:val="center"/>
            <w:hideMark/>
          </w:tcPr>
          <w:p w:rsidR="00382753" w:rsidRPr="00B45B4F" w:rsidRDefault="00382753" w:rsidP="006F74A8">
            <w:pPr>
              <w:spacing w:after="0" w:line="240" w:lineRule="auto"/>
              <w:jc w:val="center"/>
              <w:rPr>
                <w:rFonts w:ascii="Verdana" w:eastAsia="Times New Roman" w:hAnsi="Verdana"/>
                <w:color w:val="000000"/>
                <w:sz w:val="18"/>
                <w:szCs w:val="18"/>
                <w:lang w:val="bg-BG"/>
              </w:rPr>
            </w:pPr>
          </w:p>
        </w:tc>
      </w:tr>
      <w:tr w:rsidR="00382753" w:rsidRPr="00B45B4F" w:rsidTr="00AF6F4A">
        <w:trPr>
          <w:trHeight w:val="330"/>
        </w:trPr>
        <w:tc>
          <w:tcPr>
            <w:tcW w:w="2392" w:type="dxa"/>
            <w:vMerge/>
            <w:tcBorders>
              <w:top w:val="nil"/>
              <w:left w:val="single" w:sz="4" w:space="0" w:color="auto"/>
              <w:bottom w:val="single" w:sz="4" w:space="0" w:color="auto"/>
              <w:right w:val="single" w:sz="4" w:space="0" w:color="auto"/>
            </w:tcBorders>
            <w:shd w:val="clear" w:color="auto" w:fill="548DD4" w:themeFill="text2" w:themeFillTint="99"/>
            <w:vAlign w:val="center"/>
            <w:hideMark/>
          </w:tcPr>
          <w:p w:rsidR="00382753" w:rsidRPr="00B45B4F" w:rsidRDefault="00382753" w:rsidP="006F74A8">
            <w:pPr>
              <w:spacing w:after="0" w:line="240" w:lineRule="auto"/>
              <w:jc w:val="center"/>
              <w:rPr>
                <w:rFonts w:ascii="Verdana" w:eastAsia="Times New Roman" w:hAnsi="Verdana"/>
                <w:bCs/>
                <w:color w:val="FFFFFF"/>
                <w:sz w:val="18"/>
                <w:szCs w:val="18"/>
                <w:lang w:val="bg-BG"/>
              </w:rPr>
            </w:pPr>
          </w:p>
        </w:tc>
        <w:tc>
          <w:tcPr>
            <w:tcW w:w="1222" w:type="dxa"/>
            <w:tcBorders>
              <w:top w:val="nil"/>
              <w:left w:val="nil"/>
              <w:bottom w:val="single" w:sz="4" w:space="0" w:color="auto"/>
              <w:right w:val="single" w:sz="4" w:space="0" w:color="auto"/>
            </w:tcBorders>
            <w:shd w:val="clear" w:color="000000" w:fill="C6D9F1"/>
            <w:vAlign w:val="center"/>
            <w:hideMark/>
          </w:tcPr>
          <w:p w:rsidR="00382753" w:rsidRPr="00B45B4F" w:rsidRDefault="00382753"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1.2</w:t>
            </w:r>
          </w:p>
        </w:tc>
        <w:tc>
          <w:tcPr>
            <w:tcW w:w="900" w:type="dxa"/>
            <w:tcBorders>
              <w:top w:val="nil"/>
              <w:left w:val="nil"/>
              <w:bottom w:val="single" w:sz="4" w:space="0" w:color="auto"/>
              <w:right w:val="single" w:sz="4" w:space="0" w:color="auto"/>
            </w:tcBorders>
            <w:shd w:val="clear" w:color="auto" w:fill="auto"/>
            <w:vAlign w:val="center"/>
            <w:hideMark/>
          </w:tcPr>
          <w:p w:rsidR="00382753" w:rsidRPr="00B45B4F" w:rsidRDefault="00382753" w:rsidP="006F74A8">
            <w:pPr>
              <w:spacing w:after="0" w:line="240" w:lineRule="auto"/>
              <w:jc w:val="center"/>
              <w:rPr>
                <w:rFonts w:ascii="Verdana" w:eastAsia="Times New Roman" w:hAnsi="Verdana"/>
                <w:color w:val="0070C0"/>
                <w:sz w:val="18"/>
                <w:szCs w:val="18"/>
                <w:lang w:val="bg-BG"/>
              </w:rPr>
            </w:pPr>
          </w:p>
        </w:tc>
        <w:tc>
          <w:tcPr>
            <w:tcW w:w="810" w:type="dxa"/>
            <w:tcBorders>
              <w:top w:val="nil"/>
              <w:left w:val="nil"/>
              <w:bottom w:val="single" w:sz="4" w:space="0" w:color="auto"/>
              <w:right w:val="single" w:sz="4" w:space="0" w:color="auto"/>
            </w:tcBorders>
            <w:shd w:val="clear" w:color="auto" w:fill="auto"/>
            <w:vAlign w:val="center"/>
            <w:hideMark/>
          </w:tcPr>
          <w:p w:rsidR="00382753" w:rsidRPr="00B45B4F" w:rsidRDefault="00382753" w:rsidP="006F74A8">
            <w:pPr>
              <w:spacing w:after="0" w:line="240" w:lineRule="auto"/>
              <w:jc w:val="center"/>
              <w:rPr>
                <w:rFonts w:ascii="Verdana" w:eastAsia="Times New Roman" w:hAnsi="Verdana"/>
                <w:color w:val="0070C0"/>
                <w:sz w:val="18"/>
                <w:szCs w:val="18"/>
                <w:lang w:val="bg-BG"/>
              </w:rPr>
            </w:pPr>
          </w:p>
        </w:tc>
        <w:tc>
          <w:tcPr>
            <w:tcW w:w="810" w:type="dxa"/>
            <w:tcBorders>
              <w:top w:val="nil"/>
              <w:left w:val="nil"/>
              <w:bottom w:val="single" w:sz="4" w:space="0" w:color="auto"/>
              <w:right w:val="single" w:sz="4" w:space="0" w:color="auto"/>
            </w:tcBorders>
            <w:shd w:val="clear" w:color="auto" w:fill="auto"/>
            <w:vAlign w:val="center"/>
            <w:hideMark/>
          </w:tcPr>
          <w:p w:rsidR="00382753" w:rsidRPr="00B45B4F" w:rsidRDefault="00382753" w:rsidP="00382753">
            <w:pPr>
              <w:spacing w:after="0"/>
              <w:jc w:val="center"/>
              <w:rPr>
                <w:lang w:val="bg-BG"/>
              </w:rPr>
            </w:pPr>
            <w:r w:rsidRPr="00B45B4F">
              <w:rPr>
                <w:rFonts w:ascii="Wingdings 2" w:eastAsia="Times New Roman" w:hAnsi="Wingdings 2"/>
                <w:color w:val="0070C0"/>
                <w:sz w:val="26"/>
                <w:szCs w:val="26"/>
                <w:lang w:val="bg-BG"/>
              </w:rPr>
              <w:t></w:t>
            </w:r>
          </w:p>
        </w:tc>
        <w:tc>
          <w:tcPr>
            <w:tcW w:w="810" w:type="dxa"/>
            <w:tcBorders>
              <w:top w:val="nil"/>
              <w:left w:val="nil"/>
              <w:bottom w:val="single" w:sz="4" w:space="0" w:color="auto"/>
              <w:right w:val="single" w:sz="4" w:space="0" w:color="auto"/>
            </w:tcBorders>
            <w:shd w:val="clear" w:color="auto" w:fill="auto"/>
            <w:vAlign w:val="center"/>
            <w:hideMark/>
          </w:tcPr>
          <w:p w:rsidR="00382753" w:rsidRPr="00B45B4F" w:rsidRDefault="00382753" w:rsidP="00382753">
            <w:pPr>
              <w:spacing w:after="0"/>
              <w:jc w:val="center"/>
              <w:rPr>
                <w:lang w:val="bg-BG"/>
              </w:rPr>
            </w:pPr>
            <w:r w:rsidRPr="00B45B4F">
              <w:rPr>
                <w:rFonts w:ascii="Wingdings 2" w:eastAsia="Times New Roman" w:hAnsi="Wingdings 2"/>
                <w:color w:val="0070C0"/>
                <w:sz w:val="26"/>
                <w:szCs w:val="26"/>
                <w:lang w:val="bg-BG"/>
              </w:rPr>
              <w:t></w:t>
            </w:r>
          </w:p>
        </w:tc>
        <w:tc>
          <w:tcPr>
            <w:tcW w:w="810" w:type="dxa"/>
            <w:tcBorders>
              <w:top w:val="nil"/>
              <w:left w:val="nil"/>
              <w:bottom w:val="single" w:sz="4" w:space="0" w:color="auto"/>
              <w:right w:val="single" w:sz="4" w:space="0" w:color="auto"/>
            </w:tcBorders>
            <w:shd w:val="clear" w:color="auto" w:fill="auto"/>
            <w:vAlign w:val="center"/>
            <w:hideMark/>
          </w:tcPr>
          <w:p w:rsidR="00382753" w:rsidRPr="00B45B4F" w:rsidRDefault="00382753" w:rsidP="00382753">
            <w:pPr>
              <w:spacing w:after="0"/>
              <w:jc w:val="center"/>
              <w:rPr>
                <w:lang w:val="bg-BG"/>
              </w:rPr>
            </w:pPr>
            <w:r w:rsidRPr="00B45B4F">
              <w:rPr>
                <w:rFonts w:ascii="Wingdings 2" w:eastAsia="Times New Roman" w:hAnsi="Wingdings 2"/>
                <w:color w:val="0070C0"/>
                <w:sz w:val="26"/>
                <w:szCs w:val="26"/>
                <w:lang w:val="bg-BG"/>
              </w:rPr>
              <w:t></w:t>
            </w:r>
          </w:p>
        </w:tc>
        <w:tc>
          <w:tcPr>
            <w:tcW w:w="900" w:type="dxa"/>
            <w:tcBorders>
              <w:top w:val="nil"/>
              <w:left w:val="nil"/>
              <w:bottom w:val="single" w:sz="4" w:space="0" w:color="auto"/>
              <w:right w:val="single" w:sz="4" w:space="0" w:color="auto"/>
            </w:tcBorders>
            <w:shd w:val="clear" w:color="auto" w:fill="auto"/>
            <w:vAlign w:val="center"/>
            <w:hideMark/>
          </w:tcPr>
          <w:p w:rsidR="00382753" w:rsidRPr="00B45B4F" w:rsidRDefault="00382753" w:rsidP="006F74A8">
            <w:pPr>
              <w:spacing w:after="0" w:line="240" w:lineRule="auto"/>
              <w:jc w:val="center"/>
              <w:rPr>
                <w:rFonts w:ascii="Verdana" w:eastAsia="Times New Roman" w:hAnsi="Verdana"/>
                <w:color w:val="0070C0"/>
                <w:sz w:val="18"/>
                <w:szCs w:val="18"/>
                <w:lang w:val="bg-BG"/>
              </w:rPr>
            </w:pPr>
          </w:p>
        </w:tc>
        <w:tc>
          <w:tcPr>
            <w:tcW w:w="990" w:type="dxa"/>
            <w:tcBorders>
              <w:top w:val="nil"/>
              <w:left w:val="nil"/>
              <w:bottom w:val="single" w:sz="4" w:space="0" w:color="auto"/>
              <w:right w:val="single" w:sz="4" w:space="0" w:color="auto"/>
            </w:tcBorders>
            <w:shd w:val="clear" w:color="auto" w:fill="auto"/>
            <w:vAlign w:val="center"/>
            <w:hideMark/>
          </w:tcPr>
          <w:p w:rsidR="00382753" w:rsidRPr="00B45B4F" w:rsidRDefault="00382753" w:rsidP="006F74A8">
            <w:pPr>
              <w:spacing w:after="0" w:line="240" w:lineRule="auto"/>
              <w:jc w:val="center"/>
              <w:rPr>
                <w:rFonts w:ascii="Verdana" w:eastAsia="Times New Roman" w:hAnsi="Verdana"/>
                <w:color w:val="000000"/>
                <w:sz w:val="18"/>
                <w:szCs w:val="18"/>
                <w:lang w:val="bg-BG"/>
              </w:rPr>
            </w:pPr>
          </w:p>
        </w:tc>
      </w:tr>
      <w:tr w:rsidR="00382753" w:rsidRPr="00B45B4F" w:rsidTr="00AF6F4A">
        <w:trPr>
          <w:trHeight w:val="330"/>
        </w:trPr>
        <w:tc>
          <w:tcPr>
            <w:tcW w:w="2392" w:type="dxa"/>
            <w:vMerge/>
            <w:tcBorders>
              <w:top w:val="nil"/>
              <w:left w:val="single" w:sz="4" w:space="0" w:color="auto"/>
              <w:bottom w:val="single" w:sz="4" w:space="0" w:color="auto"/>
              <w:right w:val="single" w:sz="4" w:space="0" w:color="auto"/>
            </w:tcBorders>
            <w:shd w:val="clear" w:color="auto" w:fill="548DD4" w:themeFill="text2" w:themeFillTint="99"/>
            <w:vAlign w:val="center"/>
            <w:hideMark/>
          </w:tcPr>
          <w:p w:rsidR="00382753" w:rsidRPr="00B45B4F" w:rsidRDefault="00382753" w:rsidP="006F74A8">
            <w:pPr>
              <w:spacing w:after="0" w:line="240" w:lineRule="auto"/>
              <w:jc w:val="center"/>
              <w:rPr>
                <w:rFonts w:ascii="Verdana" w:eastAsia="Times New Roman" w:hAnsi="Verdana"/>
                <w:bCs/>
                <w:color w:val="FFFFFF"/>
                <w:sz w:val="18"/>
                <w:szCs w:val="18"/>
                <w:lang w:val="bg-BG"/>
              </w:rPr>
            </w:pPr>
          </w:p>
        </w:tc>
        <w:tc>
          <w:tcPr>
            <w:tcW w:w="1222" w:type="dxa"/>
            <w:tcBorders>
              <w:top w:val="nil"/>
              <w:left w:val="nil"/>
              <w:bottom w:val="single" w:sz="4" w:space="0" w:color="auto"/>
              <w:right w:val="single" w:sz="4" w:space="0" w:color="auto"/>
            </w:tcBorders>
            <w:shd w:val="clear" w:color="000000" w:fill="C6D9F1"/>
            <w:vAlign w:val="center"/>
            <w:hideMark/>
          </w:tcPr>
          <w:p w:rsidR="00382753" w:rsidRPr="00B45B4F" w:rsidRDefault="00382753"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1.3</w:t>
            </w:r>
          </w:p>
        </w:tc>
        <w:tc>
          <w:tcPr>
            <w:tcW w:w="900" w:type="dxa"/>
            <w:tcBorders>
              <w:top w:val="nil"/>
              <w:left w:val="nil"/>
              <w:bottom w:val="single" w:sz="4" w:space="0" w:color="auto"/>
              <w:right w:val="single" w:sz="4" w:space="0" w:color="auto"/>
            </w:tcBorders>
            <w:shd w:val="clear" w:color="auto" w:fill="auto"/>
            <w:vAlign w:val="center"/>
            <w:hideMark/>
          </w:tcPr>
          <w:p w:rsidR="00382753" w:rsidRPr="00B45B4F" w:rsidRDefault="00382753" w:rsidP="006F74A8">
            <w:pPr>
              <w:spacing w:after="0" w:line="240" w:lineRule="auto"/>
              <w:jc w:val="center"/>
              <w:rPr>
                <w:rFonts w:ascii="Verdana" w:eastAsia="Times New Roman" w:hAnsi="Verdana"/>
                <w:color w:val="0070C0"/>
                <w:sz w:val="18"/>
                <w:szCs w:val="18"/>
                <w:lang w:val="bg-BG"/>
              </w:rPr>
            </w:pPr>
          </w:p>
        </w:tc>
        <w:tc>
          <w:tcPr>
            <w:tcW w:w="810" w:type="dxa"/>
            <w:tcBorders>
              <w:top w:val="nil"/>
              <w:left w:val="nil"/>
              <w:bottom w:val="single" w:sz="4" w:space="0" w:color="auto"/>
              <w:right w:val="single" w:sz="4" w:space="0" w:color="auto"/>
            </w:tcBorders>
            <w:shd w:val="clear" w:color="auto" w:fill="auto"/>
            <w:vAlign w:val="center"/>
            <w:hideMark/>
          </w:tcPr>
          <w:p w:rsidR="00382753" w:rsidRPr="00B45B4F" w:rsidRDefault="00382753" w:rsidP="006F74A8">
            <w:pPr>
              <w:spacing w:after="0" w:line="240" w:lineRule="auto"/>
              <w:jc w:val="center"/>
              <w:rPr>
                <w:rFonts w:ascii="Verdana" w:eastAsia="Times New Roman" w:hAnsi="Verdana"/>
                <w:color w:val="0070C0"/>
                <w:sz w:val="18"/>
                <w:szCs w:val="18"/>
                <w:lang w:val="bg-BG"/>
              </w:rPr>
            </w:pPr>
          </w:p>
        </w:tc>
        <w:tc>
          <w:tcPr>
            <w:tcW w:w="810" w:type="dxa"/>
            <w:tcBorders>
              <w:top w:val="nil"/>
              <w:left w:val="nil"/>
              <w:bottom w:val="single" w:sz="4" w:space="0" w:color="auto"/>
              <w:right w:val="single" w:sz="4" w:space="0" w:color="auto"/>
            </w:tcBorders>
            <w:shd w:val="clear" w:color="auto" w:fill="auto"/>
            <w:vAlign w:val="center"/>
            <w:hideMark/>
          </w:tcPr>
          <w:p w:rsidR="00382753" w:rsidRPr="00B45B4F" w:rsidRDefault="00382753" w:rsidP="00382753">
            <w:pPr>
              <w:spacing w:after="0"/>
              <w:jc w:val="center"/>
              <w:rPr>
                <w:lang w:val="bg-BG"/>
              </w:rPr>
            </w:pPr>
            <w:r w:rsidRPr="00B45B4F">
              <w:rPr>
                <w:rFonts w:ascii="Wingdings 2" w:eastAsia="Times New Roman" w:hAnsi="Wingdings 2"/>
                <w:color w:val="0070C0"/>
                <w:sz w:val="26"/>
                <w:szCs w:val="26"/>
                <w:lang w:val="bg-BG"/>
              </w:rPr>
              <w:t></w:t>
            </w:r>
          </w:p>
        </w:tc>
        <w:tc>
          <w:tcPr>
            <w:tcW w:w="810" w:type="dxa"/>
            <w:tcBorders>
              <w:top w:val="nil"/>
              <w:left w:val="nil"/>
              <w:bottom w:val="single" w:sz="4" w:space="0" w:color="auto"/>
              <w:right w:val="single" w:sz="4" w:space="0" w:color="auto"/>
            </w:tcBorders>
            <w:shd w:val="clear" w:color="auto" w:fill="auto"/>
            <w:vAlign w:val="center"/>
            <w:hideMark/>
          </w:tcPr>
          <w:p w:rsidR="00382753" w:rsidRPr="00B45B4F" w:rsidRDefault="00382753" w:rsidP="00382753">
            <w:pPr>
              <w:spacing w:after="0"/>
              <w:jc w:val="center"/>
              <w:rPr>
                <w:lang w:val="bg-BG"/>
              </w:rPr>
            </w:pPr>
            <w:r w:rsidRPr="00B45B4F">
              <w:rPr>
                <w:rFonts w:ascii="Wingdings 2" w:eastAsia="Times New Roman" w:hAnsi="Wingdings 2"/>
                <w:color w:val="0070C0"/>
                <w:sz w:val="26"/>
                <w:szCs w:val="26"/>
                <w:lang w:val="bg-BG"/>
              </w:rPr>
              <w:t></w:t>
            </w:r>
          </w:p>
        </w:tc>
        <w:tc>
          <w:tcPr>
            <w:tcW w:w="810" w:type="dxa"/>
            <w:tcBorders>
              <w:top w:val="nil"/>
              <w:left w:val="nil"/>
              <w:bottom w:val="single" w:sz="4" w:space="0" w:color="auto"/>
              <w:right w:val="single" w:sz="4" w:space="0" w:color="auto"/>
            </w:tcBorders>
            <w:shd w:val="clear" w:color="auto" w:fill="auto"/>
            <w:vAlign w:val="center"/>
            <w:hideMark/>
          </w:tcPr>
          <w:p w:rsidR="00382753" w:rsidRPr="00B45B4F" w:rsidRDefault="00382753" w:rsidP="00382753">
            <w:pPr>
              <w:spacing w:after="0"/>
              <w:jc w:val="center"/>
              <w:rPr>
                <w:lang w:val="bg-BG"/>
              </w:rPr>
            </w:pPr>
            <w:r w:rsidRPr="00B45B4F">
              <w:rPr>
                <w:rFonts w:ascii="Wingdings 2" w:eastAsia="Times New Roman" w:hAnsi="Wingdings 2"/>
                <w:color w:val="0070C0"/>
                <w:sz w:val="26"/>
                <w:szCs w:val="26"/>
                <w:lang w:val="bg-BG"/>
              </w:rPr>
              <w:t></w:t>
            </w:r>
          </w:p>
        </w:tc>
        <w:tc>
          <w:tcPr>
            <w:tcW w:w="900" w:type="dxa"/>
            <w:tcBorders>
              <w:top w:val="nil"/>
              <w:left w:val="nil"/>
              <w:bottom w:val="single" w:sz="4" w:space="0" w:color="auto"/>
              <w:right w:val="single" w:sz="4" w:space="0" w:color="auto"/>
            </w:tcBorders>
            <w:shd w:val="clear" w:color="auto" w:fill="auto"/>
            <w:vAlign w:val="center"/>
            <w:hideMark/>
          </w:tcPr>
          <w:p w:rsidR="00382753" w:rsidRPr="00B45B4F" w:rsidRDefault="00382753" w:rsidP="006F74A8">
            <w:pPr>
              <w:spacing w:after="0" w:line="240" w:lineRule="auto"/>
              <w:jc w:val="center"/>
              <w:rPr>
                <w:rFonts w:ascii="Verdana" w:eastAsia="Times New Roman" w:hAnsi="Verdana"/>
                <w:color w:val="0070C0"/>
                <w:sz w:val="18"/>
                <w:szCs w:val="18"/>
                <w:lang w:val="bg-BG"/>
              </w:rPr>
            </w:pPr>
          </w:p>
        </w:tc>
        <w:tc>
          <w:tcPr>
            <w:tcW w:w="990" w:type="dxa"/>
            <w:tcBorders>
              <w:top w:val="nil"/>
              <w:left w:val="nil"/>
              <w:bottom w:val="single" w:sz="4" w:space="0" w:color="auto"/>
              <w:right w:val="single" w:sz="4" w:space="0" w:color="auto"/>
            </w:tcBorders>
            <w:shd w:val="clear" w:color="auto" w:fill="auto"/>
            <w:vAlign w:val="center"/>
            <w:hideMark/>
          </w:tcPr>
          <w:p w:rsidR="00382753" w:rsidRPr="00B45B4F" w:rsidRDefault="00382753" w:rsidP="006F74A8">
            <w:pPr>
              <w:spacing w:after="0" w:line="240" w:lineRule="auto"/>
              <w:jc w:val="center"/>
              <w:rPr>
                <w:rFonts w:ascii="Verdana" w:eastAsia="Times New Roman" w:hAnsi="Verdana"/>
                <w:color w:val="0070C0"/>
                <w:sz w:val="18"/>
                <w:szCs w:val="18"/>
                <w:lang w:val="bg-BG"/>
              </w:rPr>
            </w:pPr>
          </w:p>
        </w:tc>
      </w:tr>
      <w:tr w:rsidR="006F74A8" w:rsidRPr="00B45B4F" w:rsidTr="00AF6F4A">
        <w:trPr>
          <w:trHeight w:val="476"/>
        </w:trPr>
        <w:tc>
          <w:tcPr>
            <w:tcW w:w="2392" w:type="dxa"/>
            <w:vMerge w:val="restart"/>
            <w:tcBorders>
              <w:top w:val="nil"/>
              <w:left w:val="single" w:sz="4" w:space="0" w:color="auto"/>
              <w:bottom w:val="single" w:sz="4" w:space="0" w:color="auto"/>
              <w:right w:val="single" w:sz="4" w:space="0" w:color="auto"/>
            </w:tcBorders>
            <w:shd w:val="clear" w:color="auto" w:fill="548DD4" w:themeFill="text2" w:themeFillTint="99"/>
            <w:vAlign w:val="center"/>
            <w:hideMark/>
          </w:tcPr>
          <w:p w:rsidR="006F74A8" w:rsidRPr="00B45B4F" w:rsidRDefault="006F74A8" w:rsidP="006F74A8">
            <w:pPr>
              <w:spacing w:after="0" w:line="240" w:lineRule="auto"/>
              <w:jc w:val="center"/>
              <w:rPr>
                <w:rFonts w:ascii="Verdana" w:eastAsia="Times New Roman" w:hAnsi="Verdana"/>
                <w:bCs/>
                <w:color w:val="FFFFFF"/>
                <w:sz w:val="18"/>
                <w:szCs w:val="18"/>
                <w:lang w:val="bg-BG"/>
              </w:rPr>
            </w:pPr>
            <w:r w:rsidRPr="00B45B4F">
              <w:rPr>
                <w:rFonts w:ascii="Verdana" w:eastAsia="Times New Roman" w:hAnsi="Verdana"/>
                <w:bCs/>
                <w:color w:val="FFFFFF"/>
                <w:sz w:val="18"/>
                <w:szCs w:val="18"/>
                <w:lang w:val="bg-BG"/>
              </w:rPr>
              <w:t>ПО 2:</w:t>
            </w:r>
            <w:r w:rsidRPr="00B45B4F">
              <w:rPr>
                <w:rFonts w:ascii="Verdana" w:eastAsia="Times New Roman" w:hAnsi="Verdana"/>
                <w:color w:val="FFFFFF"/>
                <w:sz w:val="18"/>
                <w:szCs w:val="18"/>
                <w:lang w:val="bg-BG"/>
              </w:rPr>
              <w:t xml:space="preserve"> Ефективно и професионално управление в партньорство с </w:t>
            </w:r>
            <w:proofErr w:type="spellStart"/>
            <w:r w:rsidRPr="00B45B4F">
              <w:rPr>
                <w:rFonts w:ascii="Verdana" w:eastAsia="Times New Roman" w:hAnsi="Verdana"/>
                <w:color w:val="FFFFFF"/>
                <w:sz w:val="18"/>
                <w:szCs w:val="18"/>
                <w:lang w:val="bg-BG"/>
              </w:rPr>
              <w:t>гражд</w:t>
            </w:r>
            <w:proofErr w:type="spellEnd"/>
            <w:r w:rsidRPr="00B45B4F">
              <w:rPr>
                <w:rFonts w:ascii="Verdana" w:eastAsia="Times New Roman" w:hAnsi="Verdana"/>
                <w:color w:val="FFFFFF"/>
                <w:sz w:val="18"/>
                <w:szCs w:val="18"/>
                <w:lang w:val="bg-BG"/>
              </w:rPr>
              <w:t>. общество и бизнеса</w:t>
            </w:r>
          </w:p>
        </w:tc>
        <w:tc>
          <w:tcPr>
            <w:tcW w:w="1222" w:type="dxa"/>
            <w:tcBorders>
              <w:top w:val="nil"/>
              <w:left w:val="nil"/>
              <w:bottom w:val="single" w:sz="4" w:space="0" w:color="auto"/>
              <w:right w:val="single" w:sz="4" w:space="0" w:color="auto"/>
            </w:tcBorders>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2.1</w:t>
            </w:r>
          </w:p>
        </w:tc>
        <w:tc>
          <w:tcPr>
            <w:tcW w:w="90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1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1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1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1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90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99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r>
      <w:tr w:rsidR="006F74A8" w:rsidRPr="00B45B4F" w:rsidTr="00AF6F4A">
        <w:trPr>
          <w:trHeight w:val="485"/>
        </w:trPr>
        <w:tc>
          <w:tcPr>
            <w:tcW w:w="2392" w:type="dxa"/>
            <w:vMerge/>
            <w:tcBorders>
              <w:top w:val="nil"/>
              <w:left w:val="single" w:sz="4" w:space="0" w:color="auto"/>
              <w:bottom w:val="single" w:sz="4" w:space="0" w:color="auto"/>
              <w:right w:val="single" w:sz="4" w:space="0" w:color="auto"/>
            </w:tcBorders>
            <w:shd w:val="clear" w:color="auto" w:fill="548DD4" w:themeFill="text2" w:themeFillTint="99"/>
            <w:vAlign w:val="center"/>
            <w:hideMark/>
          </w:tcPr>
          <w:p w:rsidR="006F74A8" w:rsidRPr="00B45B4F" w:rsidRDefault="006F74A8" w:rsidP="006F74A8">
            <w:pPr>
              <w:spacing w:after="0" w:line="240" w:lineRule="auto"/>
              <w:jc w:val="center"/>
              <w:rPr>
                <w:rFonts w:ascii="Verdana" w:eastAsia="Times New Roman" w:hAnsi="Verdana"/>
                <w:bCs/>
                <w:color w:val="FFFFFF"/>
                <w:sz w:val="18"/>
                <w:szCs w:val="18"/>
                <w:lang w:val="bg-BG"/>
              </w:rPr>
            </w:pPr>
          </w:p>
        </w:tc>
        <w:tc>
          <w:tcPr>
            <w:tcW w:w="1222" w:type="dxa"/>
            <w:tcBorders>
              <w:top w:val="nil"/>
              <w:left w:val="nil"/>
              <w:bottom w:val="single" w:sz="4" w:space="0" w:color="auto"/>
              <w:right w:val="single" w:sz="4" w:space="0" w:color="auto"/>
            </w:tcBorders>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2.2</w:t>
            </w:r>
          </w:p>
        </w:tc>
        <w:tc>
          <w:tcPr>
            <w:tcW w:w="90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1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1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1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1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90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99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r>
      <w:tr w:rsidR="006F74A8" w:rsidRPr="00B45B4F" w:rsidTr="00AF6F4A">
        <w:trPr>
          <w:trHeight w:val="330"/>
        </w:trPr>
        <w:tc>
          <w:tcPr>
            <w:tcW w:w="2392" w:type="dxa"/>
            <w:vMerge/>
            <w:tcBorders>
              <w:top w:val="nil"/>
              <w:left w:val="single" w:sz="4" w:space="0" w:color="auto"/>
              <w:bottom w:val="single" w:sz="4" w:space="0" w:color="auto"/>
              <w:right w:val="single" w:sz="4" w:space="0" w:color="auto"/>
            </w:tcBorders>
            <w:shd w:val="clear" w:color="auto" w:fill="548DD4" w:themeFill="text2" w:themeFillTint="99"/>
            <w:vAlign w:val="center"/>
            <w:hideMark/>
          </w:tcPr>
          <w:p w:rsidR="006F74A8" w:rsidRPr="00B45B4F" w:rsidRDefault="006F74A8" w:rsidP="006F74A8">
            <w:pPr>
              <w:spacing w:after="0" w:line="240" w:lineRule="auto"/>
              <w:jc w:val="center"/>
              <w:rPr>
                <w:rFonts w:ascii="Verdana" w:eastAsia="Times New Roman" w:hAnsi="Verdana"/>
                <w:bCs/>
                <w:color w:val="FFFFFF"/>
                <w:sz w:val="18"/>
                <w:szCs w:val="18"/>
                <w:lang w:val="bg-BG"/>
              </w:rPr>
            </w:pPr>
          </w:p>
        </w:tc>
        <w:tc>
          <w:tcPr>
            <w:tcW w:w="1222" w:type="dxa"/>
            <w:tcBorders>
              <w:top w:val="nil"/>
              <w:left w:val="nil"/>
              <w:bottom w:val="single" w:sz="4" w:space="0" w:color="auto"/>
              <w:right w:val="single" w:sz="4" w:space="0" w:color="auto"/>
            </w:tcBorders>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2.3</w:t>
            </w:r>
          </w:p>
        </w:tc>
        <w:tc>
          <w:tcPr>
            <w:tcW w:w="90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1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1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1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1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90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99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r>
      <w:tr w:rsidR="006F74A8" w:rsidRPr="00B45B4F" w:rsidTr="00AF6F4A">
        <w:trPr>
          <w:trHeight w:val="330"/>
        </w:trPr>
        <w:tc>
          <w:tcPr>
            <w:tcW w:w="2392" w:type="dxa"/>
            <w:vMerge w:val="restart"/>
            <w:tcBorders>
              <w:top w:val="nil"/>
              <w:left w:val="single" w:sz="4" w:space="0" w:color="auto"/>
              <w:bottom w:val="single" w:sz="4" w:space="0" w:color="auto"/>
              <w:right w:val="single" w:sz="4" w:space="0" w:color="auto"/>
            </w:tcBorders>
            <w:shd w:val="clear" w:color="auto" w:fill="548DD4" w:themeFill="text2" w:themeFillTint="99"/>
            <w:vAlign w:val="center"/>
            <w:hideMark/>
          </w:tcPr>
          <w:p w:rsidR="006F74A8" w:rsidRPr="00B45B4F" w:rsidRDefault="006F74A8" w:rsidP="006F74A8">
            <w:pPr>
              <w:spacing w:after="0" w:line="240" w:lineRule="auto"/>
              <w:jc w:val="center"/>
              <w:rPr>
                <w:rFonts w:ascii="Verdana" w:eastAsia="Times New Roman" w:hAnsi="Verdana"/>
                <w:bCs/>
                <w:color w:val="FFFFFF"/>
                <w:sz w:val="18"/>
                <w:szCs w:val="18"/>
                <w:lang w:val="bg-BG"/>
              </w:rPr>
            </w:pPr>
            <w:r w:rsidRPr="00B45B4F">
              <w:rPr>
                <w:rFonts w:ascii="Verdana" w:eastAsia="Times New Roman" w:hAnsi="Verdana"/>
                <w:bCs/>
                <w:color w:val="FFFFFF"/>
                <w:sz w:val="18"/>
                <w:szCs w:val="18"/>
                <w:lang w:val="bg-BG"/>
              </w:rPr>
              <w:t>ПО 3:</w:t>
            </w:r>
            <w:r w:rsidRPr="00B45B4F">
              <w:rPr>
                <w:rFonts w:ascii="Verdana" w:eastAsia="Times New Roman" w:hAnsi="Verdana"/>
                <w:color w:val="FFFFFF"/>
                <w:sz w:val="18"/>
                <w:szCs w:val="18"/>
                <w:lang w:val="bg-BG"/>
              </w:rPr>
              <w:t xml:space="preserve"> Прозрачна и ефективна съдебна система</w:t>
            </w:r>
          </w:p>
        </w:tc>
        <w:tc>
          <w:tcPr>
            <w:tcW w:w="1222" w:type="dxa"/>
            <w:tcBorders>
              <w:top w:val="nil"/>
              <w:left w:val="nil"/>
              <w:bottom w:val="single" w:sz="4" w:space="0" w:color="auto"/>
              <w:right w:val="single" w:sz="4" w:space="0" w:color="auto"/>
            </w:tcBorders>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3.1</w:t>
            </w:r>
          </w:p>
        </w:tc>
        <w:tc>
          <w:tcPr>
            <w:tcW w:w="90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1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1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1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1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90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99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r>
      <w:tr w:rsidR="006F74A8" w:rsidRPr="00B45B4F" w:rsidTr="00AF6F4A">
        <w:trPr>
          <w:trHeight w:val="330"/>
        </w:trPr>
        <w:tc>
          <w:tcPr>
            <w:tcW w:w="2392" w:type="dxa"/>
            <w:vMerge/>
            <w:tcBorders>
              <w:top w:val="nil"/>
              <w:left w:val="single" w:sz="4" w:space="0" w:color="auto"/>
              <w:bottom w:val="single" w:sz="4" w:space="0" w:color="auto"/>
              <w:right w:val="single" w:sz="4" w:space="0" w:color="auto"/>
            </w:tcBorders>
            <w:shd w:val="clear" w:color="auto" w:fill="548DD4" w:themeFill="text2" w:themeFillTint="99"/>
            <w:vAlign w:val="center"/>
            <w:hideMark/>
          </w:tcPr>
          <w:p w:rsidR="006F74A8" w:rsidRPr="00B45B4F" w:rsidRDefault="006F74A8" w:rsidP="006F74A8">
            <w:pPr>
              <w:spacing w:after="0" w:line="240" w:lineRule="auto"/>
              <w:jc w:val="center"/>
              <w:rPr>
                <w:rFonts w:ascii="Verdana" w:eastAsia="Times New Roman" w:hAnsi="Verdana"/>
                <w:bCs/>
                <w:color w:val="FFFFFF"/>
                <w:sz w:val="18"/>
                <w:szCs w:val="18"/>
                <w:lang w:val="bg-BG"/>
              </w:rPr>
            </w:pPr>
          </w:p>
        </w:tc>
        <w:tc>
          <w:tcPr>
            <w:tcW w:w="1222" w:type="dxa"/>
            <w:tcBorders>
              <w:top w:val="nil"/>
              <w:left w:val="nil"/>
              <w:bottom w:val="single" w:sz="4" w:space="0" w:color="auto"/>
              <w:right w:val="single" w:sz="4" w:space="0" w:color="auto"/>
            </w:tcBorders>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3.2</w:t>
            </w:r>
          </w:p>
        </w:tc>
        <w:tc>
          <w:tcPr>
            <w:tcW w:w="90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1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1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1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1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90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99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r>
      <w:tr w:rsidR="006F74A8" w:rsidRPr="00B45B4F" w:rsidTr="00CA6224">
        <w:trPr>
          <w:trHeight w:val="455"/>
        </w:trPr>
        <w:tc>
          <w:tcPr>
            <w:tcW w:w="2392" w:type="dxa"/>
            <w:vMerge w:val="restart"/>
            <w:tcBorders>
              <w:top w:val="nil"/>
              <w:left w:val="single" w:sz="4" w:space="0" w:color="auto"/>
              <w:bottom w:val="single" w:sz="4" w:space="0" w:color="auto"/>
              <w:right w:val="single" w:sz="4" w:space="0" w:color="auto"/>
            </w:tcBorders>
            <w:shd w:val="clear" w:color="auto" w:fill="548DD4" w:themeFill="text2" w:themeFillTint="99"/>
            <w:vAlign w:val="center"/>
            <w:hideMark/>
          </w:tcPr>
          <w:p w:rsidR="006F74A8" w:rsidRPr="00B45B4F" w:rsidRDefault="006F74A8" w:rsidP="00CA6224">
            <w:pPr>
              <w:spacing w:after="0" w:line="240" w:lineRule="auto"/>
              <w:ind w:left="-94" w:right="-70"/>
              <w:jc w:val="center"/>
              <w:rPr>
                <w:rFonts w:ascii="Verdana" w:eastAsia="Times New Roman" w:hAnsi="Verdana"/>
                <w:bCs/>
                <w:color w:val="FFFFFF"/>
                <w:sz w:val="18"/>
                <w:szCs w:val="18"/>
                <w:lang w:val="bg-BG"/>
              </w:rPr>
            </w:pPr>
            <w:r w:rsidRPr="00B45B4F">
              <w:rPr>
                <w:rFonts w:ascii="Verdana" w:eastAsia="Times New Roman" w:hAnsi="Verdana"/>
                <w:bCs/>
                <w:color w:val="FFFFFF"/>
                <w:sz w:val="18"/>
                <w:szCs w:val="18"/>
                <w:lang w:val="bg-BG"/>
              </w:rPr>
              <w:t>ПО 4:</w:t>
            </w:r>
            <w:r w:rsidRPr="00B45B4F">
              <w:rPr>
                <w:rFonts w:ascii="Verdana" w:eastAsia="Times New Roman" w:hAnsi="Verdana"/>
                <w:color w:val="FFFFFF"/>
                <w:sz w:val="18"/>
                <w:szCs w:val="18"/>
                <w:lang w:val="bg-BG"/>
              </w:rPr>
              <w:t xml:space="preserve"> ТП за структурите на администрацията, участващи в управлението и усвояването на ЕСИФ</w:t>
            </w:r>
          </w:p>
        </w:tc>
        <w:tc>
          <w:tcPr>
            <w:tcW w:w="1222" w:type="dxa"/>
            <w:tcBorders>
              <w:top w:val="nil"/>
              <w:left w:val="nil"/>
              <w:bottom w:val="single" w:sz="4" w:space="0" w:color="auto"/>
              <w:right w:val="single" w:sz="4" w:space="0" w:color="auto"/>
            </w:tcBorders>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4.1</w:t>
            </w:r>
          </w:p>
        </w:tc>
        <w:tc>
          <w:tcPr>
            <w:tcW w:w="90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1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1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1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1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90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99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r>
      <w:tr w:rsidR="006F74A8" w:rsidRPr="00B45B4F" w:rsidTr="00AF6F4A">
        <w:trPr>
          <w:trHeight w:val="440"/>
        </w:trPr>
        <w:tc>
          <w:tcPr>
            <w:tcW w:w="2392" w:type="dxa"/>
            <w:vMerge/>
            <w:tcBorders>
              <w:top w:val="nil"/>
              <w:left w:val="single" w:sz="4" w:space="0" w:color="auto"/>
              <w:bottom w:val="single" w:sz="4" w:space="0" w:color="auto"/>
              <w:right w:val="single" w:sz="4" w:space="0" w:color="auto"/>
            </w:tcBorders>
            <w:shd w:val="clear" w:color="auto" w:fill="548DD4" w:themeFill="text2" w:themeFillTint="99"/>
            <w:vAlign w:val="center"/>
            <w:hideMark/>
          </w:tcPr>
          <w:p w:rsidR="006F74A8" w:rsidRPr="00B45B4F" w:rsidRDefault="006F74A8" w:rsidP="006F74A8">
            <w:pPr>
              <w:spacing w:after="0" w:line="240" w:lineRule="auto"/>
              <w:rPr>
                <w:rFonts w:ascii="Verdana" w:eastAsia="Times New Roman" w:hAnsi="Verdana"/>
                <w:bCs/>
                <w:color w:val="FFFFFF"/>
                <w:sz w:val="18"/>
                <w:szCs w:val="18"/>
                <w:lang w:val="bg-BG"/>
              </w:rPr>
            </w:pPr>
          </w:p>
        </w:tc>
        <w:tc>
          <w:tcPr>
            <w:tcW w:w="1222" w:type="dxa"/>
            <w:tcBorders>
              <w:top w:val="nil"/>
              <w:left w:val="nil"/>
              <w:bottom w:val="single" w:sz="4" w:space="0" w:color="auto"/>
              <w:right w:val="single" w:sz="4" w:space="0" w:color="auto"/>
            </w:tcBorders>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4.2</w:t>
            </w:r>
          </w:p>
        </w:tc>
        <w:tc>
          <w:tcPr>
            <w:tcW w:w="90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1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1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1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1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90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99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r>
      <w:tr w:rsidR="006F74A8" w:rsidRPr="00B45B4F" w:rsidTr="00AF6F4A">
        <w:trPr>
          <w:trHeight w:val="359"/>
        </w:trPr>
        <w:tc>
          <w:tcPr>
            <w:tcW w:w="2392" w:type="dxa"/>
            <w:vMerge/>
            <w:tcBorders>
              <w:top w:val="nil"/>
              <w:left w:val="single" w:sz="4" w:space="0" w:color="auto"/>
              <w:bottom w:val="single" w:sz="4" w:space="0" w:color="auto"/>
              <w:right w:val="single" w:sz="4" w:space="0" w:color="auto"/>
            </w:tcBorders>
            <w:shd w:val="clear" w:color="auto" w:fill="548DD4" w:themeFill="text2" w:themeFillTint="99"/>
            <w:vAlign w:val="center"/>
            <w:hideMark/>
          </w:tcPr>
          <w:p w:rsidR="006F74A8" w:rsidRPr="00B45B4F" w:rsidRDefault="006F74A8" w:rsidP="006F74A8">
            <w:pPr>
              <w:spacing w:after="0" w:line="240" w:lineRule="auto"/>
              <w:rPr>
                <w:rFonts w:ascii="Verdana" w:eastAsia="Times New Roman" w:hAnsi="Verdana"/>
                <w:bCs/>
                <w:color w:val="FFFFFF"/>
                <w:sz w:val="18"/>
                <w:szCs w:val="18"/>
                <w:lang w:val="bg-BG"/>
              </w:rPr>
            </w:pPr>
          </w:p>
        </w:tc>
        <w:tc>
          <w:tcPr>
            <w:tcW w:w="1222" w:type="dxa"/>
            <w:tcBorders>
              <w:top w:val="nil"/>
              <w:left w:val="nil"/>
              <w:bottom w:val="single" w:sz="4" w:space="0" w:color="auto"/>
              <w:right w:val="single" w:sz="4" w:space="0" w:color="auto"/>
            </w:tcBorders>
            <w:shd w:val="clear" w:color="000000" w:fill="C6D9F1"/>
            <w:vAlign w:val="center"/>
            <w:hideMark/>
          </w:tcPr>
          <w:p w:rsidR="006F74A8" w:rsidRPr="00B45B4F" w:rsidRDefault="006F74A8" w:rsidP="006F74A8">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4.3</w:t>
            </w:r>
          </w:p>
        </w:tc>
        <w:tc>
          <w:tcPr>
            <w:tcW w:w="90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1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1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1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81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90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c>
          <w:tcPr>
            <w:tcW w:w="990" w:type="dxa"/>
            <w:tcBorders>
              <w:top w:val="nil"/>
              <w:left w:val="nil"/>
              <w:bottom w:val="single" w:sz="4" w:space="0" w:color="auto"/>
              <w:right w:val="single" w:sz="4" w:space="0" w:color="auto"/>
            </w:tcBorders>
            <w:shd w:val="clear" w:color="auto" w:fill="auto"/>
            <w:vAlign w:val="center"/>
            <w:hideMark/>
          </w:tcPr>
          <w:p w:rsidR="006F74A8" w:rsidRPr="00B45B4F" w:rsidRDefault="006F74A8" w:rsidP="006F74A8">
            <w:pPr>
              <w:spacing w:after="0" w:line="240" w:lineRule="auto"/>
              <w:jc w:val="center"/>
              <w:rPr>
                <w:rFonts w:ascii="Verdana" w:eastAsia="Times New Roman" w:hAnsi="Verdana"/>
                <w:color w:val="0070C0"/>
                <w:sz w:val="18"/>
                <w:szCs w:val="18"/>
                <w:lang w:val="bg-BG"/>
              </w:rPr>
            </w:pPr>
          </w:p>
        </w:tc>
      </w:tr>
    </w:tbl>
    <w:p w:rsidR="006F74A8" w:rsidRPr="00B45B4F" w:rsidRDefault="008410DF" w:rsidP="008410DF">
      <w:pPr>
        <w:spacing w:before="120"/>
        <w:rPr>
          <w:rFonts w:ascii="Verdana" w:hAnsi="Verdana"/>
          <w:i/>
          <w:sz w:val="18"/>
          <w:szCs w:val="18"/>
          <w:lang w:val="bg-BG" w:eastAsia="bg-BG"/>
        </w:rPr>
      </w:pPr>
      <w:r w:rsidRPr="00B45B4F">
        <w:rPr>
          <w:rFonts w:ascii="Verdana" w:hAnsi="Verdana"/>
          <w:i/>
          <w:sz w:val="18"/>
          <w:szCs w:val="18"/>
          <w:lang w:val="bg-BG" w:eastAsia="bg-BG"/>
        </w:rPr>
        <w:t xml:space="preserve">Легенда: </w:t>
      </w:r>
      <w:r w:rsidRPr="00B45B4F">
        <w:rPr>
          <w:rFonts w:ascii="Wingdings 2" w:eastAsia="Times New Roman" w:hAnsi="Wingdings 2"/>
          <w:color w:val="0070C0"/>
          <w:sz w:val="26"/>
          <w:szCs w:val="26"/>
          <w:lang w:val="bg-BG"/>
        </w:rPr>
        <w:t></w:t>
      </w:r>
      <w:r w:rsidRPr="00B45B4F">
        <w:rPr>
          <w:rFonts w:ascii="Verdana" w:eastAsia="Times New Roman" w:hAnsi="Verdana"/>
          <w:i/>
          <w:sz w:val="18"/>
          <w:szCs w:val="18"/>
          <w:lang w:val="bg-BG"/>
        </w:rPr>
        <w:t xml:space="preserve"> - слаба връзка, </w:t>
      </w:r>
      <w:r w:rsidRPr="00B45B4F">
        <w:rPr>
          <w:rFonts w:ascii="Wingdings 2" w:eastAsia="Times New Roman" w:hAnsi="Wingdings 2"/>
          <w:color w:val="0070C0"/>
          <w:sz w:val="26"/>
          <w:szCs w:val="26"/>
          <w:lang w:val="bg-BG"/>
        </w:rPr>
        <w:t></w:t>
      </w:r>
      <w:r w:rsidRPr="00B45B4F">
        <w:rPr>
          <w:rFonts w:ascii="Wingdings 2" w:eastAsia="Times New Roman" w:hAnsi="Wingdings 2"/>
          <w:color w:val="0070C0"/>
          <w:sz w:val="26"/>
          <w:szCs w:val="26"/>
          <w:lang w:val="bg-BG"/>
        </w:rPr>
        <w:t></w:t>
      </w:r>
      <w:r w:rsidRPr="00B45B4F">
        <w:rPr>
          <w:rFonts w:ascii="Wingdings 2" w:eastAsia="Times New Roman" w:hAnsi="Wingdings 2"/>
          <w:color w:val="0070C0"/>
          <w:sz w:val="26"/>
          <w:szCs w:val="26"/>
          <w:lang w:val="bg-BG"/>
        </w:rPr>
        <w:t></w:t>
      </w:r>
      <w:r w:rsidRPr="00EC3BDA">
        <w:rPr>
          <w:rFonts w:ascii="Verdana" w:eastAsia="Times New Roman" w:hAnsi="Verdana"/>
          <w:sz w:val="26"/>
          <w:szCs w:val="26"/>
          <w:lang w:val="bg-BG"/>
        </w:rPr>
        <w:t xml:space="preserve">- </w:t>
      </w:r>
      <w:r w:rsidRPr="00B45B4F">
        <w:rPr>
          <w:rFonts w:ascii="Verdana" w:eastAsia="Times New Roman" w:hAnsi="Verdana"/>
          <w:i/>
          <w:sz w:val="18"/>
          <w:szCs w:val="18"/>
          <w:lang w:val="bg-BG"/>
        </w:rPr>
        <w:t xml:space="preserve">средно силна връзка, </w:t>
      </w:r>
      <w:r w:rsidRPr="00B45B4F">
        <w:rPr>
          <w:rFonts w:ascii="Wingdings 2" w:eastAsia="Times New Roman" w:hAnsi="Wingdings 2"/>
          <w:color w:val="0070C0"/>
          <w:sz w:val="26"/>
          <w:szCs w:val="26"/>
          <w:lang w:val="bg-BG"/>
        </w:rPr>
        <w:t></w:t>
      </w:r>
      <w:r w:rsidRPr="00B45B4F">
        <w:rPr>
          <w:rFonts w:ascii="Wingdings 2" w:eastAsia="Times New Roman" w:hAnsi="Wingdings 2"/>
          <w:color w:val="0070C0"/>
          <w:sz w:val="26"/>
          <w:szCs w:val="26"/>
          <w:lang w:val="bg-BG"/>
        </w:rPr>
        <w:t></w:t>
      </w:r>
      <w:r w:rsidRPr="00B45B4F">
        <w:rPr>
          <w:rFonts w:ascii="Wingdings 2" w:eastAsia="Times New Roman" w:hAnsi="Wingdings 2"/>
          <w:color w:val="0070C0"/>
          <w:sz w:val="26"/>
          <w:szCs w:val="26"/>
          <w:lang w:val="bg-BG"/>
        </w:rPr>
        <w:t></w:t>
      </w:r>
      <w:r w:rsidRPr="00B45B4F">
        <w:rPr>
          <w:rFonts w:ascii="Verdana" w:eastAsia="Times New Roman" w:hAnsi="Verdana"/>
          <w:i/>
          <w:sz w:val="18"/>
          <w:szCs w:val="18"/>
          <w:lang w:val="bg-BG"/>
        </w:rPr>
        <w:t xml:space="preserve"> - силна връзка</w:t>
      </w:r>
    </w:p>
    <w:p w:rsidR="006F74A8" w:rsidRPr="00B45B4F" w:rsidRDefault="006F74A8" w:rsidP="006F74A8">
      <w:pPr>
        <w:keepNext/>
        <w:spacing w:before="240" w:after="120"/>
        <w:rPr>
          <w:rFonts w:ascii="Verdana" w:hAnsi="Verdana"/>
          <w:b/>
          <w:color w:val="548DD4" w:themeColor="text2" w:themeTint="99"/>
          <w:sz w:val="20"/>
          <w:szCs w:val="20"/>
          <w:lang w:val="bg-BG"/>
        </w:rPr>
      </w:pPr>
      <w:bookmarkStart w:id="63" w:name="_Toc395612566"/>
      <w:r w:rsidRPr="00B45B4F">
        <w:rPr>
          <w:rFonts w:ascii="Verdana" w:hAnsi="Verdana"/>
          <w:b/>
          <w:color w:val="548DD4" w:themeColor="text2" w:themeTint="99"/>
          <w:sz w:val="20"/>
          <w:szCs w:val="20"/>
          <w:lang w:val="bg-BG"/>
        </w:rPr>
        <w:t xml:space="preserve">Таблица </w:t>
      </w:r>
      <w:r w:rsidR="00BF1936" w:rsidRPr="00B45B4F">
        <w:rPr>
          <w:rFonts w:ascii="Verdana" w:hAnsi="Verdana"/>
          <w:b/>
          <w:color w:val="548DD4" w:themeColor="text2" w:themeTint="99"/>
          <w:sz w:val="20"/>
          <w:szCs w:val="20"/>
          <w:lang w:val="bg-BG"/>
        </w:rPr>
        <w:fldChar w:fldCharType="begin"/>
      </w:r>
      <w:r w:rsidRPr="00B45B4F">
        <w:rPr>
          <w:rFonts w:ascii="Verdana" w:hAnsi="Verdana"/>
          <w:b/>
          <w:color w:val="548DD4" w:themeColor="text2" w:themeTint="99"/>
          <w:sz w:val="20"/>
          <w:szCs w:val="20"/>
          <w:lang w:val="bg-BG"/>
        </w:rPr>
        <w:instrText>SEQ таблица \* ARABIC</w:instrText>
      </w:r>
      <w:r w:rsidR="00BF1936" w:rsidRPr="00B45B4F">
        <w:rPr>
          <w:rFonts w:ascii="Verdana" w:hAnsi="Verdana"/>
          <w:b/>
          <w:color w:val="548DD4" w:themeColor="text2" w:themeTint="99"/>
          <w:sz w:val="20"/>
          <w:szCs w:val="20"/>
          <w:lang w:val="bg-BG"/>
        </w:rPr>
        <w:fldChar w:fldCharType="separate"/>
      </w:r>
      <w:r w:rsidR="001361E0">
        <w:rPr>
          <w:rFonts w:ascii="Verdana" w:hAnsi="Verdana"/>
          <w:b/>
          <w:noProof/>
          <w:color w:val="548DD4" w:themeColor="text2" w:themeTint="99"/>
          <w:sz w:val="20"/>
          <w:szCs w:val="20"/>
          <w:lang w:val="bg-BG"/>
        </w:rPr>
        <w:t>10</w:t>
      </w:r>
      <w:r w:rsidR="00BF1936" w:rsidRPr="00B45B4F">
        <w:rPr>
          <w:rFonts w:ascii="Verdana" w:hAnsi="Verdana"/>
          <w:b/>
          <w:color w:val="548DD4" w:themeColor="text2" w:themeTint="99"/>
          <w:sz w:val="20"/>
          <w:szCs w:val="20"/>
          <w:lang w:val="bg-BG"/>
        </w:rPr>
        <w:fldChar w:fldCharType="end"/>
      </w:r>
      <w:r w:rsidRPr="00B45B4F">
        <w:rPr>
          <w:rFonts w:ascii="Verdana" w:hAnsi="Verdana"/>
          <w:b/>
          <w:color w:val="548DD4" w:themeColor="text2" w:themeTint="99"/>
          <w:sz w:val="20"/>
          <w:szCs w:val="20"/>
          <w:lang w:val="bg-BG"/>
        </w:rPr>
        <w:t>. Допълване и разграничаване между ОПНОИР и ОПДУ</w:t>
      </w:r>
      <w:bookmarkEnd w:id="63"/>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83"/>
        <w:gridCol w:w="7315"/>
      </w:tblGrid>
      <w:tr w:rsidR="006F74A8" w:rsidRPr="00B45B4F" w:rsidTr="006F74A8">
        <w:tc>
          <w:tcPr>
            <w:tcW w:w="1710" w:type="dxa"/>
            <w:shd w:val="clear" w:color="auto" w:fill="548DD4" w:themeFill="text2" w:themeFillTint="99"/>
          </w:tcPr>
          <w:p w:rsidR="006F74A8" w:rsidRPr="00B45B4F" w:rsidRDefault="006F74A8" w:rsidP="006F74A8">
            <w:pPr>
              <w:spacing w:after="0"/>
              <w:rPr>
                <w:rFonts w:ascii="Verdana" w:hAnsi="Verdana"/>
                <w:sz w:val="20"/>
                <w:szCs w:val="20"/>
                <w:lang w:val="bg-BG" w:eastAsia="cs-CZ"/>
              </w:rPr>
            </w:pPr>
            <w:r w:rsidRPr="00B45B4F">
              <w:rPr>
                <w:rFonts w:ascii="Verdana" w:hAnsi="Verdana"/>
                <w:color w:val="FFFFFF" w:themeColor="background1"/>
                <w:sz w:val="20"/>
                <w:szCs w:val="20"/>
                <w:lang w:val="bg-BG"/>
              </w:rPr>
              <w:t xml:space="preserve">Допълване / Разграничаване в текста на </w:t>
            </w:r>
            <w:r w:rsidRPr="00B45B4F">
              <w:rPr>
                <w:rFonts w:ascii="Verdana" w:hAnsi="Verdana"/>
                <w:color w:val="FFFFFF" w:themeColor="background1"/>
                <w:sz w:val="20"/>
                <w:szCs w:val="20"/>
                <w:lang w:val="bg-BG"/>
              </w:rPr>
              <w:lastRenderedPageBreak/>
              <w:t>ОПНОИР</w:t>
            </w:r>
          </w:p>
        </w:tc>
        <w:tc>
          <w:tcPr>
            <w:tcW w:w="7380" w:type="dxa"/>
          </w:tcPr>
          <w:p w:rsidR="006F74A8" w:rsidRPr="00B45B4F" w:rsidRDefault="006F74A8" w:rsidP="00890623">
            <w:pPr>
              <w:spacing w:after="120"/>
              <w:jc w:val="both"/>
              <w:rPr>
                <w:rFonts w:ascii="Verdana" w:hAnsi="Verdana"/>
                <w:sz w:val="20"/>
                <w:szCs w:val="20"/>
                <w:lang w:val="bg-BG" w:eastAsia="cs-CZ"/>
              </w:rPr>
            </w:pPr>
            <w:r w:rsidRPr="00B45B4F">
              <w:rPr>
                <w:rFonts w:ascii="Verdana" w:hAnsi="Verdana"/>
                <w:b/>
                <w:sz w:val="20"/>
                <w:szCs w:val="20"/>
                <w:lang w:val="bg-BG" w:eastAsia="cs-CZ"/>
              </w:rPr>
              <w:lastRenderedPageBreak/>
              <w:t>Допълване</w:t>
            </w:r>
            <w:r w:rsidR="00802A48" w:rsidRPr="00B45B4F">
              <w:rPr>
                <w:rFonts w:ascii="Verdana" w:hAnsi="Verdana"/>
                <w:sz w:val="20"/>
                <w:szCs w:val="20"/>
                <w:lang w:val="bg-BG" w:eastAsia="cs-CZ"/>
              </w:rPr>
              <w:t xml:space="preserve">: посочено е, че ОПДУ ще способства за укрепване на капацитета на НПО, които са потенциални бенефициенти по </w:t>
            </w:r>
            <w:r w:rsidR="00802A48" w:rsidRPr="00B45B4F">
              <w:rPr>
                <w:rFonts w:ascii="Verdana" w:hAnsi="Verdana"/>
                <w:sz w:val="20"/>
                <w:szCs w:val="20"/>
                <w:lang w:val="bg-BG" w:eastAsia="cs-CZ"/>
              </w:rPr>
              <w:lastRenderedPageBreak/>
              <w:t>ОПНОИР</w:t>
            </w:r>
            <w:r w:rsidRPr="00B45B4F">
              <w:rPr>
                <w:rFonts w:ascii="Verdana" w:hAnsi="Verdana"/>
                <w:sz w:val="20"/>
                <w:szCs w:val="20"/>
                <w:lang w:val="bg-BG" w:eastAsia="cs-CZ"/>
              </w:rPr>
              <w:t>.</w:t>
            </w:r>
          </w:p>
          <w:p w:rsidR="006F74A8" w:rsidRPr="00B45B4F" w:rsidRDefault="006F74A8" w:rsidP="002D4C3A">
            <w:pPr>
              <w:spacing w:after="120"/>
              <w:jc w:val="both"/>
              <w:rPr>
                <w:rFonts w:ascii="Verdana" w:hAnsi="Verdana"/>
                <w:sz w:val="20"/>
                <w:szCs w:val="20"/>
                <w:lang w:val="bg-BG" w:eastAsia="cs-CZ"/>
              </w:rPr>
            </w:pPr>
            <w:r w:rsidRPr="00B45B4F">
              <w:rPr>
                <w:rFonts w:ascii="Verdana" w:hAnsi="Verdana"/>
                <w:b/>
                <w:sz w:val="20"/>
                <w:szCs w:val="20"/>
                <w:lang w:val="bg-BG" w:eastAsia="cs-CZ"/>
              </w:rPr>
              <w:t>Разгранич</w:t>
            </w:r>
            <w:r w:rsidR="002D4C3A">
              <w:rPr>
                <w:rFonts w:ascii="Verdana" w:hAnsi="Verdana"/>
                <w:b/>
                <w:sz w:val="20"/>
                <w:szCs w:val="20"/>
                <w:lang w:val="bg-BG" w:eastAsia="cs-CZ"/>
              </w:rPr>
              <w:t>аване</w:t>
            </w:r>
            <w:r w:rsidR="00802A48" w:rsidRPr="00B45B4F">
              <w:rPr>
                <w:rFonts w:ascii="Verdana" w:hAnsi="Verdana"/>
                <w:b/>
                <w:sz w:val="20"/>
                <w:szCs w:val="20"/>
                <w:lang w:val="bg-BG" w:eastAsia="cs-CZ"/>
              </w:rPr>
              <w:t>:</w:t>
            </w:r>
            <w:r w:rsidR="002D4C3A">
              <w:rPr>
                <w:rFonts w:ascii="Verdana" w:hAnsi="Verdana"/>
                <w:b/>
                <w:sz w:val="20"/>
                <w:szCs w:val="20"/>
                <w:lang w:val="bg-BG" w:eastAsia="cs-CZ"/>
              </w:rPr>
              <w:t xml:space="preserve"> </w:t>
            </w:r>
            <w:r w:rsidR="00802A48" w:rsidRPr="00B45B4F">
              <w:rPr>
                <w:rFonts w:ascii="Verdana" w:hAnsi="Verdana"/>
                <w:sz w:val="20"/>
                <w:szCs w:val="20"/>
                <w:lang w:val="bg-BG" w:eastAsia="cs-CZ"/>
              </w:rPr>
              <w:t xml:space="preserve">описани са разграничителните линии между двете програми, където потенциално би могло да съществуват възможности за застъпване и двойно финансиране – областта на електронното управление, финансиране на НПО, стажантски програми/практики. </w:t>
            </w:r>
          </w:p>
        </w:tc>
      </w:tr>
      <w:tr w:rsidR="006F74A8" w:rsidRPr="00B45B4F" w:rsidTr="006F74A8">
        <w:tc>
          <w:tcPr>
            <w:tcW w:w="1710" w:type="dxa"/>
            <w:shd w:val="clear" w:color="auto" w:fill="548DD4" w:themeFill="text2" w:themeFillTint="99"/>
          </w:tcPr>
          <w:p w:rsidR="006F74A8" w:rsidRPr="00B45B4F" w:rsidRDefault="006F74A8" w:rsidP="006F74A8">
            <w:pPr>
              <w:spacing w:after="0"/>
              <w:rPr>
                <w:rFonts w:ascii="Verdana" w:hAnsi="Verdana"/>
                <w:color w:val="FFFFFF" w:themeColor="background1"/>
                <w:sz w:val="20"/>
                <w:szCs w:val="20"/>
                <w:lang w:val="bg-BG"/>
              </w:rPr>
            </w:pPr>
            <w:r w:rsidRPr="00B45B4F">
              <w:rPr>
                <w:rFonts w:ascii="Verdana" w:hAnsi="Verdana"/>
                <w:color w:val="FFFFFF" w:themeColor="background1"/>
                <w:sz w:val="20"/>
                <w:szCs w:val="20"/>
                <w:lang w:val="bg-BG"/>
              </w:rPr>
              <w:lastRenderedPageBreak/>
              <w:t>Коментар</w:t>
            </w:r>
          </w:p>
        </w:tc>
        <w:tc>
          <w:tcPr>
            <w:tcW w:w="7380" w:type="dxa"/>
          </w:tcPr>
          <w:p w:rsidR="006F74A8" w:rsidRPr="00B45B4F" w:rsidRDefault="00802A48" w:rsidP="00890623">
            <w:pPr>
              <w:spacing w:after="120"/>
              <w:jc w:val="both"/>
              <w:rPr>
                <w:rFonts w:ascii="Verdana" w:hAnsi="Verdana"/>
                <w:sz w:val="20"/>
                <w:szCs w:val="20"/>
                <w:lang w:val="bg-BG" w:eastAsia="cs-CZ"/>
              </w:rPr>
            </w:pPr>
            <w:r w:rsidRPr="00B45B4F">
              <w:rPr>
                <w:rFonts w:ascii="Verdana" w:hAnsi="Verdana"/>
                <w:sz w:val="20"/>
                <w:szCs w:val="20"/>
                <w:lang w:val="bg-BG" w:eastAsia="cs-CZ"/>
              </w:rPr>
              <w:t>Допълването и разграничаването е добре описано.</w:t>
            </w:r>
          </w:p>
        </w:tc>
      </w:tr>
      <w:tr w:rsidR="006F74A8" w:rsidRPr="00B45B4F" w:rsidTr="006F74A8">
        <w:tc>
          <w:tcPr>
            <w:tcW w:w="1710" w:type="dxa"/>
            <w:shd w:val="clear" w:color="auto" w:fill="548DD4" w:themeFill="text2" w:themeFillTint="99"/>
          </w:tcPr>
          <w:p w:rsidR="006F74A8" w:rsidRPr="00B45B4F" w:rsidRDefault="006F74A8" w:rsidP="006F74A8">
            <w:pPr>
              <w:spacing w:after="0"/>
              <w:rPr>
                <w:rFonts w:ascii="Verdana" w:hAnsi="Verdana"/>
                <w:color w:val="FFFFFF" w:themeColor="background1"/>
                <w:sz w:val="20"/>
                <w:szCs w:val="20"/>
                <w:lang w:val="bg-BG"/>
              </w:rPr>
            </w:pPr>
            <w:r w:rsidRPr="00B45B4F">
              <w:rPr>
                <w:rFonts w:ascii="Verdana" w:hAnsi="Verdana"/>
                <w:color w:val="FFFFFF" w:themeColor="background1"/>
                <w:sz w:val="20"/>
                <w:szCs w:val="20"/>
                <w:lang w:val="bg-BG" w:eastAsia="cs-CZ"/>
              </w:rPr>
              <w:t>Препоръка</w:t>
            </w:r>
          </w:p>
        </w:tc>
        <w:tc>
          <w:tcPr>
            <w:tcW w:w="7380" w:type="dxa"/>
          </w:tcPr>
          <w:p w:rsidR="006F74A8" w:rsidRPr="00B45B4F" w:rsidRDefault="00802A48" w:rsidP="00890623">
            <w:pPr>
              <w:spacing w:after="120"/>
              <w:jc w:val="both"/>
              <w:rPr>
                <w:rFonts w:ascii="Verdana" w:hAnsi="Verdana"/>
                <w:sz w:val="20"/>
                <w:szCs w:val="20"/>
                <w:lang w:val="bg-BG" w:eastAsia="cs-CZ"/>
              </w:rPr>
            </w:pPr>
            <w:r w:rsidRPr="00B45B4F">
              <w:rPr>
                <w:rFonts w:ascii="Verdana" w:hAnsi="Verdana"/>
                <w:sz w:val="20"/>
                <w:szCs w:val="20"/>
                <w:lang w:val="bg-BG" w:eastAsia="cs-CZ"/>
              </w:rPr>
              <w:t>Няма</w:t>
            </w:r>
          </w:p>
        </w:tc>
      </w:tr>
    </w:tbl>
    <w:p w:rsidR="00416243" w:rsidRPr="00B45B4F" w:rsidRDefault="00416243" w:rsidP="00416243">
      <w:pPr>
        <w:ind w:left="360"/>
        <w:rPr>
          <w:rFonts w:ascii="Verdana" w:hAnsi="Verdana"/>
          <w:sz w:val="20"/>
          <w:szCs w:val="20"/>
          <w:lang w:val="bg-BG" w:eastAsia="cs-CZ"/>
        </w:rPr>
      </w:pPr>
    </w:p>
    <w:p w:rsidR="00DF1209" w:rsidRPr="00B45B4F" w:rsidRDefault="00DF1209" w:rsidP="00416243">
      <w:pPr>
        <w:keepNext/>
        <w:pBdr>
          <w:bottom w:val="single" w:sz="4" w:space="1" w:color="0070C0"/>
        </w:pBdr>
        <w:spacing w:before="360" w:after="120"/>
        <w:jc w:val="both"/>
        <w:rPr>
          <w:rFonts w:ascii="Verdana" w:hAnsi="Verdana"/>
          <w:color w:val="0070C0"/>
          <w:sz w:val="20"/>
          <w:szCs w:val="20"/>
          <w:lang w:val="bg-BG" w:eastAsia="cs-CZ"/>
        </w:rPr>
      </w:pPr>
      <w:r w:rsidRPr="00B45B4F">
        <w:rPr>
          <w:rFonts w:ascii="Verdana" w:hAnsi="Verdana"/>
          <w:color w:val="0070C0"/>
          <w:sz w:val="20"/>
          <w:szCs w:val="20"/>
          <w:lang w:val="bg-BG" w:eastAsia="cs-CZ"/>
        </w:rPr>
        <w:t xml:space="preserve">Оперативна програма „Развитие на човешките ресурси” (ОПРЧР) </w:t>
      </w:r>
      <w:r w:rsidR="005106CE" w:rsidRPr="00B45B4F">
        <w:rPr>
          <w:rFonts w:ascii="Verdana" w:hAnsi="Verdana"/>
          <w:color w:val="0070C0"/>
          <w:sz w:val="20"/>
          <w:szCs w:val="20"/>
          <w:lang w:val="bg-BG" w:eastAsia="cs-CZ"/>
        </w:rPr>
        <w:t>2014–2020</w:t>
      </w:r>
      <w:r w:rsidRPr="00B45B4F">
        <w:rPr>
          <w:rFonts w:ascii="Verdana" w:hAnsi="Verdana"/>
          <w:color w:val="0070C0"/>
          <w:sz w:val="20"/>
          <w:szCs w:val="20"/>
          <w:lang w:val="bg-BG" w:eastAsia="cs-CZ"/>
        </w:rPr>
        <w:t xml:space="preserve"> г.</w:t>
      </w:r>
    </w:p>
    <w:tbl>
      <w:tblPr>
        <w:tblW w:w="0" w:type="auto"/>
        <w:tblInd w:w="108" w:type="dxa"/>
        <w:tblLook w:val="04A0" w:firstRow="1" w:lastRow="0" w:firstColumn="1" w:lastColumn="0" w:noHBand="0" w:noVBand="1"/>
      </w:tblPr>
      <w:tblGrid>
        <w:gridCol w:w="9104"/>
      </w:tblGrid>
      <w:tr w:rsidR="00560E14" w:rsidRPr="00B45B4F" w:rsidTr="00F629E3">
        <w:tc>
          <w:tcPr>
            <w:tcW w:w="9104" w:type="dxa"/>
            <w:tcBorders>
              <w:bottom w:val="single" w:sz="4" w:space="0" w:color="auto"/>
            </w:tcBorders>
            <w:shd w:val="clear" w:color="auto" w:fill="auto"/>
          </w:tcPr>
          <w:p w:rsidR="002E0D02" w:rsidRPr="00B45B4F" w:rsidRDefault="002E0D02" w:rsidP="00802A48">
            <w:pPr>
              <w:pBdr>
                <w:top w:val="single" w:sz="4" w:space="0" w:color="auto"/>
                <w:left w:val="single" w:sz="4" w:space="4" w:color="auto"/>
                <w:bottom w:val="single" w:sz="4" w:space="1" w:color="auto"/>
                <w:right w:val="single" w:sz="4" w:space="4" w:color="auto"/>
              </w:pBdr>
              <w:shd w:val="clear" w:color="auto" w:fill="548DD4" w:themeFill="text2" w:themeFillTint="99"/>
              <w:autoSpaceDE w:val="0"/>
              <w:autoSpaceDN w:val="0"/>
              <w:adjustRightInd w:val="0"/>
              <w:spacing w:after="120"/>
              <w:rPr>
                <w:rFonts w:ascii="Verdana" w:hAnsi="Verdana"/>
                <w:color w:val="FFFFFF" w:themeColor="background1"/>
                <w:sz w:val="20"/>
                <w:szCs w:val="20"/>
                <w:lang w:val="bg-BG" w:eastAsia="fr-BE"/>
              </w:rPr>
            </w:pPr>
            <w:r w:rsidRPr="00B45B4F">
              <w:rPr>
                <w:rFonts w:ascii="Verdana" w:hAnsi="Verdana"/>
                <w:color w:val="FFFFFF" w:themeColor="background1"/>
                <w:sz w:val="20"/>
                <w:szCs w:val="20"/>
                <w:lang w:val="bg-BG" w:eastAsia="fr-BE"/>
              </w:rPr>
              <w:t>Приоритетна ос 1:  Подобряване достъпа до заетост и качеството на работните места</w:t>
            </w:r>
          </w:p>
          <w:p w:rsidR="002E0D02" w:rsidRPr="00B45B4F" w:rsidRDefault="002E0D02" w:rsidP="006861B0">
            <w:pPr>
              <w:pStyle w:val="ListParagraph"/>
              <w:numPr>
                <w:ilvl w:val="1"/>
                <w:numId w:val="52"/>
              </w:numPr>
              <w:spacing w:after="120"/>
              <w:ind w:left="522" w:hanging="522"/>
              <w:jc w:val="both"/>
              <w:rPr>
                <w:rFonts w:ascii="Verdana" w:hAnsi="Verdana"/>
                <w:sz w:val="20"/>
                <w:szCs w:val="20"/>
                <w:lang w:val="bg-BG"/>
              </w:rPr>
            </w:pPr>
            <w:r w:rsidRPr="00B45B4F">
              <w:rPr>
                <w:rFonts w:ascii="Verdana" w:hAnsi="Verdana"/>
                <w:sz w:val="20"/>
                <w:szCs w:val="20"/>
                <w:lang w:val="bg-BG"/>
              </w:rPr>
              <w:t>„Достъп до заетост за търсещите работа и неактивните лица, включително трайно безработни и лица, отдалечени от пазара на труда, а също и чрез местните инициативи за заетост, и подкрепа за мобилността на работната сила”</w:t>
            </w:r>
          </w:p>
          <w:p w:rsidR="002E0D02" w:rsidRPr="00B45B4F" w:rsidRDefault="002E0D02" w:rsidP="006861B0">
            <w:pPr>
              <w:pStyle w:val="ListParagraph"/>
              <w:numPr>
                <w:ilvl w:val="1"/>
                <w:numId w:val="52"/>
              </w:numPr>
              <w:spacing w:after="120"/>
              <w:ind w:left="522" w:hanging="522"/>
              <w:jc w:val="both"/>
              <w:rPr>
                <w:rFonts w:ascii="Verdana" w:hAnsi="Verdana"/>
                <w:sz w:val="20"/>
                <w:szCs w:val="20"/>
                <w:lang w:val="bg-BG"/>
              </w:rPr>
            </w:pPr>
            <w:r w:rsidRPr="00B45B4F">
              <w:rPr>
                <w:rFonts w:ascii="Verdana" w:hAnsi="Verdana"/>
                <w:sz w:val="20"/>
                <w:szCs w:val="20"/>
                <w:lang w:val="bg-BG"/>
              </w:rPr>
              <w:t xml:space="preserve">Устойчива интеграция на пазара на труда на младите хора, в частност на тези, в частност тези, които не са ангажирани с трудова дейност, образование или обучение, включително младите хора изложени на риск от социално изключване и младите хора от </w:t>
            </w:r>
            <w:proofErr w:type="spellStart"/>
            <w:r w:rsidRPr="00B45B4F">
              <w:rPr>
                <w:rFonts w:ascii="Verdana" w:hAnsi="Verdana"/>
                <w:sz w:val="20"/>
                <w:szCs w:val="20"/>
                <w:lang w:val="bg-BG"/>
              </w:rPr>
              <w:t>маргинализирани</w:t>
            </w:r>
            <w:proofErr w:type="spellEnd"/>
            <w:r w:rsidRPr="00B45B4F">
              <w:rPr>
                <w:rFonts w:ascii="Verdana" w:hAnsi="Verdana"/>
                <w:sz w:val="20"/>
                <w:szCs w:val="20"/>
                <w:lang w:val="bg-BG"/>
              </w:rPr>
              <w:t xml:space="preserve"> общности, включително чрез прилагане на гаранцията за младежта</w:t>
            </w:r>
          </w:p>
          <w:p w:rsidR="002E0D02" w:rsidRPr="00B45B4F" w:rsidRDefault="002E0D02" w:rsidP="006861B0">
            <w:pPr>
              <w:pStyle w:val="ListParagraph"/>
              <w:numPr>
                <w:ilvl w:val="1"/>
                <w:numId w:val="52"/>
              </w:numPr>
              <w:spacing w:after="120"/>
              <w:ind w:left="522" w:hanging="522"/>
              <w:jc w:val="both"/>
              <w:rPr>
                <w:rFonts w:ascii="Verdana" w:hAnsi="Verdana"/>
                <w:sz w:val="20"/>
                <w:szCs w:val="20"/>
                <w:lang w:val="bg-BG"/>
              </w:rPr>
            </w:pPr>
            <w:r w:rsidRPr="00B45B4F">
              <w:rPr>
                <w:rFonts w:ascii="Verdana" w:hAnsi="Verdana"/>
                <w:sz w:val="20"/>
                <w:szCs w:val="20"/>
                <w:lang w:val="bg-BG"/>
              </w:rPr>
              <w:t xml:space="preserve">„Самостоятелна заетост, предприемачество и създаване на предприятия, включително иновативни </w:t>
            </w:r>
            <w:proofErr w:type="spellStart"/>
            <w:r w:rsidRPr="00B45B4F">
              <w:rPr>
                <w:rFonts w:ascii="Verdana" w:hAnsi="Verdana"/>
                <w:sz w:val="20"/>
                <w:szCs w:val="20"/>
                <w:lang w:val="bg-BG"/>
              </w:rPr>
              <w:t>микро</w:t>
            </w:r>
            <w:proofErr w:type="spellEnd"/>
            <w:r w:rsidRPr="00B45B4F">
              <w:rPr>
                <w:rFonts w:ascii="Verdana" w:hAnsi="Verdana"/>
                <w:sz w:val="20"/>
                <w:szCs w:val="20"/>
                <w:lang w:val="bg-BG"/>
              </w:rPr>
              <w:t>-, малки и средни предприятия”</w:t>
            </w:r>
          </w:p>
          <w:p w:rsidR="002E0D02" w:rsidRPr="00B45B4F" w:rsidRDefault="002E0D02" w:rsidP="006861B0">
            <w:pPr>
              <w:pStyle w:val="ListParagraph"/>
              <w:numPr>
                <w:ilvl w:val="1"/>
                <w:numId w:val="52"/>
              </w:numPr>
              <w:spacing w:after="120"/>
              <w:ind w:left="522" w:hanging="522"/>
              <w:jc w:val="both"/>
              <w:rPr>
                <w:rFonts w:ascii="Verdana" w:hAnsi="Verdana"/>
                <w:sz w:val="20"/>
                <w:szCs w:val="20"/>
                <w:lang w:val="bg-BG"/>
              </w:rPr>
            </w:pPr>
            <w:r w:rsidRPr="00B45B4F">
              <w:rPr>
                <w:rFonts w:ascii="Verdana" w:hAnsi="Verdana"/>
                <w:sz w:val="20"/>
                <w:szCs w:val="20"/>
                <w:lang w:val="bg-BG"/>
              </w:rPr>
              <w:t>Подобряване на равния достъп до възможностите за учене през целия живот за всички възрастови групи във формален, неформален и неофициален вид, осъвременяване на познанията, уменията и компетенциите на работната ръка, както и насърчаване на гъвкави процеси на учене, включително чрез професионална ориентация и валидиране на придобитите компетенции</w:t>
            </w:r>
          </w:p>
          <w:p w:rsidR="002E0D02" w:rsidRPr="00B45B4F" w:rsidRDefault="002E0D02" w:rsidP="006861B0">
            <w:pPr>
              <w:pStyle w:val="ListParagraph"/>
              <w:numPr>
                <w:ilvl w:val="1"/>
                <w:numId w:val="52"/>
              </w:numPr>
              <w:spacing w:after="120"/>
              <w:ind w:left="522" w:hanging="522"/>
              <w:jc w:val="both"/>
              <w:rPr>
                <w:rFonts w:ascii="Verdana" w:hAnsi="Verdana"/>
                <w:sz w:val="20"/>
                <w:szCs w:val="20"/>
                <w:lang w:val="bg-BG"/>
              </w:rPr>
            </w:pPr>
            <w:r w:rsidRPr="00B45B4F">
              <w:rPr>
                <w:rFonts w:ascii="Verdana" w:hAnsi="Verdana"/>
                <w:sz w:val="20"/>
                <w:szCs w:val="20"/>
                <w:lang w:val="bg-BG"/>
              </w:rPr>
              <w:t>„Приспособяване на работниците, предприятията и предприемачите към промените”</w:t>
            </w:r>
          </w:p>
        </w:tc>
      </w:tr>
      <w:tr w:rsidR="00560E14" w:rsidRPr="00B45B4F" w:rsidTr="00802A48">
        <w:trPr>
          <w:trHeight w:val="337"/>
        </w:trPr>
        <w:tc>
          <w:tcPr>
            <w:tcW w:w="9104" w:type="dxa"/>
            <w:tcBorders>
              <w:top w:val="single" w:sz="4" w:space="0" w:color="auto"/>
              <w:bottom w:val="single" w:sz="4" w:space="0" w:color="auto"/>
            </w:tcBorders>
            <w:shd w:val="clear" w:color="auto" w:fill="548DD4" w:themeFill="text2" w:themeFillTint="99"/>
          </w:tcPr>
          <w:p w:rsidR="002E0D02" w:rsidRPr="00B45B4F" w:rsidRDefault="002E0D02" w:rsidP="00802A48">
            <w:pPr>
              <w:keepNext/>
              <w:autoSpaceDE w:val="0"/>
              <w:autoSpaceDN w:val="0"/>
              <w:adjustRightInd w:val="0"/>
              <w:spacing w:after="120" w:line="240" w:lineRule="auto"/>
              <w:rPr>
                <w:rFonts w:ascii="Verdana" w:hAnsi="Verdana"/>
                <w:color w:val="FFFFFF" w:themeColor="background1"/>
                <w:sz w:val="20"/>
                <w:szCs w:val="20"/>
                <w:lang w:val="bg-BG" w:eastAsia="fr-BE"/>
              </w:rPr>
            </w:pPr>
            <w:r w:rsidRPr="00B45B4F">
              <w:rPr>
                <w:rFonts w:ascii="Verdana" w:hAnsi="Verdana"/>
                <w:color w:val="FFFFFF" w:themeColor="background1"/>
                <w:sz w:val="20"/>
                <w:szCs w:val="20"/>
                <w:lang w:val="bg-BG" w:eastAsia="fr-BE"/>
              </w:rPr>
              <w:t>Приоритетна ос 2: Намаляване на бедността и насърчаване на социалното включване</w:t>
            </w:r>
          </w:p>
        </w:tc>
      </w:tr>
      <w:tr w:rsidR="00560E14" w:rsidRPr="00B45B4F" w:rsidTr="00F629E3">
        <w:trPr>
          <w:trHeight w:val="1005"/>
        </w:trPr>
        <w:tc>
          <w:tcPr>
            <w:tcW w:w="9104" w:type="dxa"/>
            <w:tcBorders>
              <w:top w:val="single" w:sz="4" w:space="0" w:color="auto"/>
              <w:bottom w:val="single" w:sz="4" w:space="0" w:color="auto"/>
            </w:tcBorders>
            <w:shd w:val="clear" w:color="auto" w:fill="auto"/>
          </w:tcPr>
          <w:p w:rsidR="002E0D02" w:rsidRPr="00B45B4F" w:rsidRDefault="002E0D02" w:rsidP="006861B0">
            <w:pPr>
              <w:pStyle w:val="ListParagraph"/>
              <w:numPr>
                <w:ilvl w:val="0"/>
                <w:numId w:val="53"/>
              </w:numPr>
              <w:tabs>
                <w:tab w:val="left" w:pos="522"/>
              </w:tabs>
              <w:autoSpaceDE w:val="0"/>
              <w:autoSpaceDN w:val="0"/>
              <w:adjustRightInd w:val="0"/>
              <w:spacing w:after="120"/>
              <w:ind w:left="522" w:hanging="522"/>
              <w:jc w:val="both"/>
              <w:rPr>
                <w:rFonts w:ascii="Verdana" w:hAnsi="Verdana"/>
                <w:sz w:val="20"/>
                <w:szCs w:val="20"/>
                <w:lang w:val="bg-BG"/>
              </w:rPr>
            </w:pPr>
            <w:r w:rsidRPr="00B45B4F">
              <w:rPr>
                <w:rFonts w:ascii="Verdana" w:hAnsi="Verdana"/>
                <w:sz w:val="20"/>
                <w:szCs w:val="20"/>
                <w:lang w:val="bg-BG"/>
              </w:rPr>
              <w:t xml:space="preserve">„Социално-икономическа интеграция на </w:t>
            </w:r>
            <w:proofErr w:type="spellStart"/>
            <w:r w:rsidRPr="00B45B4F">
              <w:rPr>
                <w:rFonts w:ascii="Verdana" w:hAnsi="Verdana"/>
                <w:sz w:val="20"/>
                <w:szCs w:val="20"/>
                <w:lang w:val="bg-BG"/>
              </w:rPr>
              <w:t>маргинализирани</w:t>
            </w:r>
            <w:proofErr w:type="spellEnd"/>
            <w:r w:rsidRPr="00B45B4F">
              <w:rPr>
                <w:rFonts w:ascii="Verdana" w:hAnsi="Verdana"/>
                <w:sz w:val="20"/>
                <w:szCs w:val="20"/>
                <w:lang w:val="bg-BG"/>
              </w:rPr>
              <w:t xml:space="preserve"> общности като ромите”</w:t>
            </w:r>
          </w:p>
          <w:p w:rsidR="002E0D02" w:rsidRPr="00B45B4F" w:rsidRDefault="002E0D02" w:rsidP="006861B0">
            <w:pPr>
              <w:pStyle w:val="ListParagraph"/>
              <w:numPr>
                <w:ilvl w:val="0"/>
                <w:numId w:val="53"/>
              </w:numPr>
              <w:tabs>
                <w:tab w:val="left" w:pos="522"/>
              </w:tabs>
              <w:autoSpaceDE w:val="0"/>
              <w:autoSpaceDN w:val="0"/>
              <w:adjustRightInd w:val="0"/>
              <w:spacing w:after="120"/>
              <w:ind w:left="522" w:hanging="522"/>
              <w:jc w:val="both"/>
              <w:rPr>
                <w:rFonts w:ascii="Verdana" w:hAnsi="Verdana"/>
                <w:sz w:val="20"/>
                <w:szCs w:val="20"/>
                <w:lang w:val="bg-BG"/>
              </w:rPr>
            </w:pPr>
            <w:r w:rsidRPr="00B45B4F">
              <w:rPr>
                <w:rFonts w:ascii="Verdana" w:hAnsi="Verdana"/>
                <w:sz w:val="20"/>
                <w:szCs w:val="20"/>
                <w:lang w:val="bg-BG"/>
              </w:rPr>
              <w:t>„Активно приобщаване, включително с оглед насърчаване на равните възможности и активното участие и по-добрата пригодност за заетост”</w:t>
            </w:r>
          </w:p>
          <w:p w:rsidR="002E0D02" w:rsidRPr="00B45B4F" w:rsidRDefault="002E0D02" w:rsidP="006861B0">
            <w:pPr>
              <w:pStyle w:val="ListParagraph"/>
              <w:numPr>
                <w:ilvl w:val="0"/>
                <w:numId w:val="53"/>
              </w:numPr>
              <w:tabs>
                <w:tab w:val="left" w:pos="522"/>
              </w:tabs>
              <w:autoSpaceDE w:val="0"/>
              <w:autoSpaceDN w:val="0"/>
              <w:adjustRightInd w:val="0"/>
              <w:spacing w:after="120"/>
              <w:ind w:left="522" w:hanging="522"/>
              <w:jc w:val="both"/>
              <w:rPr>
                <w:rFonts w:ascii="Verdana" w:hAnsi="Verdana"/>
                <w:sz w:val="20"/>
                <w:szCs w:val="20"/>
                <w:lang w:val="bg-BG"/>
              </w:rPr>
            </w:pPr>
            <w:r w:rsidRPr="00B45B4F">
              <w:rPr>
                <w:rFonts w:ascii="Verdana" w:hAnsi="Verdana"/>
                <w:sz w:val="20"/>
                <w:szCs w:val="20"/>
                <w:lang w:val="bg-BG"/>
              </w:rPr>
              <w:t>„Насърчаване на социалното предприемачество и на професионалната интеграция в социалните предприятия и насърчаване на социалната и солидарна икономика с цел улесняване на достъпа до заетост”</w:t>
            </w:r>
          </w:p>
        </w:tc>
      </w:tr>
      <w:tr w:rsidR="00560E14" w:rsidRPr="00B45B4F" w:rsidTr="00802A48">
        <w:trPr>
          <w:trHeight w:val="530"/>
        </w:trPr>
        <w:tc>
          <w:tcPr>
            <w:tcW w:w="9104" w:type="dxa"/>
            <w:tcBorders>
              <w:top w:val="single" w:sz="4" w:space="0" w:color="auto"/>
              <w:bottom w:val="single" w:sz="4" w:space="0" w:color="auto"/>
            </w:tcBorders>
            <w:shd w:val="clear" w:color="auto" w:fill="548DD4" w:themeFill="text2" w:themeFillTint="99"/>
          </w:tcPr>
          <w:p w:rsidR="002E0D02" w:rsidRPr="00B45B4F" w:rsidRDefault="002E0D02" w:rsidP="00802A48">
            <w:pPr>
              <w:pStyle w:val="ListParagraph"/>
              <w:tabs>
                <w:tab w:val="left" w:pos="0"/>
              </w:tabs>
              <w:autoSpaceDE w:val="0"/>
              <w:autoSpaceDN w:val="0"/>
              <w:adjustRightInd w:val="0"/>
              <w:spacing w:after="120"/>
              <w:ind w:left="-18"/>
              <w:jc w:val="both"/>
              <w:rPr>
                <w:rFonts w:ascii="Verdana" w:hAnsi="Verdana"/>
                <w:sz w:val="20"/>
                <w:szCs w:val="20"/>
                <w:lang w:val="bg-BG"/>
              </w:rPr>
            </w:pPr>
            <w:r w:rsidRPr="00B45B4F">
              <w:rPr>
                <w:rFonts w:ascii="Verdana" w:hAnsi="Verdana"/>
                <w:color w:val="FFFFFF" w:themeColor="background1"/>
                <w:sz w:val="20"/>
                <w:szCs w:val="20"/>
                <w:lang w:val="bg-BG" w:eastAsia="fr-BE"/>
              </w:rPr>
              <w:lastRenderedPageBreak/>
              <w:t>Приоритетна ос 3: Модернизация на институциите на пазара на труда, социалното включване и здравеопазването</w:t>
            </w:r>
          </w:p>
        </w:tc>
      </w:tr>
      <w:tr w:rsidR="00560E14" w:rsidRPr="00B45B4F" w:rsidTr="00F629E3">
        <w:trPr>
          <w:trHeight w:val="1005"/>
        </w:trPr>
        <w:tc>
          <w:tcPr>
            <w:tcW w:w="9104" w:type="dxa"/>
            <w:tcBorders>
              <w:top w:val="single" w:sz="4" w:space="0" w:color="auto"/>
              <w:bottom w:val="single" w:sz="4" w:space="0" w:color="auto"/>
            </w:tcBorders>
            <w:shd w:val="clear" w:color="auto" w:fill="auto"/>
          </w:tcPr>
          <w:p w:rsidR="002E0D02" w:rsidRPr="00B45B4F" w:rsidRDefault="002E0D02" w:rsidP="006861B0">
            <w:pPr>
              <w:pStyle w:val="ListParagraph"/>
              <w:numPr>
                <w:ilvl w:val="0"/>
                <w:numId w:val="54"/>
              </w:numPr>
              <w:tabs>
                <w:tab w:val="left" w:pos="522"/>
              </w:tabs>
              <w:autoSpaceDE w:val="0"/>
              <w:autoSpaceDN w:val="0"/>
              <w:adjustRightInd w:val="0"/>
              <w:spacing w:after="120"/>
              <w:ind w:left="522" w:hanging="522"/>
              <w:jc w:val="both"/>
              <w:rPr>
                <w:rFonts w:ascii="Verdana" w:hAnsi="Verdana"/>
                <w:sz w:val="20"/>
                <w:szCs w:val="20"/>
                <w:lang w:val="bg-BG"/>
              </w:rPr>
            </w:pPr>
            <w:r w:rsidRPr="00B45B4F">
              <w:rPr>
                <w:rFonts w:ascii="Verdana" w:hAnsi="Verdana"/>
                <w:sz w:val="20"/>
                <w:szCs w:val="20"/>
                <w:lang w:val="bg-BG"/>
              </w:rPr>
              <w:t>„Изграждане на капацитет по отношение на всички заинтересовани страни, които изпълняват политики в областта на образованието, ученето през целия живот, обучението и политиките в областта на заетостта и социалната сфера, включително чрез секторни и териториални пактове за мобилизиране с цел осъществяването на реформи на национално, регионално и местно равнище”</w:t>
            </w:r>
          </w:p>
          <w:p w:rsidR="002E0D02" w:rsidRPr="00B45B4F" w:rsidRDefault="002E0D02" w:rsidP="006861B0">
            <w:pPr>
              <w:pStyle w:val="ListParagraph"/>
              <w:numPr>
                <w:ilvl w:val="0"/>
                <w:numId w:val="54"/>
              </w:numPr>
              <w:tabs>
                <w:tab w:val="left" w:pos="522"/>
              </w:tabs>
              <w:spacing w:after="120"/>
              <w:ind w:left="522" w:hanging="522"/>
              <w:jc w:val="both"/>
              <w:rPr>
                <w:rFonts w:ascii="Verdana" w:hAnsi="Verdana"/>
                <w:sz w:val="20"/>
                <w:szCs w:val="20"/>
                <w:lang w:val="bg-BG"/>
              </w:rPr>
            </w:pPr>
            <w:r w:rsidRPr="00B45B4F">
              <w:rPr>
                <w:rFonts w:ascii="Verdana" w:hAnsi="Verdana"/>
                <w:sz w:val="20"/>
                <w:szCs w:val="20"/>
                <w:lang w:val="bg-BG"/>
              </w:rPr>
              <w:t>„Изграждане на капацитет по отношение на заинтересованите страни, които предоставят образование, форми на учене през целия живот, обучение и заетост и социални политики, включително чрез секторни и териториални пактове за мобилизиране с цел осъществяването на реформи на национално, регионално и местно равнище”</w:t>
            </w:r>
          </w:p>
        </w:tc>
      </w:tr>
      <w:tr w:rsidR="00560E14" w:rsidRPr="00B45B4F" w:rsidTr="00802A48">
        <w:trPr>
          <w:trHeight w:val="376"/>
        </w:trPr>
        <w:tc>
          <w:tcPr>
            <w:tcW w:w="9104" w:type="dxa"/>
            <w:tcBorders>
              <w:top w:val="single" w:sz="4" w:space="0" w:color="auto"/>
              <w:bottom w:val="single" w:sz="4" w:space="0" w:color="auto"/>
            </w:tcBorders>
            <w:shd w:val="clear" w:color="auto" w:fill="548DD4" w:themeFill="text2" w:themeFillTint="99"/>
          </w:tcPr>
          <w:p w:rsidR="002E0D02" w:rsidRPr="00B45B4F" w:rsidRDefault="002E0D02" w:rsidP="00802A48">
            <w:pPr>
              <w:autoSpaceDE w:val="0"/>
              <w:autoSpaceDN w:val="0"/>
              <w:adjustRightInd w:val="0"/>
              <w:spacing w:after="120"/>
              <w:rPr>
                <w:rFonts w:ascii="Verdana" w:hAnsi="Verdana"/>
                <w:color w:val="FFFFFF" w:themeColor="background1"/>
                <w:sz w:val="20"/>
                <w:szCs w:val="20"/>
                <w:lang w:val="bg-BG"/>
              </w:rPr>
            </w:pPr>
            <w:r w:rsidRPr="00B45B4F">
              <w:rPr>
                <w:rFonts w:ascii="Verdana" w:hAnsi="Verdana"/>
                <w:color w:val="FFFFFF" w:themeColor="background1"/>
                <w:sz w:val="20"/>
                <w:szCs w:val="20"/>
                <w:lang w:val="bg-BG" w:eastAsia="fr-BE"/>
              </w:rPr>
              <w:t>Приоритетна ос 4: Транснационално сътрудничество</w:t>
            </w:r>
          </w:p>
        </w:tc>
      </w:tr>
    </w:tbl>
    <w:p w:rsidR="002E0D02" w:rsidRPr="00B45B4F" w:rsidRDefault="002E0D02" w:rsidP="002E0D02">
      <w:pPr>
        <w:pStyle w:val="Caption"/>
        <w:jc w:val="center"/>
        <w:rPr>
          <w:rFonts w:ascii="Verdana" w:hAnsi="Verdana"/>
          <w:color w:val="006CB6"/>
        </w:rPr>
      </w:pPr>
      <w:bookmarkStart w:id="64" w:name="_Toc376515426"/>
    </w:p>
    <w:p w:rsidR="00E55E63" w:rsidRPr="00B45B4F" w:rsidRDefault="00E55E63" w:rsidP="00802A48">
      <w:pPr>
        <w:keepNext/>
        <w:spacing w:before="240" w:after="120"/>
        <w:rPr>
          <w:rFonts w:ascii="Verdana" w:hAnsi="Verdana"/>
          <w:b/>
          <w:color w:val="548DD4" w:themeColor="text2" w:themeTint="99"/>
          <w:sz w:val="20"/>
          <w:szCs w:val="20"/>
          <w:lang w:val="bg-BG"/>
        </w:rPr>
      </w:pPr>
      <w:bookmarkStart w:id="65" w:name="_Toc395612567"/>
      <w:r w:rsidRPr="00B45B4F">
        <w:rPr>
          <w:rFonts w:ascii="Verdana" w:hAnsi="Verdana"/>
          <w:b/>
          <w:color w:val="548DD4" w:themeColor="text2" w:themeTint="99"/>
          <w:sz w:val="20"/>
          <w:szCs w:val="20"/>
          <w:lang w:val="bg-BG"/>
        </w:rPr>
        <w:t xml:space="preserve">Таблица </w:t>
      </w:r>
      <w:r w:rsidR="00BF1936" w:rsidRPr="00B45B4F">
        <w:rPr>
          <w:rFonts w:ascii="Verdana" w:hAnsi="Verdana"/>
          <w:b/>
          <w:color w:val="548DD4" w:themeColor="text2" w:themeTint="99"/>
          <w:sz w:val="20"/>
          <w:szCs w:val="20"/>
          <w:lang w:val="bg-BG"/>
        </w:rPr>
        <w:fldChar w:fldCharType="begin"/>
      </w:r>
      <w:r w:rsidRPr="00B45B4F">
        <w:rPr>
          <w:rFonts w:ascii="Verdana" w:hAnsi="Verdana"/>
          <w:b/>
          <w:color w:val="548DD4" w:themeColor="text2" w:themeTint="99"/>
          <w:sz w:val="20"/>
          <w:szCs w:val="20"/>
          <w:lang w:val="bg-BG"/>
        </w:rPr>
        <w:instrText xml:space="preserve"> SEQ Таблица \* ARABIC </w:instrText>
      </w:r>
      <w:r w:rsidR="00BF1936" w:rsidRPr="00B45B4F">
        <w:rPr>
          <w:rFonts w:ascii="Verdana" w:hAnsi="Verdana"/>
          <w:b/>
          <w:color w:val="548DD4" w:themeColor="text2" w:themeTint="99"/>
          <w:sz w:val="20"/>
          <w:szCs w:val="20"/>
          <w:lang w:val="bg-BG"/>
        </w:rPr>
        <w:fldChar w:fldCharType="separate"/>
      </w:r>
      <w:r w:rsidR="001361E0">
        <w:rPr>
          <w:rFonts w:ascii="Verdana" w:hAnsi="Verdana"/>
          <w:b/>
          <w:noProof/>
          <w:color w:val="548DD4" w:themeColor="text2" w:themeTint="99"/>
          <w:sz w:val="20"/>
          <w:szCs w:val="20"/>
          <w:lang w:val="bg-BG"/>
        </w:rPr>
        <w:t>11</w:t>
      </w:r>
      <w:r w:rsidR="00BF1936" w:rsidRPr="00B45B4F">
        <w:rPr>
          <w:rFonts w:ascii="Verdana" w:hAnsi="Verdana"/>
          <w:b/>
          <w:color w:val="548DD4" w:themeColor="text2" w:themeTint="99"/>
          <w:sz w:val="20"/>
          <w:szCs w:val="20"/>
          <w:lang w:val="bg-BG"/>
        </w:rPr>
        <w:fldChar w:fldCharType="end"/>
      </w:r>
      <w:r w:rsidRPr="00B45B4F">
        <w:rPr>
          <w:rFonts w:ascii="Verdana" w:hAnsi="Verdana"/>
          <w:b/>
          <w:color w:val="548DD4" w:themeColor="text2" w:themeTint="99"/>
          <w:sz w:val="20"/>
          <w:szCs w:val="20"/>
          <w:lang w:val="bg-BG"/>
        </w:rPr>
        <w:t>: Връзки между приоритетите на ОПНОИР и ОПРЧР</w:t>
      </w:r>
      <w:bookmarkEnd w:id="65"/>
    </w:p>
    <w:tbl>
      <w:tblPr>
        <w:tblW w:w="10200" w:type="dxa"/>
        <w:jc w:val="center"/>
        <w:tblLook w:val="04A0" w:firstRow="1" w:lastRow="0" w:firstColumn="1" w:lastColumn="0" w:noHBand="0" w:noVBand="1"/>
      </w:tblPr>
      <w:tblGrid>
        <w:gridCol w:w="2599"/>
        <w:gridCol w:w="1311"/>
        <w:gridCol w:w="893"/>
        <w:gridCol w:w="924"/>
        <w:gridCol w:w="869"/>
        <w:gridCol w:w="887"/>
        <w:gridCol w:w="830"/>
        <w:gridCol w:w="980"/>
        <w:gridCol w:w="907"/>
      </w:tblGrid>
      <w:tr w:rsidR="002E0D02" w:rsidRPr="00B45B4F" w:rsidTr="00802A48">
        <w:trPr>
          <w:trHeight w:val="780"/>
          <w:jc w:val="center"/>
        </w:trPr>
        <w:tc>
          <w:tcPr>
            <w:tcW w:w="2599" w:type="dxa"/>
            <w:tcBorders>
              <w:top w:val="single" w:sz="4" w:space="0" w:color="auto"/>
              <w:left w:val="single" w:sz="4" w:space="0" w:color="auto"/>
              <w:bottom w:val="single" w:sz="4" w:space="0" w:color="auto"/>
              <w:right w:val="single" w:sz="4" w:space="0" w:color="auto"/>
            </w:tcBorders>
            <w:shd w:val="clear" w:color="000000" w:fill="548DD4"/>
            <w:vAlign w:val="center"/>
            <w:hideMark/>
          </w:tcPr>
          <w:p w:rsidR="002E0D02" w:rsidRPr="00B45B4F" w:rsidRDefault="002E0D02" w:rsidP="002E0D02">
            <w:pPr>
              <w:spacing w:after="0" w:line="240" w:lineRule="auto"/>
              <w:jc w:val="center"/>
              <w:rPr>
                <w:rFonts w:ascii="Verdana" w:eastAsia="Times New Roman" w:hAnsi="Verdana"/>
                <w:bCs/>
                <w:color w:val="FFFFFF"/>
                <w:sz w:val="18"/>
                <w:szCs w:val="18"/>
                <w:lang w:val="bg-BG"/>
              </w:rPr>
            </w:pPr>
            <w:r w:rsidRPr="00B45B4F">
              <w:rPr>
                <w:rFonts w:ascii="Verdana" w:eastAsia="Times New Roman" w:hAnsi="Verdana"/>
                <w:bCs/>
                <w:color w:val="FFFFFF"/>
                <w:sz w:val="18"/>
                <w:szCs w:val="18"/>
                <w:lang w:val="bg-BG"/>
              </w:rPr>
              <w:t>Оперативна програма / приоритетна ос</w:t>
            </w:r>
          </w:p>
        </w:tc>
        <w:tc>
          <w:tcPr>
            <w:tcW w:w="1311" w:type="dxa"/>
            <w:tcBorders>
              <w:top w:val="single" w:sz="4" w:space="0" w:color="auto"/>
              <w:left w:val="nil"/>
              <w:bottom w:val="single" w:sz="4" w:space="0" w:color="auto"/>
              <w:right w:val="single" w:sz="4" w:space="0" w:color="auto"/>
            </w:tcBorders>
            <w:shd w:val="clear" w:color="000000" w:fill="548DD4"/>
            <w:vAlign w:val="center"/>
            <w:hideMark/>
          </w:tcPr>
          <w:p w:rsidR="002E0D02" w:rsidRPr="00B45B4F" w:rsidRDefault="002E0D02" w:rsidP="002E0D02">
            <w:pPr>
              <w:spacing w:after="0" w:line="240" w:lineRule="auto"/>
              <w:jc w:val="center"/>
              <w:rPr>
                <w:rFonts w:ascii="Verdana" w:eastAsia="Times New Roman" w:hAnsi="Verdana"/>
                <w:bCs/>
                <w:color w:val="FFFFFF"/>
                <w:sz w:val="18"/>
                <w:szCs w:val="18"/>
                <w:lang w:val="bg-BG"/>
              </w:rPr>
            </w:pPr>
            <w:r w:rsidRPr="00B45B4F">
              <w:rPr>
                <w:rFonts w:ascii="Verdana" w:eastAsia="Times New Roman" w:hAnsi="Verdana"/>
                <w:bCs/>
                <w:color w:val="FFFFFF"/>
                <w:sz w:val="18"/>
                <w:szCs w:val="18"/>
                <w:lang w:val="bg-BG"/>
              </w:rPr>
              <w:t>ОПНОИР</w:t>
            </w:r>
          </w:p>
        </w:tc>
        <w:tc>
          <w:tcPr>
            <w:tcW w:w="1817" w:type="dxa"/>
            <w:gridSpan w:val="2"/>
            <w:tcBorders>
              <w:top w:val="single" w:sz="4" w:space="0" w:color="auto"/>
              <w:left w:val="nil"/>
              <w:bottom w:val="single" w:sz="4" w:space="0" w:color="auto"/>
              <w:right w:val="single" w:sz="4" w:space="0" w:color="auto"/>
            </w:tcBorders>
            <w:shd w:val="clear" w:color="000000" w:fill="548DD4"/>
            <w:vAlign w:val="center"/>
            <w:hideMark/>
          </w:tcPr>
          <w:p w:rsidR="002E0D02" w:rsidRPr="00B45B4F" w:rsidRDefault="002E0D02" w:rsidP="002E0D02">
            <w:pPr>
              <w:spacing w:after="0" w:line="240" w:lineRule="auto"/>
              <w:ind w:left="-108" w:right="-101"/>
              <w:jc w:val="center"/>
              <w:rPr>
                <w:rFonts w:ascii="Verdana" w:eastAsia="Times New Roman" w:hAnsi="Verdana"/>
                <w:color w:val="FFFFFF"/>
                <w:sz w:val="18"/>
                <w:szCs w:val="18"/>
                <w:lang w:val="bg-BG"/>
              </w:rPr>
            </w:pPr>
            <w:r w:rsidRPr="00B45B4F">
              <w:rPr>
                <w:rFonts w:ascii="Verdana" w:eastAsia="Times New Roman" w:hAnsi="Verdana"/>
                <w:color w:val="FFFFFF"/>
                <w:sz w:val="18"/>
                <w:szCs w:val="18"/>
                <w:lang w:val="bg-BG"/>
              </w:rPr>
              <w:t xml:space="preserve">ПО 1: Научни изследвания и </w:t>
            </w:r>
          </w:p>
          <w:p w:rsidR="002E0D02" w:rsidRPr="00B45B4F" w:rsidRDefault="002E0D02" w:rsidP="002E0D02">
            <w:pPr>
              <w:spacing w:after="0" w:line="240" w:lineRule="auto"/>
              <w:ind w:left="-108" w:right="-101"/>
              <w:jc w:val="center"/>
              <w:rPr>
                <w:rFonts w:ascii="Verdana" w:eastAsia="Times New Roman" w:hAnsi="Verdana"/>
                <w:color w:val="FFFFFF"/>
                <w:sz w:val="18"/>
                <w:szCs w:val="18"/>
                <w:lang w:val="bg-BG"/>
              </w:rPr>
            </w:pPr>
            <w:r w:rsidRPr="00B45B4F">
              <w:rPr>
                <w:rFonts w:ascii="Verdana" w:eastAsia="Times New Roman" w:hAnsi="Verdana"/>
                <w:color w:val="FFFFFF"/>
                <w:sz w:val="18"/>
                <w:szCs w:val="18"/>
                <w:lang w:val="bg-BG"/>
              </w:rPr>
              <w:t>техн. развитие</w:t>
            </w:r>
          </w:p>
        </w:tc>
        <w:tc>
          <w:tcPr>
            <w:tcW w:w="2586" w:type="dxa"/>
            <w:gridSpan w:val="3"/>
            <w:tcBorders>
              <w:top w:val="single" w:sz="4" w:space="0" w:color="auto"/>
              <w:left w:val="nil"/>
              <w:bottom w:val="single" w:sz="4" w:space="0" w:color="auto"/>
              <w:right w:val="single" w:sz="4" w:space="0" w:color="auto"/>
            </w:tcBorders>
            <w:shd w:val="clear" w:color="000000" w:fill="548DD4"/>
            <w:vAlign w:val="center"/>
            <w:hideMark/>
          </w:tcPr>
          <w:p w:rsidR="002E0D02" w:rsidRPr="00B45B4F" w:rsidRDefault="002E0D02" w:rsidP="002E0D02">
            <w:pPr>
              <w:spacing w:after="0" w:line="240" w:lineRule="auto"/>
              <w:jc w:val="center"/>
              <w:rPr>
                <w:rFonts w:ascii="Verdana" w:eastAsia="Times New Roman" w:hAnsi="Verdana"/>
                <w:color w:val="FFFFFF"/>
                <w:sz w:val="18"/>
                <w:szCs w:val="18"/>
                <w:lang w:val="bg-BG"/>
              </w:rPr>
            </w:pPr>
            <w:r w:rsidRPr="00B45B4F">
              <w:rPr>
                <w:rFonts w:ascii="Verdana" w:eastAsia="Times New Roman" w:hAnsi="Verdana"/>
                <w:color w:val="FFFFFF"/>
                <w:sz w:val="18"/>
                <w:szCs w:val="18"/>
                <w:lang w:val="bg-BG"/>
              </w:rPr>
              <w:t>ПО 2: Образование и учене през целия живот</w:t>
            </w:r>
          </w:p>
        </w:tc>
        <w:tc>
          <w:tcPr>
            <w:tcW w:w="1887" w:type="dxa"/>
            <w:gridSpan w:val="2"/>
            <w:tcBorders>
              <w:top w:val="single" w:sz="4" w:space="0" w:color="auto"/>
              <w:left w:val="nil"/>
              <w:bottom w:val="single" w:sz="4" w:space="0" w:color="auto"/>
              <w:right w:val="single" w:sz="4" w:space="0" w:color="auto"/>
            </w:tcBorders>
            <w:shd w:val="clear" w:color="000000" w:fill="548DD4"/>
            <w:vAlign w:val="center"/>
            <w:hideMark/>
          </w:tcPr>
          <w:p w:rsidR="002E0D02" w:rsidRPr="00B45B4F" w:rsidRDefault="002E0D02" w:rsidP="002E0D02">
            <w:pPr>
              <w:spacing w:after="0" w:line="240" w:lineRule="auto"/>
              <w:ind w:left="-108" w:right="-78"/>
              <w:jc w:val="center"/>
              <w:rPr>
                <w:rFonts w:ascii="Verdana" w:eastAsia="Times New Roman" w:hAnsi="Verdana"/>
                <w:color w:val="FFFFFF"/>
                <w:sz w:val="18"/>
                <w:szCs w:val="18"/>
                <w:lang w:val="bg-BG"/>
              </w:rPr>
            </w:pPr>
            <w:r w:rsidRPr="00B45B4F">
              <w:rPr>
                <w:rFonts w:ascii="Verdana" w:eastAsia="Times New Roman" w:hAnsi="Verdana"/>
                <w:color w:val="FFFFFF"/>
                <w:sz w:val="18"/>
                <w:szCs w:val="18"/>
                <w:lang w:val="bg-BG"/>
              </w:rPr>
              <w:t>ПО 3: Образователна среда за активно соц. приобщаване</w:t>
            </w:r>
          </w:p>
        </w:tc>
      </w:tr>
      <w:tr w:rsidR="002E0D02" w:rsidRPr="00B45B4F" w:rsidTr="00AF6F4A">
        <w:trPr>
          <w:trHeight w:val="255"/>
          <w:jc w:val="center"/>
        </w:trPr>
        <w:tc>
          <w:tcPr>
            <w:tcW w:w="2599" w:type="dxa"/>
            <w:tcBorders>
              <w:top w:val="nil"/>
              <w:left w:val="single" w:sz="4" w:space="0" w:color="auto"/>
              <w:bottom w:val="single" w:sz="4" w:space="0" w:color="auto"/>
              <w:right w:val="single" w:sz="4" w:space="0" w:color="auto"/>
            </w:tcBorders>
            <w:shd w:val="clear" w:color="auto" w:fill="548DD4" w:themeFill="text2" w:themeFillTint="99"/>
            <w:vAlign w:val="center"/>
            <w:hideMark/>
          </w:tcPr>
          <w:p w:rsidR="002E0D02" w:rsidRPr="00B45B4F" w:rsidRDefault="002E0D02" w:rsidP="002E0D02">
            <w:pPr>
              <w:spacing w:after="0" w:line="240" w:lineRule="auto"/>
              <w:jc w:val="center"/>
              <w:rPr>
                <w:rFonts w:ascii="Verdana" w:eastAsia="Times New Roman" w:hAnsi="Verdana"/>
                <w:bCs/>
                <w:color w:val="FFFFFF"/>
                <w:sz w:val="18"/>
                <w:szCs w:val="18"/>
                <w:lang w:val="bg-BG"/>
              </w:rPr>
            </w:pPr>
            <w:r w:rsidRPr="00B45B4F">
              <w:rPr>
                <w:rFonts w:ascii="Verdana" w:eastAsia="Times New Roman" w:hAnsi="Verdana"/>
                <w:bCs/>
                <w:color w:val="FFFFFF"/>
                <w:sz w:val="18"/>
                <w:szCs w:val="18"/>
                <w:lang w:val="bg-BG"/>
              </w:rPr>
              <w:t>ОПРЧР</w:t>
            </w:r>
          </w:p>
        </w:tc>
        <w:tc>
          <w:tcPr>
            <w:tcW w:w="1311" w:type="dxa"/>
            <w:tcBorders>
              <w:top w:val="nil"/>
              <w:left w:val="nil"/>
              <w:bottom w:val="single" w:sz="4" w:space="0" w:color="auto"/>
              <w:right w:val="single" w:sz="4" w:space="0" w:color="auto"/>
            </w:tcBorders>
            <w:shd w:val="clear" w:color="000000" w:fill="C6D9F1"/>
            <w:vAlign w:val="bottom"/>
            <w:hideMark/>
          </w:tcPr>
          <w:p w:rsidR="002E0D02" w:rsidRPr="00B45B4F" w:rsidRDefault="002E0D02" w:rsidP="002E0D02">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Приоритет</w:t>
            </w:r>
          </w:p>
        </w:tc>
        <w:tc>
          <w:tcPr>
            <w:tcW w:w="893" w:type="dxa"/>
            <w:tcBorders>
              <w:top w:val="nil"/>
              <w:left w:val="nil"/>
              <w:bottom w:val="single" w:sz="4" w:space="0" w:color="auto"/>
              <w:right w:val="single" w:sz="4" w:space="0" w:color="auto"/>
            </w:tcBorders>
            <w:shd w:val="clear" w:color="000000" w:fill="C6D9F1"/>
            <w:vAlign w:val="center"/>
            <w:hideMark/>
          </w:tcPr>
          <w:p w:rsidR="002E0D02" w:rsidRPr="00B45B4F" w:rsidRDefault="002E0D02" w:rsidP="002E0D02">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1.1</w:t>
            </w:r>
          </w:p>
        </w:tc>
        <w:tc>
          <w:tcPr>
            <w:tcW w:w="924" w:type="dxa"/>
            <w:tcBorders>
              <w:top w:val="nil"/>
              <w:left w:val="nil"/>
              <w:bottom w:val="single" w:sz="4" w:space="0" w:color="auto"/>
              <w:right w:val="single" w:sz="4" w:space="0" w:color="auto"/>
            </w:tcBorders>
            <w:shd w:val="clear" w:color="000000" w:fill="C6D9F1"/>
            <w:vAlign w:val="center"/>
            <w:hideMark/>
          </w:tcPr>
          <w:p w:rsidR="002E0D02" w:rsidRPr="00B45B4F" w:rsidRDefault="002E0D02" w:rsidP="002E0D02">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1.2</w:t>
            </w:r>
          </w:p>
        </w:tc>
        <w:tc>
          <w:tcPr>
            <w:tcW w:w="869" w:type="dxa"/>
            <w:tcBorders>
              <w:top w:val="nil"/>
              <w:left w:val="nil"/>
              <w:bottom w:val="single" w:sz="4" w:space="0" w:color="auto"/>
              <w:right w:val="single" w:sz="4" w:space="0" w:color="auto"/>
            </w:tcBorders>
            <w:shd w:val="clear" w:color="000000" w:fill="C6D9F1"/>
            <w:vAlign w:val="center"/>
            <w:hideMark/>
          </w:tcPr>
          <w:p w:rsidR="002E0D02" w:rsidRPr="00B45B4F" w:rsidRDefault="002E0D02" w:rsidP="002E0D02">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2.1</w:t>
            </w:r>
          </w:p>
        </w:tc>
        <w:tc>
          <w:tcPr>
            <w:tcW w:w="887" w:type="dxa"/>
            <w:tcBorders>
              <w:top w:val="nil"/>
              <w:left w:val="nil"/>
              <w:bottom w:val="single" w:sz="4" w:space="0" w:color="auto"/>
              <w:right w:val="single" w:sz="4" w:space="0" w:color="auto"/>
            </w:tcBorders>
            <w:shd w:val="clear" w:color="000000" w:fill="C6D9F1"/>
            <w:vAlign w:val="center"/>
            <w:hideMark/>
          </w:tcPr>
          <w:p w:rsidR="002E0D02" w:rsidRPr="00B45B4F" w:rsidRDefault="002E0D02" w:rsidP="002E0D02">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2.2</w:t>
            </w:r>
          </w:p>
        </w:tc>
        <w:tc>
          <w:tcPr>
            <w:tcW w:w="830" w:type="dxa"/>
            <w:tcBorders>
              <w:top w:val="nil"/>
              <w:left w:val="nil"/>
              <w:bottom w:val="single" w:sz="4" w:space="0" w:color="auto"/>
              <w:right w:val="single" w:sz="4" w:space="0" w:color="auto"/>
            </w:tcBorders>
            <w:shd w:val="clear" w:color="000000" w:fill="C6D9F1"/>
            <w:vAlign w:val="center"/>
            <w:hideMark/>
          </w:tcPr>
          <w:p w:rsidR="002E0D02" w:rsidRPr="00B45B4F" w:rsidRDefault="002E0D02" w:rsidP="002E0D02">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2.3</w:t>
            </w:r>
          </w:p>
        </w:tc>
        <w:tc>
          <w:tcPr>
            <w:tcW w:w="980" w:type="dxa"/>
            <w:tcBorders>
              <w:top w:val="nil"/>
              <w:left w:val="nil"/>
              <w:bottom w:val="single" w:sz="4" w:space="0" w:color="auto"/>
              <w:right w:val="single" w:sz="4" w:space="0" w:color="auto"/>
            </w:tcBorders>
            <w:shd w:val="clear" w:color="000000" w:fill="C6D9F1"/>
            <w:vAlign w:val="center"/>
            <w:hideMark/>
          </w:tcPr>
          <w:p w:rsidR="002E0D02" w:rsidRPr="00B45B4F" w:rsidRDefault="002E0D02" w:rsidP="002E0D02">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3.1</w:t>
            </w:r>
          </w:p>
        </w:tc>
        <w:tc>
          <w:tcPr>
            <w:tcW w:w="907" w:type="dxa"/>
            <w:tcBorders>
              <w:top w:val="nil"/>
              <w:left w:val="nil"/>
              <w:bottom w:val="single" w:sz="4" w:space="0" w:color="auto"/>
              <w:right w:val="single" w:sz="4" w:space="0" w:color="auto"/>
            </w:tcBorders>
            <w:shd w:val="clear" w:color="000000" w:fill="C6D9F1"/>
            <w:vAlign w:val="center"/>
            <w:hideMark/>
          </w:tcPr>
          <w:p w:rsidR="002E0D02" w:rsidRPr="00B45B4F" w:rsidRDefault="002E0D02" w:rsidP="002E0D02">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3.2</w:t>
            </w:r>
          </w:p>
        </w:tc>
      </w:tr>
      <w:tr w:rsidR="00382753" w:rsidRPr="00B45B4F" w:rsidTr="00AF6F4A">
        <w:trPr>
          <w:trHeight w:val="330"/>
          <w:jc w:val="center"/>
        </w:trPr>
        <w:tc>
          <w:tcPr>
            <w:tcW w:w="2599" w:type="dxa"/>
            <w:vMerge w:val="restart"/>
            <w:tcBorders>
              <w:top w:val="nil"/>
              <w:left w:val="single" w:sz="4" w:space="0" w:color="auto"/>
              <w:bottom w:val="single" w:sz="4" w:space="0" w:color="auto"/>
              <w:right w:val="single" w:sz="4" w:space="0" w:color="auto"/>
            </w:tcBorders>
            <w:shd w:val="clear" w:color="auto" w:fill="548DD4" w:themeFill="text2" w:themeFillTint="99"/>
            <w:vAlign w:val="center"/>
            <w:hideMark/>
          </w:tcPr>
          <w:p w:rsidR="00382753" w:rsidRPr="00B45B4F" w:rsidRDefault="00382753" w:rsidP="002E0D02">
            <w:pPr>
              <w:spacing w:after="0" w:line="240" w:lineRule="auto"/>
              <w:jc w:val="center"/>
              <w:rPr>
                <w:rFonts w:ascii="Verdana" w:eastAsia="Times New Roman" w:hAnsi="Verdana"/>
                <w:color w:val="FFFFFF"/>
                <w:sz w:val="18"/>
                <w:szCs w:val="18"/>
                <w:lang w:val="bg-BG"/>
              </w:rPr>
            </w:pPr>
            <w:r w:rsidRPr="00B45B4F">
              <w:rPr>
                <w:rFonts w:ascii="Verdana" w:eastAsia="Times New Roman" w:hAnsi="Verdana"/>
                <w:color w:val="FFFFFF"/>
                <w:sz w:val="18"/>
                <w:szCs w:val="18"/>
                <w:lang w:val="bg-BG"/>
              </w:rPr>
              <w:t>ПО 1: Подобряване достъпа до заетост и качеството на работните места</w:t>
            </w:r>
          </w:p>
        </w:tc>
        <w:tc>
          <w:tcPr>
            <w:tcW w:w="1311" w:type="dxa"/>
            <w:tcBorders>
              <w:top w:val="nil"/>
              <w:left w:val="nil"/>
              <w:bottom w:val="single" w:sz="4" w:space="0" w:color="auto"/>
              <w:right w:val="single" w:sz="4" w:space="0" w:color="auto"/>
            </w:tcBorders>
            <w:shd w:val="clear" w:color="000000" w:fill="C6D9F1"/>
            <w:vAlign w:val="center"/>
            <w:hideMark/>
          </w:tcPr>
          <w:p w:rsidR="00382753" w:rsidRPr="00B45B4F" w:rsidRDefault="00382753" w:rsidP="002E0D02">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1.1</w:t>
            </w:r>
          </w:p>
        </w:tc>
        <w:tc>
          <w:tcPr>
            <w:tcW w:w="893" w:type="dxa"/>
            <w:tcBorders>
              <w:top w:val="nil"/>
              <w:left w:val="nil"/>
              <w:bottom w:val="single" w:sz="4" w:space="0" w:color="auto"/>
              <w:right w:val="single" w:sz="4" w:space="0" w:color="auto"/>
            </w:tcBorders>
            <w:shd w:val="clear" w:color="auto" w:fill="auto"/>
            <w:vAlign w:val="center"/>
            <w:hideMark/>
          </w:tcPr>
          <w:p w:rsidR="00382753" w:rsidRPr="00B45B4F" w:rsidRDefault="00382753" w:rsidP="002E0D02">
            <w:pPr>
              <w:spacing w:after="0" w:line="240" w:lineRule="auto"/>
              <w:jc w:val="center"/>
              <w:rPr>
                <w:rFonts w:ascii="Verdana" w:eastAsia="Times New Roman" w:hAnsi="Verdana"/>
                <w:color w:val="0070C0"/>
                <w:sz w:val="18"/>
                <w:szCs w:val="18"/>
                <w:lang w:val="bg-BG"/>
              </w:rPr>
            </w:pPr>
          </w:p>
        </w:tc>
        <w:tc>
          <w:tcPr>
            <w:tcW w:w="924" w:type="dxa"/>
            <w:tcBorders>
              <w:top w:val="nil"/>
              <w:left w:val="nil"/>
              <w:bottom w:val="single" w:sz="4" w:space="0" w:color="auto"/>
              <w:right w:val="single" w:sz="4" w:space="0" w:color="auto"/>
            </w:tcBorders>
            <w:shd w:val="clear" w:color="auto" w:fill="auto"/>
            <w:vAlign w:val="center"/>
            <w:hideMark/>
          </w:tcPr>
          <w:p w:rsidR="00382753" w:rsidRPr="00B45B4F" w:rsidRDefault="00382753" w:rsidP="00382753">
            <w:pPr>
              <w:spacing w:after="0" w:line="240" w:lineRule="auto"/>
              <w:jc w:val="center"/>
              <w:rPr>
                <w:rFonts w:ascii="Verdana" w:eastAsia="Times New Roman" w:hAnsi="Verdana"/>
                <w:color w:val="0070C0"/>
                <w:sz w:val="18"/>
                <w:szCs w:val="18"/>
                <w:lang w:val="bg-BG"/>
              </w:rPr>
            </w:pPr>
          </w:p>
        </w:tc>
        <w:tc>
          <w:tcPr>
            <w:tcW w:w="869" w:type="dxa"/>
            <w:tcBorders>
              <w:top w:val="nil"/>
              <w:left w:val="nil"/>
              <w:bottom w:val="single" w:sz="4" w:space="0" w:color="auto"/>
              <w:right w:val="single" w:sz="4" w:space="0" w:color="auto"/>
            </w:tcBorders>
            <w:shd w:val="clear" w:color="auto" w:fill="auto"/>
            <w:vAlign w:val="center"/>
            <w:hideMark/>
          </w:tcPr>
          <w:p w:rsidR="00382753" w:rsidRPr="00B45B4F" w:rsidRDefault="00382753" w:rsidP="00382753">
            <w:pPr>
              <w:spacing w:after="0" w:line="240" w:lineRule="auto"/>
              <w:jc w:val="center"/>
              <w:rPr>
                <w:rFonts w:ascii="Verdana" w:eastAsia="Times New Roman" w:hAnsi="Verdana"/>
                <w:color w:val="0070C0"/>
                <w:sz w:val="18"/>
                <w:szCs w:val="18"/>
                <w:lang w:val="bg-BG"/>
              </w:rPr>
            </w:pPr>
          </w:p>
        </w:tc>
        <w:tc>
          <w:tcPr>
            <w:tcW w:w="887" w:type="dxa"/>
            <w:tcBorders>
              <w:top w:val="nil"/>
              <w:left w:val="nil"/>
              <w:bottom w:val="single" w:sz="4" w:space="0" w:color="auto"/>
              <w:right w:val="single" w:sz="4" w:space="0" w:color="auto"/>
            </w:tcBorders>
            <w:shd w:val="clear" w:color="auto" w:fill="auto"/>
            <w:vAlign w:val="center"/>
            <w:hideMark/>
          </w:tcPr>
          <w:p w:rsidR="00382753" w:rsidRPr="00B45B4F" w:rsidRDefault="00382753" w:rsidP="00382753">
            <w:pPr>
              <w:spacing w:after="0" w:line="240" w:lineRule="auto"/>
              <w:jc w:val="center"/>
              <w:rPr>
                <w:rFonts w:ascii="Verdana" w:eastAsia="Times New Roman" w:hAnsi="Verdana"/>
                <w:color w:val="0070C0"/>
                <w:sz w:val="18"/>
                <w:szCs w:val="18"/>
                <w:lang w:val="bg-BG"/>
              </w:rPr>
            </w:pPr>
          </w:p>
        </w:tc>
        <w:tc>
          <w:tcPr>
            <w:tcW w:w="830" w:type="dxa"/>
            <w:tcBorders>
              <w:top w:val="nil"/>
              <w:left w:val="nil"/>
              <w:bottom w:val="single" w:sz="4" w:space="0" w:color="auto"/>
              <w:right w:val="single" w:sz="4" w:space="0" w:color="auto"/>
            </w:tcBorders>
            <w:shd w:val="clear" w:color="auto" w:fill="auto"/>
            <w:vAlign w:val="center"/>
            <w:hideMark/>
          </w:tcPr>
          <w:p w:rsidR="00382753" w:rsidRPr="00B45B4F" w:rsidRDefault="00382753" w:rsidP="00382753">
            <w:pPr>
              <w:spacing w:after="0" w:line="240" w:lineRule="auto"/>
              <w:jc w:val="center"/>
              <w:rPr>
                <w:lang w:val="bg-BG"/>
              </w:rPr>
            </w:pPr>
            <w:r w:rsidRPr="00B45B4F">
              <w:rPr>
                <w:rFonts w:ascii="Wingdings 2" w:eastAsia="Times New Roman" w:hAnsi="Wingdings 2"/>
                <w:color w:val="0070C0"/>
                <w:sz w:val="26"/>
                <w:szCs w:val="26"/>
                <w:lang w:val="bg-BG"/>
              </w:rPr>
              <w:t></w:t>
            </w:r>
          </w:p>
        </w:tc>
        <w:tc>
          <w:tcPr>
            <w:tcW w:w="980" w:type="dxa"/>
            <w:tcBorders>
              <w:top w:val="nil"/>
              <w:left w:val="nil"/>
              <w:bottom w:val="single" w:sz="4" w:space="0" w:color="auto"/>
              <w:right w:val="single" w:sz="4" w:space="0" w:color="auto"/>
            </w:tcBorders>
            <w:shd w:val="clear" w:color="auto" w:fill="auto"/>
            <w:vAlign w:val="center"/>
            <w:hideMark/>
          </w:tcPr>
          <w:p w:rsidR="00382753" w:rsidRPr="00B45B4F" w:rsidRDefault="00382753" w:rsidP="00382753">
            <w:pPr>
              <w:spacing w:after="0" w:line="240" w:lineRule="auto"/>
              <w:jc w:val="center"/>
              <w:rPr>
                <w:rFonts w:ascii="Verdana" w:eastAsia="Times New Roman" w:hAnsi="Verdana"/>
                <w:color w:val="0070C0"/>
                <w:sz w:val="18"/>
                <w:szCs w:val="18"/>
                <w:lang w:val="bg-BG"/>
              </w:rPr>
            </w:pPr>
          </w:p>
        </w:tc>
        <w:tc>
          <w:tcPr>
            <w:tcW w:w="907" w:type="dxa"/>
            <w:tcBorders>
              <w:top w:val="nil"/>
              <w:left w:val="nil"/>
              <w:bottom w:val="single" w:sz="4" w:space="0" w:color="auto"/>
              <w:right w:val="single" w:sz="4" w:space="0" w:color="auto"/>
            </w:tcBorders>
            <w:shd w:val="clear" w:color="auto" w:fill="auto"/>
            <w:vAlign w:val="center"/>
            <w:hideMark/>
          </w:tcPr>
          <w:p w:rsidR="00382753" w:rsidRPr="00B45B4F" w:rsidRDefault="00382753" w:rsidP="00382753">
            <w:pPr>
              <w:spacing w:after="0" w:line="240" w:lineRule="auto"/>
              <w:jc w:val="center"/>
              <w:rPr>
                <w:rFonts w:ascii="Verdana" w:eastAsia="Times New Roman" w:hAnsi="Verdana"/>
                <w:color w:val="000000"/>
                <w:sz w:val="18"/>
                <w:szCs w:val="18"/>
                <w:lang w:val="bg-BG"/>
              </w:rPr>
            </w:pPr>
          </w:p>
        </w:tc>
      </w:tr>
      <w:tr w:rsidR="00382753" w:rsidRPr="00B45B4F" w:rsidTr="00AF6F4A">
        <w:trPr>
          <w:trHeight w:val="330"/>
          <w:jc w:val="center"/>
        </w:trPr>
        <w:tc>
          <w:tcPr>
            <w:tcW w:w="2599" w:type="dxa"/>
            <w:vMerge/>
            <w:tcBorders>
              <w:top w:val="nil"/>
              <w:left w:val="single" w:sz="4" w:space="0" w:color="auto"/>
              <w:bottom w:val="single" w:sz="4" w:space="0" w:color="auto"/>
              <w:right w:val="single" w:sz="4" w:space="0" w:color="auto"/>
            </w:tcBorders>
            <w:shd w:val="clear" w:color="auto" w:fill="548DD4" w:themeFill="text2" w:themeFillTint="99"/>
            <w:vAlign w:val="center"/>
            <w:hideMark/>
          </w:tcPr>
          <w:p w:rsidR="00382753" w:rsidRPr="00B45B4F" w:rsidRDefault="00382753" w:rsidP="002E0D02">
            <w:pPr>
              <w:spacing w:after="0" w:line="240" w:lineRule="auto"/>
              <w:jc w:val="center"/>
              <w:rPr>
                <w:rFonts w:ascii="Verdana" w:eastAsia="Times New Roman" w:hAnsi="Verdana"/>
                <w:color w:val="FFFFFF"/>
                <w:sz w:val="18"/>
                <w:szCs w:val="18"/>
                <w:lang w:val="bg-BG"/>
              </w:rPr>
            </w:pPr>
          </w:p>
        </w:tc>
        <w:tc>
          <w:tcPr>
            <w:tcW w:w="1311" w:type="dxa"/>
            <w:tcBorders>
              <w:top w:val="nil"/>
              <w:left w:val="nil"/>
              <w:bottom w:val="single" w:sz="4" w:space="0" w:color="auto"/>
              <w:right w:val="single" w:sz="4" w:space="0" w:color="auto"/>
            </w:tcBorders>
            <w:shd w:val="clear" w:color="000000" w:fill="C6D9F1"/>
            <w:vAlign w:val="center"/>
            <w:hideMark/>
          </w:tcPr>
          <w:p w:rsidR="00382753" w:rsidRPr="00B45B4F" w:rsidRDefault="00382753" w:rsidP="002E0D02">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1.2</w:t>
            </w:r>
          </w:p>
        </w:tc>
        <w:tc>
          <w:tcPr>
            <w:tcW w:w="893" w:type="dxa"/>
            <w:tcBorders>
              <w:top w:val="nil"/>
              <w:left w:val="nil"/>
              <w:bottom w:val="single" w:sz="4" w:space="0" w:color="auto"/>
              <w:right w:val="single" w:sz="4" w:space="0" w:color="auto"/>
            </w:tcBorders>
            <w:shd w:val="clear" w:color="auto" w:fill="auto"/>
            <w:vAlign w:val="center"/>
            <w:hideMark/>
          </w:tcPr>
          <w:p w:rsidR="00382753" w:rsidRPr="00B45B4F" w:rsidRDefault="00382753" w:rsidP="002E0D02">
            <w:pPr>
              <w:spacing w:after="0" w:line="240" w:lineRule="auto"/>
              <w:jc w:val="center"/>
              <w:rPr>
                <w:rFonts w:ascii="Verdana" w:eastAsia="Times New Roman" w:hAnsi="Verdana"/>
                <w:color w:val="0070C0"/>
                <w:sz w:val="18"/>
                <w:szCs w:val="18"/>
                <w:lang w:val="bg-BG"/>
              </w:rPr>
            </w:pPr>
          </w:p>
        </w:tc>
        <w:tc>
          <w:tcPr>
            <w:tcW w:w="924" w:type="dxa"/>
            <w:tcBorders>
              <w:top w:val="nil"/>
              <w:left w:val="nil"/>
              <w:bottom w:val="single" w:sz="4" w:space="0" w:color="auto"/>
              <w:right w:val="single" w:sz="4" w:space="0" w:color="auto"/>
            </w:tcBorders>
            <w:shd w:val="clear" w:color="auto" w:fill="auto"/>
            <w:vAlign w:val="center"/>
            <w:hideMark/>
          </w:tcPr>
          <w:p w:rsidR="00382753" w:rsidRPr="00B45B4F" w:rsidRDefault="00382753" w:rsidP="00382753">
            <w:pPr>
              <w:spacing w:after="0" w:line="240" w:lineRule="auto"/>
              <w:jc w:val="center"/>
              <w:rPr>
                <w:rFonts w:ascii="Verdana" w:eastAsia="Times New Roman" w:hAnsi="Verdana"/>
                <w:color w:val="0070C0"/>
                <w:sz w:val="18"/>
                <w:szCs w:val="18"/>
                <w:lang w:val="bg-BG"/>
              </w:rPr>
            </w:pPr>
          </w:p>
        </w:tc>
        <w:tc>
          <w:tcPr>
            <w:tcW w:w="869" w:type="dxa"/>
            <w:tcBorders>
              <w:top w:val="nil"/>
              <w:left w:val="nil"/>
              <w:bottom w:val="single" w:sz="4" w:space="0" w:color="auto"/>
              <w:right w:val="single" w:sz="4" w:space="0" w:color="auto"/>
            </w:tcBorders>
            <w:shd w:val="clear" w:color="auto" w:fill="auto"/>
            <w:vAlign w:val="center"/>
            <w:hideMark/>
          </w:tcPr>
          <w:p w:rsidR="00382753" w:rsidRPr="00B45B4F" w:rsidRDefault="00382753" w:rsidP="00382753">
            <w:pPr>
              <w:spacing w:after="0" w:line="240" w:lineRule="auto"/>
              <w:jc w:val="center"/>
              <w:rPr>
                <w:rFonts w:ascii="Verdana" w:eastAsia="Times New Roman" w:hAnsi="Verdana"/>
                <w:color w:val="0070C0"/>
                <w:sz w:val="18"/>
                <w:szCs w:val="18"/>
                <w:lang w:val="bg-BG"/>
              </w:rPr>
            </w:pPr>
          </w:p>
        </w:tc>
        <w:tc>
          <w:tcPr>
            <w:tcW w:w="887" w:type="dxa"/>
            <w:tcBorders>
              <w:top w:val="nil"/>
              <w:left w:val="nil"/>
              <w:bottom w:val="single" w:sz="4" w:space="0" w:color="auto"/>
              <w:right w:val="single" w:sz="4" w:space="0" w:color="auto"/>
            </w:tcBorders>
            <w:shd w:val="clear" w:color="auto" w:fill="auto"/>
            <w:vAlign w:val="center"/>
            <w:hideMark/>
          </w:tcPr>
          <w:p w:rsidR="00382753" w:rsidRPr="00B45B4F" w:rsidRDefault="00382753" w:rsidP="00382753">
            <w:pPr>
              <w:spacing w:after="0" w:line="240" w:lineRule="auto"/>
              <w:jc w:val="center"/>
              <w:rPr>
                <w:rFonts w:ascii="Verdana" w:eastAsia="Times New Roman" w:hAnsi="Verdana"/>
                <w:color w:val="0070C0"/>
                <w:sz w:val="18"/>
                <w:szCs w:val="18"/>
                <w:lang w:val="bg-BG"/>
              </w:rPr>
            </w:pPr>
          </w:p>
        </w:tc>
        <w:tc>
          <w:tcPr>
            <w:tcW w:w="830" w:type="dxa"/>
            <w:tcBorders>
              <w:top w:val="nil"/>
              <w:left w:val="nil"/>
              <w:bottom w:val="single" w:sz="4" w:space="0" w:color="auto"/>
              <w:right w:val="single" w:sz="4" w:space="0" w:color="auto"/>
            </w:tcBorders>
            <w:shd w:val="clear" w:color="auto" w:fill="auto"/>
            <w:vAlign w:val="center"/>
            <w:hideMark/>
          </w:tcPr>
          <w:p w:rsidR="00382753" w:rsidRPr="00B45B4F" w:rsidRDefault="00382753" w:rsidP="00382753">
            <w:pPr>
              <w:spacing w:after="0" w:line="240" w:lineRule="auto"/>
              <w:jc w:val="center"/>
              <w:rPr>
                <w:lang w:val="bg-BG"/>
              </w:rPr>
            </w:pPr>
            <w:r w:rsidRPr="00B45B4F">
              <w:rPr>
                <w:rFonts w:ascii="Wingdings 2" w:eastAsia="Times New Roman" w:hAnsi="Wingdings 2"/>
                <w:color w:val="0070C0"/>
                <w:sz w:val="26"/>
                <w:szCs w:val="26"/>
                <w:lang w:val="bg-BG"/>
              </w:rPr>
              <w:t></w:t>
            </w:r>
          </w:p>
        </w:tc>
        <w:tc>
          <w:tcPr>
            <w:tcW w:w="980" w:type="dxa"/>
            <w:tcBorders>
              <w:top w:val="nil"/>
              <w:left w:val="nil"/>
              <w:bottom w:val="single" w:sz="4" w:space="0" w:color="auto"/>
              <w:right w:val="single" w:sz="4" w:space="0" w:color="auto"/>
            </w:tcBorders>
            <w:shd w:val="clear" w:color="auto" w:fill="auto"/>
            <w:vAlign w:val="center"/>
            <w:hideMark/>
          </w:tcPr>
          <w:p w:rsidR="00382753" w:rsidRPr="00B45B4F" w:rsidRDefault="00382753" w:rsidP="00382753">
            <w:pPr>
              <w:spacing w:after="0" w:line="240" w:lineRule="auto"/>
              <w:jc w:val="center"/>
              <w:rPr>
                <w:rFonts w:ascii="Verdana" w:eastAsia="Times New Roman" w:hAnsi="Verdana"/>
                <w:color w:val="0070C0"/>
                <w:sz w:val="18"/>
                <w:szCs w:val="18"/>
                <w:lang w:val="bg-BG"/>
              </w:rPr>
            </w:pPr>
          </w:p>
        </w:tc>
        <w:tc>
          <w:tcPr>
            <w:tcW w:w="907" w:type="dxa"/>
            <w:tcBorders>
              <w:top w:val="nil"/>
              <w:left w:val="nil"/>
              <w:bottom w:val="single" w:sz="4" w:space="0" w:color="auto"/>
              <w:right w:val="single" w:sz="4" w:space="0" w:color="auto"/>
            </w:tcBorders>
            <w:shd w:val="clear" w:color="auto" w:fill="auto"/>
            <w:vAlign w:val="center"/>
            <w:hideMark/>
          </w:tcPr>
          <w:p w:rsidR="00382753" w:rsidRPr="00B45B4F" w:rsidRDefault="00382753" w:rsidP="00382753">
            <w:pPr>
              <w:spacing w:after="0" w:line="240" w:lineRule="auto"/>
              <w:jc w:val="center"/>
              <w:rPr>
                <w:rFonts w:ascii="Verdana" w:eastAsia="Times New Roman" w:hAnsi="Verdana"/>
                <w:color w:val="000000"/>
                <w:sz w:val="18"/>
                <w:szCs w:val="18"/>
                <w:lang w:val="bg-BG"/>
              </w:rPr>
            </w:pPr>
          </w:p>
        </w:tc>
      </w:tr>
      <w:tr w:rsidR="00382753" w:rsidRPr="00B45B4F" w:rsidTr="00AF6F4A">
        <w:trPr>
          <w:trHeight w:val="330"/>
          <w:jc w:val="center"/>
        </w:trPr>
        <w:tc>
          <w:tcPr>
            <w:tcW w:w="2599" w:type="dxa"/>
            <w:vMerge/>
            <w:tcBorders>
              <w:top w:val="nil"/>
              <w:left w:val="single" w:sz="4" w:space="0" w:color="auto"/>
              <w:bottom w:val="single" w:sz="4" w:space="0" w:color="auto"/>
              <w:right w:val="single" w:sz="4" w:space="0" w:color="auto"/>
            </w:tcBorders>
            <w:shd w:val="clear" w:color="auto" w:fill="548DD4" w:themeFill="text2" w:themeFillTint="99"/>
            <w:vAlign w:val="center"/>
            <w:hideMark/>
          </w:tcPr>
          <w:p w:rsidR="00382753" w:rsidRPr="00B45B4F" w:rsidRDefault="00382753" w:rsidP="002E0D02">
            <w:pPr>
              <w:spacing w:after="0" w:line="240" w:lineRule="auto"/>
              <w:jc w:val="center"/>
              <w:rPr>
                <w:rFonts w:ascii="Verdana" w:eastAsia="Times New Roman" w:hAnsi="Verdana"/>
                <w:color w:val="FFFFFF"/>
                <w:sz w:val="18"/>
                <w:szCs w:val="18"/>
                <w:lang w:val="bg-BG"/>
              </w:rPr>
            </w:pPr>
          </w:p>
        </w:tc>
        <w:tc>
          <w:tcPr>
            <w:tcW w:w="1311" w:type="dxa"/>
            <w:tcBorders>
              <w:top w:val="nil"/>
              <w:left w:val="nil"/>
              <w:bottom w:val="single" w:sz="4" w:space="0" w:color="auto"/>
              <w:right w:val="single" w:sz="4" w:space="0" w:color="auto"/>
            </w:tcBorders>
            <w:shd w:val="clear" w:color="000000" w:fill="C6D9F1"/>
            <w:vAlign w:val="center"/>
            <w:hideMark/>
          </w:tcPr>
          <w:p w:rsidR="00382753" w:rsidRPr="00B45B4F" w:rsidRDefault="00382753" w:rsidP="002E0D02">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1.3</w:t>
            </w:r>
          </w:p>
        </w:tc>
        <w:tc>
          <w:tcPr>
            <w:tcW w:w="893" w:type="dxa"/>
            <w:tcBorders>
              <w:top w:val="nil"/>
              <w:left w:val="nil"/>
              <w:bottom w:val="single" w:sz="4" w:space="0" w:color="auto"/>
              <w:right w:val="single" w:sz="4" w:space="0" w:color="auto"/>
            </w:tcBorders>
            <w:shd w:val="clear" w:color="auto" w:fill="auto"/>
            <w:vAlign w:val="center"/>
            <w:hideMark/>
          </w:tcPr>
          <w:p w:rsidR="00382753" w:rsidRPr="00B45B4F" w:rsidRDefault="00382753" w:rsidP="002E0D02">
            <w:pPr>
              <w:spacing w:after="0" w:line="240" w:lineRule="auto"/>
              <w:jc w:val="center"/>
              <w:rPr>
                <w:rFonts w:ascii="Verdana" w:eastAsia="Times New Roman" w:hAnsi="Verdana"/>
                <w:color w:val="0070C0"/>
                <w:sz w:val="18"/>
                <w:szCs w:val="18"/>
                <w:lang w:val="bg-BG"/>
              </w:rPr>
            </w:pPr>
          </w:p>
        </w:tc>
        <w:tc>
          <w:tcPr>
            <w:tcW w:w="924" w:type="dxa"/>
            <w:tcBorders>
              <w:top w:val="nil"/>
              <w:left w:val="nil"/>
              <w:bottom w:val="single" w:sz="4" w:space="0" w:color="auto"/>
              <w:right w:val="single" w:sz="4" w:space="0" w:color="auto"/>
            </w:tcBorders>
            <w:shd w:val="clear" w:color="auto" w:fill="auto"/>
            <w:vAlign w:val="center"/>
            <w:hideMark/>
          </w:tcPr>
          <w:p w:rsidR="00382753" w:rsidRPr="00B45B4F" w:rsidRDefault="00382753" w:rsidP="00382753">
            <w:pPr>
              <w:spacing w:after="0" w:line="240" w:lineRule="auto"/>
              <w:jc w:val="center"/>
              <w:rPr>
                <w:rFonts w:ascii="Verdana" w:eastAsia="Times New Roman" w:hAnsi="Verdana"/>
                <w:color w:val="0070C0"/>
                <w:sz w:val="18"/>
                <w:szCs w:val="18"/>
                <w:lang w:val="bg-BG"/>
              </w:rPr>
            </w:pPr>
          </w:p>
        </w:tc>
        <w:tc>
          <w:tcPr>
            <w:tcW w:w="869" w:type="dxa"/>
            <w:tcBorders>
              <w:top w:val="nil"/>
              <w:left w:val="nil"/>
              <w:bottom w:val="single" w:sz="4" w:space="0" w:color="auto"/>
              <w:right w:val="single" w:sz="4" w:space="0" w:color="auto"/>
            </w:tcBorders>
            <w:shd w:val="clear" w:color="auto" w:fill="auto"/>
            <w:vAlign w:val="center"/>
            <w:hideMark/>
          </w:tcPr>
          <w:p w:rsidR="00382753" w:rsidRPr="00B45B4F" w:rsidRDefault="00382753" w:rsidP="00382753">
            <w:pPr>
              <w:spacing w:after="0" w:line="240" w:lineRule="auto"/>
              <w:jc w:val="center"/>
              <w:rPr>
                <w:rFonts w:ascii="Verdana" w:eastAsia="Times New Roman" w:hAnsi="Verdana"/>
                <w:color w:val="0070C0"/>
                <w:sz w:val="18"/>
                <w:szCs w:val="18"/>
                <w:lang w:val="bg-BG"/>
              </w:rPr>
            </w:pPr>
          </w:p>
        </w:tc>
        <w:tc>
          <w:tcPr>
            <w:tcW w:w="887" w:type="dxa"/>
            <w:tcBorders>
              <w:top w:val="nil"/>
              <w:left w:val="nil"/>
              <w:bottom w:val="single" w:sz="4" w:space="0" w:color="auto"/>
              <w:right w:val="single" w:sz="4" w:space="0" w:color="auto"/>
            </w:tcBorders>
            <w:shd w:val="clear" w:color="auto" w:fill="auto"/>
            <w:vAlign w:val="center"/>
            <w:hideMark/>
          </w:tcPr>
          <w:p w:rsidR="00382753" w:rsidRPr="00B45B4F" w:rsidRDefault="00382753" w:rsidP="00382753">
            <w:pPr>
              <w:spacing w:after="0" w:line="240" w:lineRule="auto"/>
              <w:jc w:val="center"/>
              <w:rPr>
                <w:rFonts w:ascii="Verdana" w:eastAsia="Times New Roman" w:hAnsi="Verdana"/>
                <w:color w:val="0070C0"/>
                <w:sz w:val="18"/>
                <w:szCs w:val="18"/>
                <w:lang w:val="bg-BG"/>
              </w:rPr>
            </w:pPr>
          </w:p>
        </w:tc>
        <w:tc>
          <w:tcPr>
            <w:tcW w:w="830" w:type="dxa"/>
            <w:tcBorders>
              <w:top w:val="nil"/>
              <w:left w:val="nil"/>
              <w:bottom w:val="single" w:sz="4" w:space="0" w:color="auto"/>
              <w:right w:val="single" w:sz="4" w:space="0" w:color="auto"/>
            </w:tcBorders>
            <w:shd w:val="clear" w:color="auto" w:fill="auto"/>
            <w:vAlign w:val="center"/>
            <w:hideMark/>
          </w:tcPr>
          <w:p w:rsidR="00382753" w:rsidRPr="00B45B4F" w:rsidRDefault="00382753" w:rsidP="00382753">
            <w:pPr>
              <w:spacing w:after="0" w:line="240" w:lineRule="auto"/>
              <w:jc w:val="center"/>
              <w:rPr>
                <w:lang w:val="bg-BG"/>
              </w:rPr>
            </w:pPr>
            <w:r w:rsidRPr="00B45B4F">
              <w:rPr>
                <w:rFonts w:ascii="Wingdings 2" w:eastAsia="Times New Roman" w:hAnsi="Wingdings 2"/>
                <w:color w:val="0070C0"/>
                <w:sz w:val="26"/>
                <w:szCs w:val="26"/>
                <w:lang w:val="bg-BG"/>
              </w:rPr>
              <w:t></w:t>
            </w:r>
          </w:p>
        </w:tc>
        <w:tc>
          <w:tcPr>
            <w:tcW w:w="980" w:type="dxa"/>
            <w:tcBorders>
              <w:top w:val="nil"/>
              <w:left w:val="nil"/>
              <w:bottom w:val="single" w:sz="4" w:space="0" w:color="auto"/>
              <w:right w:val="single" w:sz="4" w:space="0" w:color="auto"/>
            </w:tcBorders>
            <w:shd w:val="clear" w:color="auto" w:fill="auto"/>
            <w:vAlign w:val="center"/>
            <w:hideMark/>
          </w:tcPr>
          <w:p w:rsidR="00382753" w:rsidRPr="00B45B4F" w:rsidRDefault="00382753" w:rsidP="00382753">
            <w:pPr>
              <w:spacing w:after="0" w:line="240" w:lineRule="auto"/>
              <w:jc w:val="center"/>
              <w:rPr>
                <w:rFonts w:ascii="Verdana" w:eastAsia="Times New Roman" w:hAnsi="Verdana"/>
                <w:color w:val="0070C0"/>
                <w:sz w:val="18"/>
                <w:szCs w:val="18"/>
                <w:lang w:val="bg-BG"/>
              </w:rPr>
            </w:pPr>
          </w:p>
        </w:tc>
        <w:tc>
          <w:tcPr>
            <w:tcW w:w="907" w:type="dxa"/>
            <w:tcBorders>
              <w:top w:val="nil"/>
              <w:left w:val="nil"/>
              <w:bottom w:val="single" w:sz="4" w:space="0" w:color="auto"/>
              <w:right w:val="single" w:sz="4" w:space="0" w:color="auto"/>
            </w:tcBorders>
            <w:shd w:val="clear" w:color="auto" w:fill="auto"/>
            <w:vAlign w:val="center"/>
            <w:hideMark/>
          </w:tcPr>
          <w:p w:rsidR="00382753" w:rsidRPr="00B45B4F" w:rsidRDefault="00382753" w:rsidP="00382753">
            <w:pPr>
              <w:spacing w:after="0" w:line="240" w:lineRule="auto"/>
              <w:jc w:val="center"/>
              <w:rPr>
                <w:rFonts w:ascii="Verdana" w:eastAsia="Times New Roman" w:hAnsi="Verdana"/>
                <w:color w:val="0070C0"/>
                <w:sz w:val="18"/>
                <w:szCs w:val="18"/>
                <w:lang w:val="bg-BG"/>
              </w:rPr>
            </w:pPr>
          </w:p>
        </w:tc>
      </w:tr>
      <w:tr w:rsidR="00382753" w:rsidRPr="00B45B4F" w:rsidTr="00AF6F4A">
        <w:trPr>
          <w:trHeight w:val="330"/>
          <w:jc w:val="center"/>
        </w:trPr>
        <w:tc>
          <w:tcPr>
            <w:tcW w:w="2599" w:type="dxa"/>
            <w:vMerge/>
            <w:tcBorders>
              <w:top w:val="nil"/>
              <w:left w:val="single" w:sz="4" w:space="0" w:color="auto"/>
              <w:bottom w:val="single" w:sz="4" w:space="0" w:color="auto"/>
              <w:right w:val="single" w:sz="4" w:space="0" w:color="auto"/>
            </w:tcBorders>
            <w:shd w:val="clear" w:color="auto" w:fill="548DD4" w:themeFill="text2" w:themeFillTint="99"/>
            <w:vAlign w:val="center"/>
            <w:hideMark/>
          </w:tcPr>
          <w:p w:rsidR="00382753" w:rsidRPr="00B45B4F" w:rsidRDefault="00382753" w:rsidP="002E0D02">
            <w:pPr>
              <w:spacing w:after="0" w:line="240" w:lineRule="auto"/>
              <w:jc w:val="center"/>
              <w:rPr>
                <w:rFonts w:ascii="Verdana" w:eastAsia="Times New Roman" w:hAnsi="Verdana"/>
                <w:color w:val="FFFFFF"/>
                <w:sz w:val="18"/>
                <w:szCs w:val="18"/>
                <w:lang w:val="bg-BG"/>
              </w:rPr>
            </w:pPr>
          </w:p>
        </w:tc>
        <w:tc>
          <w:tcPr>
            <w:tcW w:w="1311" w:type="dxa"/>
            <w:tcBorders>
              <w:top w:val="nil"/>
              <w:left w:val="nil"/>
              <w:bottom w:val="single" w:sz="4" w:space="0" w:color="auto"/>
              <w:right w:val="single" w:sz="4" w:space="0" w:color="auto"/>
            </w:tcBorders>
            <w:shd w:val="clear" w:color="000000" w:fill="C6D9F1"/>
            <w:vAlign w:val="center"/>
            <w:hideMark/>
          </w:tcPr>
          <w:p w:rsidR="00382753" w:rsidRPr="00B45B4F" w:rsidRDefault="00382753" w:rsidP="002E0D02">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1.4</w:t>
            </w:r>
          </w:p>
        </w:tc>
        <w:tc>
          <w:tcPr>
            <w:tcW w:w="893" w:type="dxa"/>
            <w:tcBorders>
              <w:top w:val="nil"/>
              <w:left w:val="nil"/>
              <w:bottom w:val="single" w:sz="4" w:space="0" w:color="auto"/>
              <w:right w:val="single" w:sz="4" w:space="0" w:color="auto"/>
            </w:tcBorders>
            <w:shd w:val="clear" w:color="auto" w:fill="auto"/>
            <w:vAlign w:val="center"/>
            <w:hideMark/>
          </w:tcPr>
          <w:p w:rsidR="00382753" w:rsidRPr="00B45B4F" w:rsidRDefault="00382753" w:rsidP="002E0D02">
            <w:pPr>
              <w:spacing w:after="0" w:line="240" w:lineRule="auto"/>
              <w:jc w:val="center"/>
              <w:rPr>
                <w:rFonts w:ascii="Verdana" w:eastAsia="Times New Roman" w:hAnsi="Verdana"/>
                <w:color w:val="0070C0"/>
                <w:sz w:val="18"/>
                <w:szCs w:val="18"/>
                <w:lang w:val="bg-BG"/>
              </w:rPr>
            </w:pPr>
          </w:p>
        </w:tc>
        <w:tc>
          <w:tcPr>
            <w:tcW w:w="924" w:type="dxa"/>
            <w:tcBorders>
              <w:top w:val="nil"/>
              <w:left w:val="nil"/>
              <w:bottom w:val="single" w:sz="4" w:space="0" w:color="auto"/>
              <w:right w:val="single" w:sz="4" w:space="0" w:color="auto"/>
            </w:tcBorders>
            <w:shd w:val="clear" w:color="auto" w:fill="auto"/>
            <w:vAlign w:val="center"/>
            <w:hideMark/>
          </w:tcPr>
          <w:p w:rsidR="00382753" w:rsidRPr="00B45B4F" w:rsidRDefault="00382753" w:rsidP="00382753">
            <w:pPr>
              <w:spacing w:after="0" w:line="240" w:lineRule="auto"/>
              <w:jc w:val="center"/>
              <w:rPr>
                <w:rFonts w:ascii="Verdana" w:eastAsia="Times New Roman" w:hAnsi="Verdana"/>
                <w:color w:val="0070C0"/>
                <w:sz w:val="18"/>
                <w:szCs w:val="18"/>
                <w:lang w:val="bg-BG"/>
              </w:rPr>
            </w:pPr>
            <w:r w:rsidRPr="00B45B4F">
              <w:rPr>
                <w:rFonts w:ascii="Wingdings 2" w:eastAsia="Times New Roman" w:hAnsi="Wingdings 2"/>
                <w:color w:val="0070C0"/>
                <w:sz w:val="26"/>
                <w:szCs w:val="26"/>
                <w:lang w:val="bg-BG"/>
              </w:rPr>
              <w:t></w:t>
            </w:r>
            <w:r w:rsidRPr="00B45B4F">
              <w:rPr>
                <w:rFonts w:ascii="Wingdings 2" w:eastAsia="Times New Roman" w:hAnsi="Wingdings 2"/>
                <w:color w:val="0070C0"/>
                <w:sz w:val="26"/>
                <w:szCs w:val="26"/>
                <w:lang w:val="bg-BG"/>
              </w:rPr>
              <w:t></w:t>
            </w:r>
            <w:r w:rsidRPr="00B45B4F">
              <w:rPr>
                <w:rFonts w:ascii="Wingdings 2" w:eastAsia="Times New Roman" w:hAnsi="Wingdings 2"/>
                <w:color w:val="0070C0"/>
                <w:sz w:val="26"/>
                <w:szCs w:val="26"/>
                <w:lang w:val="bg-BG"/>
              </w:rPr>
              <w:t></w:t>
            </w:r>
          </w:p>
        </w:tc>
        <w:tc>
          <w:tcPr>
            <w:tcW w:w="869" w:type="dxa"/>
            <w:tcBorders>
              <w:top w:val="nil"/>
              <w:left w:val="nil"/>
              <w:bottom w:val="single" w:sz="4" w:space="0" w:color="auto"/>
              <w:right w:val="single" w:sz="4" w:space="0" w:color="auto"/>
            </w:tcBorders>
            <w:shd w:val="clear" w:color="auto" w:fill="auto"/>
            <w:vAlign w:val="center"/>
            <w:hideMark/>
          </w:tcPr>
          <w:p w:rsidR="00382753" w:rsidRPr="00B45B4F" w:rsidRDefault="00382753" w:rsidP="00382753">
            <w:pPr>
              <w:spacing w:after="0" w:line="240" w:lineRule="auto"/>
              <w:jc w:val="center"/>
              <w:rPr>
                <w:rFonts w:ascii="Verdana" w:eastAsia="Times New Roman" w:hAnsi="Verdana"/>
                <w:color w:val="0070C0"/>
                <w:sz w:val="18"/>
                <w:szCs w:val="18"/>
                <w:lang w:val="bg-BG"/>
              </w:rPr>
            </w:pPr>
          </w:p>
        </w:tc>
        <w:tc>
          <w:tcPr>
            <w:tcW w:w="887" w:type="dxa"/>
            <w:tcBorders>
              <w:top w:val="nil"/>
              <w:left w:val="nil"/>
              <w:bottom w:val="single" w:sz="4" w:space="0" w:color="auto"/>
              <w:right w:val="single" w:sz="4" w:space="0" w:color="auto"/>
            </w:tcBorders>
            <w:shd w:val="clear" w:color="auto" w:fill="auto"/>
            <w:vAlign w:val="center"/>
            <w:hideMark/>
          </w:tcPr>
          <w:p w:rsidR="00382753" w:rsidRPr="00B45B4F" w:rsidRDefault="00382753" w:rsidP="00382753">
            <w:pPr>
              <w:spacing w:after="0" w:line="240" w:lineRule="auto"/>
              <w:jc w:val="center"/>
              <w:rPr>
                <w:rFonts w:ascii="Verdana" w:eastAsia="Times New Roman" w:hAnsi="Verdana"/>
                <w:color w:val="0070C0"/>
                <w:sz w:val="18"/>
                <w:szCs w:val="18"/>
                <w:lang w:val="bg-BG"/>
              </w:rPr>
            </w:pPr>
          </w:p>
        </w:tc>
        <w:tc>
          <w:tcPr>
            <w:tcW w:w="830" w:type="dxa"/>
            <w:tcBorders>
              <w:top w:val="nil"/>
              <w:left w:val="nil"/>
              <w:bottom w:val="single" w:sz="4" w:space="0" w:color="auto"/>
              <w:right w:val="single" w:sz="4" w:space="0" w:color="auto"/>
            </w:tcBorders>
            <w:shd w:val="clear" w:color="auto" w:fill="auto"/>
            <w:vAlign w:val="center"/>
            <w:hideMark/>
          </w:tcPr>
          <w:p w:rsidR="00382753" w:rsidRPr="00B45B4F" w:rsidRDefault="00382753" w:rsidP="00382753">
            <w:pPr>
              <w:spacing w:after="0" w:line="240" w:lineRule="auto"/>
              <w:jc w:val="center"/>
              <w:rPr>
                <w:lang w:val="bg-BG"/>
              </w:rPr>
            </w:pPr>
            <w:r w:rsidRPr="00B45B4F">
              <w:rPr>
                <w:rFonts w:ascii="Wingdings 2" w:eastAsia="Times New Roman" w:hAnsi="Wingdings 2"/>
                <w:color w:val="0070C0"/>
                <w:sz w:val="26"/>
                <w:szCs w:val="26"/>
                <w:lang w:val="bg-BG"/>
              </w:rPr>
              <w:t></w:t>
            </w:r>
          </w:p>
        </w:tc>
        <w:tc>
          <w:tcPr>
            <w:tcW w:w="980" w:type="dxa"/>
            <w:tcBorders>
              <w:top w:val="nil"/>
              <w:left w:val="nil"/>
              <w:bottom w:val="single" w:sz="4" w:space="0" w:color="auto"/>
              <w:right w:val="single" w:sz="4" w:space="0" w:color="auto"/>
            </w:tcBorders>
            <w:shd w:val="clear" w:color="auto" w:fill="auto"/>
            <w:vAlign w:val="center"/>
            <w:hideMark/>
          </w:tcPr>
          <w:p w:rsidR="00382753" w:rsidRPr="00B45B4F" w:rsidRDefault="00382753" w:rsidP="00382753">
            <w:pPr>
              <w:spacing w:after="0" w:line="240" w:lineRule="auto"/>
              <w:jc w:val="center"/>
              <w:rPr>
                <w:rFonts w:ascii="Verdana" w:eastAsia="Times New Roman" w:hAnsi="Verdana"/>
                <w:color w:val="0070C0"/>
                <w:sz w:val="18"/>
                <w:szCs w:val="18"/>
                <w:lang w:val="bg-BG"/>
              </w:rPr>
            </w:pPr>
          </w:p>
        </w:tc>
        <w:tc>
          <w:tcPr>
            <w:tcW w:w="907" w:type="dxa"/>
            <w:tcBorders>
              <w:top w:val="nil"/>
              <w:left w:val="nil"/>
              <w:bottom w:val="single" w:sz="4" w:space="0" w:color="auto"/>
              <w:right w:val="single" w:sz="4" w:space="0" w:color="auto"/>
            </w:tcBorders>
            <w:shd w:val="clear" w:color="auto" w:fill="auto"/>
            <w:vAlign w:val="center"/>
            <w:hideMark/>
          </w:tcPr>
          <w:p w:rsidR="00382753" w:rsidRPr="00B45B4F" w:rsidRDefault="00382753" w:rsidP="00382753">
            <w:pPr>
              <w:spacing w:after="0" w:line="240" w:lineRule="auto"/>
              <w:jc w:val="center"/>
              <w:rPr>
                <w:rFonts w:ascii="Verdana" w:eastAsia="Times New Roman" w:hAnsi="Verdana"/>
                <w:color w:val="0070C0"/>
                <w:sz w:val="18"/>
                <w:szCs w:val="18"/>
                <w:lang w:val="bg-BG"/>
              </w:rPr>
            </w:pPr>
          </w:p>
        </w:tc>
      </w:tr>
      <w:tr w:rsidR="002E0D02" w:rsidRPr="00B45B4F" w:rsidTr="00AF6F4A">
        <w:trPr>
          <w:trHeight w:val="330"/>
          <w:jc w:val="center"/>
        </w:trPr>
        <w:tc>
          <w:tcPr>
            <w:tcW w:w="2599" w:type="dxa"/>
            <w:vMerge/>
            <w:tcBorders>
              <w:top w:val="nil"/>
              <w:left w:val="single" w:sz="4" w:space="0" w:color="auto"/>
              <w:bottom w:val="single" w:sz="4" w:space="0" w:color="auto"/>
              <w:right w:val="single" w:sz="4" w:space="0" w:color="auto"/>
            </w:tcBorders>
            <w:shd w:val="clear" w:color="auto" w:fill="548DD4" w:themeFill="text2" w:themeFillTint="99"/>
            <w:vAlign w:val="center"/>
            <w:hideMark/>
          </w:tcPr>
          <w:p w:rsidR="002E0D02" w:rsidRPr="00B45B4F" w:rsidRDefault="002E0D02" w:rsidP="002E0D02">
            <w:pPr>
              <w:spacing w:after="0" w:line="240" w:lineRule="auto"/>
              <w:jc w:val="center"/>
              <w:rPr>
                <w:rFonts w:ascii="Verdana" w:eastAsia="Times New Roman" w:hAnsi="Verdana"/>
                <w:color w:val="FFFFFF"/>
                <w:sz w:val="18"/>
                <w:szCs w:val="18"/>
                <w:lang w:val="bg-BG"/>
              </w:rPr>
            </w:pPr>
          </w:p>
        </w:tc>
        <w:tc>
          <w:tcPr>
            <w:tcW w:w="1311" w:type="dxa"/>
            <w:tcBorders>
              <w:top w:val="nil"/>
              <w:left w:val="nil"/>
              <w:bottom w:val="single" w:sz="4" w:space="0" w:color="auto"/>
              <w:right w:val="single" w:sz="4" w:space="0" w:color="auto"/>
            </w:tcBorders>
            <w:shd w:val="clear" w:color="000000" w:fill="C6D9F1"/>
            <w:vAlign w:val="center"/>
            <w:hideMark/>
          </w:tcPr>
          <w:p w:rsidR="002E0D02" w:rsidRPr="00B45B4F" w:rsidRDefault="002E0D02" w:rsidP="002E0D02">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1.5</w:t>
            </w:r>
          </w:p>
        </w:tc>
        <w:tc>
          <w:tcPr>
            <w:tcW w:w="893"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924"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382753">
            <w:pPr>
              <w:spacing w:after="0" w:line="240" w:lineRule="auto"/>
              <w:jc w:val="center"/>
              <w:rPr>
                <w:rFonts w:ascii="Verdana" w:eastAsia="Times New Roman" w:hAnsi="Verdana"/>
                <w:color w:val="0070C0"/>
                <w:sz w:val="18"/>
                <w:szCs w:val="18"/>
                <w:lang w:val="bg-BG"/>
              </w:rPr>
            </w:pPr>
          </w:p>
        </w:tc>
        <w:tc>
          <w:tcPr>
            <w:tcW w:w="869"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382753">
            <w:pPr>
              <w:spacing w:after="0" w:line="240" w:lineRule="auto"/>
              <w:jc w:val="center"/>
              <w:rPr>
                <w:rFonts w:ascii="Verdana" w:eastAsia="Times New Roman" w:hAnsi="Verdana"/>
                <w:color w:val="0070C0"/>
                <w:sz w:val="18"/>
                <w:szCs w:val="18"/>
                <w:lang w:val="bg-BG"/>
              </w:rPr>
            </w:pPr>
          </w:p>
        </w:tc>
        <w:tc>
          <w:tcPr>
            <w:tcW w:w="887"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382753">
            <w:pPr>
              <w:spacing w:after="0" w:line="240" w:lineRule="auto"/>
              <w:jc w:val="center"/>
              <w:rPr>
                <w:rFonts w:ascii="Verdana" w:eastAsia="Times New Roman" w:hAnsi="Verdana"/>
                <w:color w:val="0070C0"/>
                <w:sz w:val="18"/>
                <w:szCs w:val="18"/>
                <w:lang w:val="bg-BG"/>
              </w:rPr>
            </w:pPr>
          </w:p>
        </w:tc>
        <w:tc>
          <w:tcPr>
            <w:tcW w:w="830"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382753">
            <w:pPr>
              <w:spacing w:after="0" w:line="240" w:lineRule="auto"/>
              <w:jc w:val="center"/>
              <w:rPr>
                <w:rFonts w:ascii="Verdana" w:eastAsia="Times New Roman" w:hAnsi="Verdana"/>
                <w:color w:val="0070C0"/>
                <w:sz w:val="18"/>
                <w:szCs w:val="18"/>
                <w:lang w:val="bg-BG"/>
              </w:rPr>
            </w:pPr>
          </w:p>
        </w:tc>
        <w:tc>
          <w:tcPr>
            <w:tcW w:w="980"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382753">
            <w:pPr>
              <w:spacing w:after="0" w:line="240" w:lineRule="auto"/>
              <w:jc w:val="center"/>
              <w:rPr>
                <w:rFonts w:ascii="Verdana" w:eastAsia="Times New Roman" w:hAnsi="Verdana"/>
                <w:color w:val="0070C0"/>
                <w:sz w:val="18"/>
                <w:szCs w:val="18"/>
                <w:lang w:val="bg-BG"/>
              </w:rPr>
            </w:pPr>
          </w:p>
        </w:tc>
        <w:tc>
          <w:tcPr>
            <w:tcW w:w="907"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382753">
            <w:pPr>
              <w:spacing w:after="0" w:line="240" w:lineRule="auto"/>
              <w:jc w:val="center"/>
              <w:rPr>
                <w:rFonts w:ascii="Verdana" w:eastAsia="Times New Roman" w:hAnsi="Verdana"/>
                <w:color w:val="0070C0"/>
                <w:sz w:val="18"/>
                <w:szCs w:val="18"/>
                <w:lang w:val="bg-BG"/>
              </w:rPr>
            </w:pPr>
          </w:p>
        </w:tc>
      </w:tr>
      <w:tr w:rsidR="002E0D02" w:rsidRPr="00B45B4F" w:rsidTr="00AF6F4A">
        <w:trPr>
          <w:trHeight w:val="330"/>
          <w:jc w:val="center"/>
        </w:trPr>
        <w:tc>
          <w:tcPr>
            <w:tcW w:w="2599" w:type="dxa"/>
            <w:vMerge w:val="restart"/>
            <w:tcBorders>
              <w:top w:val="nil"/>
              <w:left w:val="single" w:sz="4" w:space="0" w:color="auto"/>
              <w:bottom w:val="single" w:sz="4" w:space="0" w:color="auto"/>
              <w:right w:val="single" w:sz="4" w:space="0" w:color="auto"/>
            </w:tcBorders>
            <w:shd w:val="clear" w:color="auto" w:fill="548DD4" w:themeFill="text2" w:themeFillTint="99"/>
            <w:vAlign w:val="center"/>
            <w:hideMark/>
          </w:tcPr>
          <w:p w:rsidR="002E0D02" w:rsidRPr="00B45B4F" w:rsidRDefault="002E0D02" w:rsidP="002E0D02">
            <w:pPr>
              <w:spacing w:after="0" w:line="240" w:lineRule="auto"/>
              <w:jc w:val="center"/>
              <w:rPr>
                <w:rFonts w:ascii="Verdana" w:eastAsia="Times New Roman" w:hAnsi="Verdana"/>
                <w:color w:val="FFFFFF"/>
                <w:sz w:val="18"/>
                <w:szCs w:val="18"/>
                <w:lang w:val="bg-BG"/>
              </w:rPr>
            </w:pPr>
            <w:r w:rsidRPr="00B45B4F">
              <w:rPr>
                <w:rFonts w:ascii="Verdana" w:eastAsia="Times New Roman" w:hAnsi="Verdana"/>
                <w:color w:val="FFFFFF"/>
                <w:sz w:val="18"/>
                <w:szCs w:val="18"/>
                <w:lang w:val="bg-BG"/>
              </w:rPr>
              <w:t>ПО 2: Намаляване на бедността и насърчаване на социалното включване</w:t>
            </w:r>
          </w:p>
        </w:tc>
        <w:tc>
          <w:tcPr>
            <w:tcW w:w="1311" w:type="dxa"/>
            <w:tcBorders>
              <w:top w:val="nil"/>
              <w:left w:val="nil"/>
              <w:bottom w:val="single" w:sz="4" w:space="0" w:color="auto"/>
              <w:right w:val="single" w:sz="4" w:space="0" w:color="auto"/>
            </w:tcBorders>
            <w:shd w:val="clear" w:color="000000" w:fill="C6D9F1"/>
            <w:vAlign w:val="center"/>
            <w:hideMark/>
          </w:tcPr>
          <w:p w:rsidR="002E0D02" w:rsidRPr="00B45B4F" w:rsidRDefault="002E0D02" w:rsidP="002E0D02">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2.1</w:t>
            </w:r>
          </w:p>
        </w:tc>
        <w:tc>
          <w:tcPr>
            <w:tcW w:w="893"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924"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382753">
            <w:pPr>
              <w:spacing w:after="0" w:line="240" w:lineRule="auto"/>
              <w:jc w:val="center"/>
              <w:rPr>
                <w:rFonts w:ascii="Verdana" w:eastAsia="Times New Roman" w:hAnsi="Verdana"/>
                <w:color w:val="0070C0"/>
                <w:sz w:val="18"/>
                <w:szCs w:val="18"/>
                <w:lang w:val="bg-BG"/>
              </w:rPr>
            </w:pPr>
          </w:p>
        </w:tc>
        <w:tc>
          <w:tcPr>
            <w:tcW w:w="869"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382753">
            <w:pPr>
              <w:spacing w:after="0" w:line="240" w:lineRule="auto"/>
              <w:jc w:val="center"/>
              <w:rPr>
                <w:rFonts w:ascii="Verdana" w:eastAsia="Times New Roman" w:hAnsi="Verdana"/>
                <w:color w:val="0070C0"/>
                <w:sz w:val="18"/>
                <w:szCs w:val="18"/>
                <w:lang w:val="bg-BG"/>
              </w:rPr>
            </w:pPr>
          </w:p>
        </w:tc>
        <w:tc>
          <w:tcPr>
            <w:tcW w:w="887"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382753">
            <w:pPr>
              <w:spacing w:after="0" w:line="240" w:lineRule="auto"/>
              <w:jc w:val="center"/>
              <w:rPr>
                <w:rFonts w:ascii="Verdana" w:eastAsia="Times New Roman" w:hAnsi="Verdana"/>
                <w:color w:val="0070C0"/>
                <w:sz w:val="18"/>
                <w:szCs w:val="18"/>
                <w:lang w:val="bg-BG"/>
              </w:rPr>
            </w:pPr>
          </w:p>
        </w:tc>
        <w:tc>
          <w:tcPr>
            <w:tcW w:w="830"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382753">
            <w:pPr>
              <w:spacing w:after="0" w:line="240" w:lineRule="auto"/>
              <w:jc w:val="center"/>
              <w:rPr>
                <w:rFonts w:ascii="Verdana" w:eastAsia="Times New Roman" w:hAnsi="Verdana"/>
                <w:color w:val="0070C0"/>
                <w:sz w:val="18"/>
                <w:szCs w:val="18"/>
                <w:lang w:val="bg-BG"/>
              </w:rPr>
            </w:pPr>
          </w:p>
        </w:tc>
        <w:tc>
          <w:tcPr>
            <w:tcW w:w="980" w:type="dxa"/>
            <w:tcBorders>
              <w:top w:val="nil"/>
              <w:left w:val="nil"/>
              <w:bottom w:val="single" w:sz="4" w:space="0" w:color="auto"/>
              <w:right w:val="single" w:sz="4" w:space="0" w:color="auto"/>
            </w:tcBorders>
            <w:shd w:val="clear" w:color="auto" w:fill="auto"/>
            <w:vAlign w:val="center"/>
            <w:hideMark/>
          </w:tcPr>
          <w:p w:rsidR="002E0D02" w:rsidRPr="00B45B4F" w:rsidRDefault="00382753" w:rsidP="00382753">
            <w:pPr>
              <w:spacing w:after="0" w:line="240" w:lineRule="auto"/>
              <w:jc w:val="center"/>
              <w:rPr>
                <w:rFonts w:ascii="Verdana" w:eastAsia="Times New Roman" w:hAnsi="Verdana"/>
                <w:color w:val="0070C0"/>
                <w:sz w:val="18"/>
                <w:szCs w:val="18"/>
                <w:lang w:val="bg-BG"/>
              </w:rPr>
            </w:pPr>
            <w:r w:rsidRPr="00B45B4F">
              <w:rPr>
                <w:rFonts w:ascii="Wingdings 2" w:eastAsia="Times New Roman" w:hAnsi="Wingdings 2"/>
                <w:color w:val="0070C0"/>
                <w:sz w:val="26"/>
                <w:szCs w:val="26"/>
                <w:lang w:val="bg-BG"/>
              </w:rPr>
              <w:t></w:t>
            </w:r>
            <w:r w:rsidRPr="00B45B4F">
              <w:rPr>
                <w:rFonts w:ascii="Wingdings 2" w:eastAsia="Times New Roman" w:hAnsi="Wingdings 2"/>
                <w:color w:val="0070C0"/>
                <w:sz w:val="26"/>
                <w:szCs w:val="26"/>
                <w:lang w:val="bg-BG"/>
              </w:rPr>
              <w:t></w:t>
            </w:r>
          </w:p>
        </w:tc>
        <w:tc>
          <w:tcPr>
            <w:tcW w:w="907" w:type="dxa"/>
            <w:tcBorders>
              <w:top w:val="nil"/>
              <w:left w:val="nil"/>
              <w:bottom w:val="single" w:sz="4" w:space="0" w:color="auto"/>
              <w:right w:val="single" w:sz="4" w:space="0" w:color="auto"/>
            </w:tcBorders>
            <w:shd w:val="clear" w:color="auto" w:fill="auto"/>
            <w:vAlign w:val="center"/>
            <w:hideMark/>
          </w:tcPr>
          <w:p w:rsidR="002E0D02" w:rsidRPr="00B45B4F" w:rsidRDefault="00382753" w:rsidP="00382753">
            <w:pPr>
              <w:spacing w:after="0" w:line="240" w:lineRule="auto"/>
              <w:jc w:val="center"/>
              <w:rPr>
                <w:rFonts w:ascii="Verdana" w:eastAsia="Times New Roman" w:hAnsi="Verdana"/>
                <w:color w:val="0070C0"/>
                <w:sz w:val="18"/>
                <w:szCs w:val="18"/>
                <w:lang w:val="bg-BG"/>
              </w:rPr>
            </w:pPr>
            <w:r w:rsidRPr="00B45B4F">
              <w:rPr>
                <w:rFonts w:ascii="Wingdings 2" w:eastAsia="Times New Roman" w:hAnsi="Wingdings 2"/>
                <w:color w:val="0070C0"/>
                <w:sz w:val="26"/>
                <w:szCs w:val="26"/>
                <w:lang w:val="bg-BG"/>
              </w:rPr>
              <w:t></w:t>
            </w:r>
          </w:p>
        </w:tc>
      </w:tr>
      <w:tr w:rsidR="002E0D02" w:rsidRPr="00B45B4F" w:rsidTr="00AF6F4A">
        <w:trPr>
          <w:trHeight w:val="330"/>
          <w:jc w:val="center"/>
        </w:trPr>
        <w:tc>
          <w:tcPr>
            <w:tcW w:w="2599" w:type="dxa"/>
            <w:vMerge/>
            <w:tcBorders>
              <w:top w:val="nil"/>
              <w:left w:val="single" w:sz="4" w:space="0" w:color="auto"/>
              <w:bottom w:val="single" w:sz="4" w:space="0" w:color="auto"/>
              <w:right w:val="single" w:sz="4" w:space="0" w:color="auto"/>
            </w:tcBorders>
            <w:shd w:val="clear" w:color="auto" w:fill="548DD4" w:themeFill="text2" w:themeFillTint="99"/>
            <w:vAlign w:val="center"/>
            <w:hideMark/>
          </w:tcPr>
          <w:p w:rsidR="002E0D02" w:rsidRPr="00B45B4F" w:rsidRDefault="002E0D02" w:rsidP="002E0D02">
            <w:pPr>
              <w:spacing w:after="0" w:line="240" w:lineRule="auto"/>
              <w:jc w:val="center"/>
              <w:rPr>
                <w:rFonts w:ascii="Verdana" w:eastAsia="Times New Roman" w:hAnsi="Verdana"/>
                <w:color w:val="FFFFFF"/>
                <w:sz w:val="18"/>
                <w:szCs w:val="18"/>
                <w:lang w:val="bg-BG"/>
              </w:rPr>
            </w:pPr>
          </w:p>
        </w:tc>
        <w:tc>
          <w:tcPr>
            <w:tcW w:w="1311" w:type="dxa"/>
            <w:tcBorders>
              <w:top w:val="nil"/>
              <w:left w:val="nil"/>
              <w:bottom w:val="single" w:sz="4" w:space="0" w:color="auto"/>
              <w:right w:val="single" w:sz="4" w:space="0" w:color="auto"/>
            </w:tcBorders>
            <w:shd w:val="clear" w:color="000000" w:fill="C6D9F1"/>
            <w:vAlign w:val="center"/>
            <w:hideMark/>
          </w:tcPr>
          <w:p w:rsidR="002E0D02" w:rsidRPr="00B45B4F" w:rsidRDefault="002E0D02" w:rsidP="002E0D02">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2.2</w:t>
            </w:r>
          </w:p>
        </w:tc>
        <w:tc>
          <w:tcPr>
            <w:tcW w:w="893"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924"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382753">
            <w:pPr>
              <w:spacing w:after="0" w:line="240" w:lineRule="auto"/>
              <w:jc w:val="center"/>
              <w:rPr>
                <w:rFonts w:ascii="Verdana" w:eastAsia="Times New Roman" w:hAnsi="Verdana"/>
                <w:color w:val="0070C0"/>
                <w:sz w:val="18"/>
                <w:szCs w:val="18"/>
                <w:lang w:val="bg-BG"/>
              </w:rPr>
            </w:pPr>
          </w:p>
        </w:tc>
        <w:tc>
          <w:tcPr>
            <w:tcW w:w="869"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382753">
            <w:pPr>
              <w:spacing w:after="0" w:line="240" w:lineRule="auto"/>
              <w:jc w:val="center"/>
              <w:rPr>
                <w:rFonts w:ascii="Verdana" w:eastAsia="Times New Roman" w:hAnsi="Verdana"/>
                <w:color w:val="0070C0"/>
                <w:sz w:val="18"/>
                <w:szCs w:val="18"/>
                <w:lang w:val="bg-BG"/>
              </w:rPr>
            </w:pPr>
          </w:p>
        </w:tc>
        <w:tc>
          <w:tcPr>
            <w:tcW w:w="887"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382753">
            <w:pPr>
              <w:spacing w:after="0" w:line="240" w:lineRule="auto"/>
              <w:jc w:val="center"/>
              <w:rPr>
                <w:rFonts w:ascii="Verdana" w:eastAsia="Times New Roman" w:hAnsi="Verdana"/>
                <w:color w:val="0070C0"/>
                <w:sz w:val="18"/>
                <w:szCs w:val="18"/>
                <w:lang w:val="bg-BG"/>
              </w:rPr>
            </w:pPr>
          </w:p>
        </w:tc>
        <w:tc>
          <w:tcPr>
            <w:tcW w:w="830"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382753">
            <w:pPr>
              <w:spacing w:after="0" w:line="240" w:lineRule="auto"/>
              <w:jc w:val="center"/>
              <w:rPr>
                <w:rFonts w:ascii="Verdana" w:eastAsia="Times New Roman" w:hAnsi="Verdana"/>
                <w:color w:val="0070C0"/>
                <w:sz w:val="18"/>
                <w:szCs w:val="18"/>
                <w:lang w:val="bg-BG"/>
              </w:rPr>
            </w:pPr>
          </w:p>
        </w:tc>
        <w:tc>
          <w:tcPr>
            <w:tcW w:w="980" w:type="dxa"/>
            <w:tcBorders>
              <w:top w:val="nil"/>
              <w:left w:val="nil"/>
              <w:bottom w:val="single" w:sz="4" w:space="0" w:color="auto"/>
              <w:right w:val="single" w:sz="4" w:space="0" w:color="auto"/>
            </w:tcBorders>
            <w:shd w:val="clear" w:color="auto" w:fill="auto"/>
            <w:vAlign w:val="center"/>
            <w:hideMark/>
          </w:tcPr>
          <w:p w:rsidR="002E0D02" w:rsidRPr="00B45B4F" w:rsidRDefault="00382753" w:rsidP="00382753">
            <w:pPr>
              <w:spacing w:after="0" w:line="240" w:lineRule="auto"/>
              <w:jc w:val="center"/>
              <w:rPr>
                <w:rFonts w:ascii="Verdana" w:eastAsia="Times New Roman" w:hAnsi="Verdana"/>
                <w:color w:val="0070C0"/>
                <w:sz w:val="18"/>
                <w:szCs w:val="18"/>
                <w:lang w:val="bg-BG"/>
              </w:rPr>
            </w:pPr>
            <w:r w:rsidRPr="00B45B4F">
              <w:rPr>
                <w:rFonts w:ascii="Wingdings 2" w:eastAsia="Times New Roman" w:hAnsi="Wingdings 2"/>
                <w:color w:val="0070C0"/>
                <w:sz w:val="26"/>
                <w:szCs w:val="26"/>
                <w:lang w:val="bg-BG"/>
              </w:rPr>
              <w:t></w:t>
            </w:r>
            <w:r w:rsidRPr="00B45B4F">
              <w:rPr>
                <w:rFonts w:ascii="Wingdings 2" w:eastAsia="Times New Roman" w:hAnsi="Wingdings 2"/>
                <w:color w:val="0070C0"/>
                <w:sz w:val="26"/>
                <w:szCs w:val="26"/>
                <w:lang w:val="bg-BG"/>
              </w:rPr>
              <w:t></w:t>
            </w:r>
          </w:p>
        </w:tc>
        <w:tc>
          <w:tcPr>
            <w:tcW w:w="907"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382753">
            <w:pPr>
              <w:spacing w:after="0" w:line="240" w:lineRule="auto"/>
              <w:jc w:val="center"/>
              <w:rPr>
                <w:rFonts w:ascii="Verdana" w:eastAsia="Times New Roman" w:hAnsi="Verdana"/>
                <w:color w:val="0070C0"/>
                <w:sz w:val="18"/>
                <w:szCs w:val="18"/>
                <w:lang w:val="bg-BG"/>
              </w:rPr>
            </w:pPr>
          </w:p>
        </w:tc>
      </w:tr>
      <w:tr w:rsidR="002E0D02" w:rsidRPr="00B45B4F" w:rsidTr="00AF6F4A">
        <w:trPr>
          <w:trHeight w:val="330"/>
          <w:jc w:val="center"/>
        </w:trPr>
        <w:tc>
          <w:tcPr>
            <w:tcW w:w="2599" w:type="dxa"/>
            <w:vMerge/>
            <w:tcBorders>
              <w:top w:val="nil"/>
              <w:left w:val="single" w:sz="4" w:space="0" w:color="auto"/>
              <w:bottom w:val="single" w:sz="4" w:space="0" w:color="auto"/>
              <w:right w:val="single" w:sz="4" w:space="0" w:color="auto"/>
            </w:tcBorders>
            <w:shd w:val="clear" w:color="auto" w:fill="548DD4" w:themeFill="text2" w:themeFillTint="99"/>
            <w:vAlign w:val="center"/>
            <w:hideMark/>
          </w:tcPr>
          <w:p w:rsidR="002E0D02" w:rsidRPr="00B45B4F" w:rsidRDefault="002E0D02" w:rsidP="002E0D02">
            <w:pPr>
              <w:spacing w:after="0" w:line="240" w:lineRule="auto"/>
              <w:jc w:val="center"/>
              <w:rPr>
                <w:rFonts w:ascii="Verdana" w:eastAsia="Times New Roman" w:hAnsi="Verdana"/>
                <w:color w:val="FFFFFF"/>
                <w:sz w:val="18"/>
                <w:szCs w:val="18"/>
                <w:lang w:val="bg-BG"/>
              </w:rPr>
            </w:pPr>
          </w:p>
        </w:tc>
        <w:tc>
          <w:tcPr>
            <w:tcW w:w="1311" w:type="dxa"/>
            <w:tcBorders>
              <w:top w:val="nil"/>
              <w:left w:val="nil"/>
              <w:bottom w:val="single" w:sz="4" w:space="0" w:color="auto"/>
              <w:right w:val="single" w:sz="4" w:space="0" w:color="auto"/>
            </w:tcBorders>
            <w:shd w:val="clear" w:color="000000" w:fill="C6D9F1"/>
            <w:vAlign w:val="center"/>
            <w:hideMark/>
          </w:tcPr>
          <w:p w:rsidR="002E0D02" w:rsidRPr="00B45B4F" w:rsidRDefault="002E0D02" w:rsidP="002E0D02">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2.3</w:t>
            </w:r>
          </w:p>
        </w:tc>
        <w:tc>
          <w:tcPr>
            <w:tcW w:w="893"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924"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382753">
            <w:pPr>
              <w:spacing w:after="0" w:line="240" w:lineRule="auto"/>
              <w:jc w:val="center"/>
              <w:rPr>
                <w:rFonts w:ascii="Verdana" w:eastAsia="Times New Roman" w:hAnsi="Verdana"/>
                <w:color w:val="0070C0"/>
                <w:sz w:val="18"/>
                <w:szCs w:val="18"/>
                <w:lang w:val="bg-BG"/>
              </w:rPr>
            </w:pPr>
          </w:p>
        </w:tc>
        <w:tc>
          <w:tcPr>
            <w:tcW w:w="869"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382753">
            <w:pPr>
              <w:spacing w:after="0" w:line="240" w:lineRule="auto"/>
              <w:jc w:val="center"/>
              <w:rPr>
                <w:rFonts w:ascii="Verdana" w:eastAsia="Times New Roman" w:hAnsi="Verdana"/>
                <w:color w:val="0070C0"/>
                <w:sz w:val="18"/>
                <w:szCs w:val="18"/>
                <w:lang w:val="bg-BG"/>
              </w:rPr>
            </w:pPr>
          </w:p>
        </w:tc>
        <w:tc>
          <w:tcPr>
            <w:tcW w:w="887"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382753">
            <w:pPr>
              <w:spacing w:after="0" w:line="240" w:lineRule="auto"/>
              <w:jc w:val="center"/>
              <w:rPr>
                <w:rFonts w:ascii="Verdana" w:eastAsia="Times New Roman" w:hAnsi="Verdana"/>
                <w:color w:val="0070C0"/>
                <w:sz w:val="18"/>
                <w:szCs w:val="18"/>
                <w:lang w:val="bg-BG"/>
              </w:rPr>
            </w:pPr>
          </w:p>
        </w:tc>
        <w:tc>
          <w:tcPr>
            <w:tcW w:w="830"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382753">
            <w:pPr>
              <w:spacing w:after="0" w:line="240" w:lineRule="auto"/>
              <w:jc w:val="center"/>
              <w:rPr>
                <w:rFonts w:ascii="Verdana" w:eastAsia="Times New Roman" w:hAnsi="Verdana"/>
                <w:color w:val="0070C0"/>
                <w:sz w:val="18"/>
                <w:szCs w:val="18"/>
                <w:lang w:val="bg-BG"/>
              </w:rPr>
            </w:pPr>
          </w:p>
        </w:tc>
        <w:tc>
          <w:tcPr>
            <w:tcW w:w="980"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382753">
            <w:pPr>
              <w:spacing w:after="0" w:line="240" w:lineRule="auto"/>
              <w:jc w:val="center"/>
              <w:rPr>
                <w:rFonts w:ascii="Verdana" w:eastAsia="Times New Roman" w:hAnsi="Verdana"/>
                <w:color w:val="0070C0"/>
                <w:sz w:val="18"/>
                <w:szCs w:val="18"/>
                <w:lang w:val="bg-BG"/>
              </w:rPr>
            </w:pPr>
          </w:p>
        </w:tc>
        <w:tc>
          <w:tcPr>
            <w:tcW w:w="907"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382753">
            <w:pPr>
              <w:spacing w:after="0" w:line="240" w:lineRule="auto"/>
              <w:jc w:val="center"/>
              <w:rPr>
                <w:rFonts w:ascii="Verdana" w:eastAsia="Times New Roman" w:hAnsi="Verdana"/>
                <w:color w:val="0070C0"/>
                <w:sz w:val="18"/>
                <w:szCs w:val="18"/>
                <w:lang w:val="bg-BG"/>
              </w:rPr>
            </w:pPr>
          </w:p>
        </w:tc>
      </w:tr>
      <w:tr w:rsidR="002E0D02" w:rsidRPr="00B45B4F" w:rsidTr="00AF6F4A">
        <w:trPr>
          <w:trHeight w:val="548"/>
          <w:jc w:val="center"/>
        </w:trPr>
        <w:tc>
          <w:tcPr>
            <w:tcW w:w="2599" w:type="dxa"/>
            <w:vMerge w:val="restart"/>
            <w:tcBorders>
              <w:top w:val="nil"/>
              <w:left w:val="single" w:sz="4" w:space="0" w:color="auto"/>
              <w:bottom w:val="single" w:sz="4" w:space="0" w:color="auto"/>
              <w:right w:val="single" w:sz="4" w:space="0" w:color="auto"/>
            </w:tcBorders>
            <w:shd w:val="clear" w:color="auto" w:fill="548DD4" w:themeFill="text2" w:themeFillTint="99"/>
            <w:vAlign w:val="center"/>
            <w:hideMark/>
          </w:tcPr>
          <w:p w:rsidR="002E0D02" w:rsidRPr="00B45B4F" w:rsidRDefault="002E0D02" w:rsidP="002E0D02">
            <w:pPr>
              <w:spacing w:after="0" w:line="240" w:lineRule="auto"/>
              <w:jc w:val="center"/>
              <w:rPr>
                <w:rFonts w:ascii="Verdana" w:eastAsia="Times New Roman" w:hAnsi="Verdana"/>
                <w:color w:val="FFFFFF"/>
                <w:sz w:val="18"/>
                <w:szCs w:val="18"/>
                <w:lang w:val="bg-BG"/>
              </w:rPr>
            </w:pPr>
            <w:r w:rsidRPr="00B45B4F">
              <w:rPr>
                <w:rFonts w:ascii="Verdana" w:eastAsia="Times New Roman" w:hAnsi="Verdana"/>
                <w:color w:val="FFFFFF"/>
                <w:sz w:val="18"/>
                <w:szCs w:val="18"/>
                <w:lang w:val="bg-BG"/>
              </w:rPr>
              <w:t>ПО 3: Модернизация на инст. на пазара на труда, социалното включване и здравеопазването</w:t>
            </w:r>
          </w:p>
        </w:tc>
        <w:tc>
          <w:tcPr>
            <w:tcW w:w="1311" w:type="dxa"/>
            <w:tcBorders>
              <w:top w:val="nil"/>
              <w:left w:val="nil"/>
              <w:bottom w:val="single" w:sz="4" w:space="0" w:color="auto"/>
              <w:right w:val="single" w:sz="4" w:space="0" w:color="auto"/>
            </w:tcBorders>
            <w:shd w:val="clear" w:color="000000" w:fill="C6D9F1"/>
            <w:vAlign w:val="center"/>
            <w:hideMark/>
          </w:tcPr>
          <w:p w:rsidR="002E0D02" w:rsidRPr="00B45B4F" w:rsidRDefault="002E0D02" w:rsidP="002E0D02">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3.1</w:t>
            </w:r>
          </w:p>
        </w:tc>
        <w:tc>
          <w:tcPr>
            <w:tcW w:w="893"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924"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869"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887"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830"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980"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907"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r>
      <w:tr w:rsidR="002E0D02" w:rsidRPr="00B45B4F" w:rsidTr="00AF6F4A">
        <w:trPr>
          <w:trHeight w:val="330"/>
          <w:jc w:val="center"/>
        </w:trPr>
        <w:tc>
          <w:tcPr>
            <w:tcW w:w="2599" w:type="dxa"/>
            <w:vMerge/>
            <w:tcBorders>
              <w:top w:val="nil"/>
              <w:left w:val="single" w:sz="4" w:space="0" w:color="auto"/>
              <w:bottom w:val="single" w:sz="4" w:space="0" w:color="auto"/>
              <w:right w:val="single" w:sz="4" w:space="0" w:color="auto"/>
            </w:tcBorders>
            <w:shd w:val="clear" w:color="auto" w:fill="548DD4" w:themeFill="text2" w:themeFillTint="99"/>
            <w:vAlign w:val="center"/>
            <w:hideMark/>
          </w:tcPr>
          <w:p w:rsidR="002E0D02" w:rsidRPr="00B45B4F" w:rsidRDefault="002E0D02" w:rsidP="002E0D02">
            <w:pPr>
              <w:spacing w:after="0" w:line="240" w:lineRule="auto"/>
              <w:jc w:val="center"/>
              <w:rPr>
                <w:rFonts w:ascii="Verdana" w:eastAsia="Times New Roman" w:hAnsi="Verdana"/>
                <w:color w:val="FFFFFF"/>
                <w:sz w:val="18"/>
                <w:szCs w:val="18"/>
                <w:lang w:val="bg-BG"/>
              </w:rPr>
            </w:pPr>
          </w:p>
        </w:tc>
        <w:tc>
          <w:tcPr>
            <w:tcW w:w="1311" w:type="dxa"/>
            <w:tcBorders>
              <w:top w:val="nil"/>
              <w:left w:val="nil"/>
              <w:bottom w:val="single" w:sz="4" w:space="0" w:color="auto"/>
              <w:right w:val="single" w:sz="4" w:space="0" w:color="auto"/>
            </w:tcBorders>
            <w:shd w:val="clear" w:color="000000" w:fill="C6D9F1"/>
            <w:vAlign w:val="center"/>
            <w:hideMark/>
          </w:tcPr>
          <w:p w:rsidR="002E0D02" w:rsidRPr="00B45B4F" w:rsidRDefault="002E0D02" w:rsidP="002E0D02">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3.2</w:t>
            </w:r>
          </w:p>
        </w:tc>
        <w:tc>
          <w:tcPr>
            <w:tcW w:w="893"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924"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869"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887"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830"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980"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907"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r>
      <w:tr w:rsidR="002E0D02" w:rsidRPr="00B45B4F" w:rsidTr="00AF6F4A">
        <w:trPr>
          <w:trHeight w:val="330"/>
          <w:jc w:val="center"/>
        </w:trPr>
        <w:tc>
          <w:tcPr>
            <w:tcW w:w="2599" w:type="dxa"/>
            <w:vMerge w:val="restart"/>
            <w:tcBorders>
              <w:top w:val="nil"/>
              <w:left w:val="single" w:sz="4" w:space="0" w:color="auto"/>
              <w:bottom w:val="single" w:sz="4" w:space="0" w:color="auto"/>
              <w:right w:val="single" w:sz="4" w:space="0" w:color="auto"/>
            </w:tcBorders>
            <w:shd w:val="clear" w:color="auto" w:fill="548DD4" w:themeFill="text2" w:themeFillTint="99"/>
            <w:vAlign w:val="center"/>
            <w:hideMark/>
          </w:tcPr>
          <w:p w:rsidR="002E0D02" w:rsidRPr="00B45B4F" w:rsidRDefault="002E0D02" w:rsidP="002E0D02">
            <w:pPr>
              <w:spacing w:after="0" w:line="240" w:lineRule="auto"/>
              <w:jc w:val="center"/>
              <w:rPr>
                <w:rFonts w:ascii="Verdana" w:eastAsia="Times New Roman" w:hAnsi="Verdana"/>
                <w:color w:val="FFFFFF"/>
                <w:sz w:val="18"/>
                <w:szCs w:val="18"/>
                <w:lang w:val="bg-BG"/>
              </w:rPr>
            </w:pPr>
            <w:r w:rsidRPr="00B45B4F">
              <w:rPr>
                <w:rFonts w:ascii="Verdana" w:eastAsia="Times New Roman" w:hAnsi="Verdana"/>
                <w:color w:val="FFFFFF"/>
                <w:sz w:val="18"/>
                <w:szCs w:val="18"/>
                <w:lang w:val="bg-BG"/>
              </w:rPr>
              <w:t>ПО 4: Транснационално сътрудничество</w:t>
            </w:r>
          </w:p>
        </w:tc>
        <w:tc>
          <w:tcPr>
            <w:tcW w:w="1311" w:type="dxa"/>
            <w:tcBorders>
              <w:top w:val="nil"/>
              <w:left w:val="nil"/>
              <w:bottom w:val="single" w:sz="4" w:space="0" w:color="auto"/>
              <w:right w:val="single" w:sz="4" w:space="0" w:color="auto"/>
            </w:tcBorders>
            <w:shd w:val="clear" w:color="000000" w:fill="C6D9F1"/>
            <w:vAlign w:val="center"/>
            <w:hideMark/>
          </w:tcPr>
          <w:p w:rsidR="002E0D02" w:rsidRPr="00B45B4F" w:rsidRDefault="002E0D02" w:rsidP="002E0D02">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4.1</w:t>
            </w:r>
          </w:p>
        </w:tc>
        <w:tc>
          <w:tcPr>
            <w:tcW w:w="893"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924"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869"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887"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830"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980"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907"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r>
      <w:tr w:rsidR="002E0D02" w:rsidRPr="00B45B4F" w:rsidTr="00AF6F4A">
        <w:trPr>
          <w:trHeight w:val="330"/>
          <w:jc w:val="center"/>
        </w:trPr>
        <w:tc>
          <w:tcPr>
            <w:tcW w:w="2599" w:type="dxa"/>
            <w:vMerge/>
            <w:tcBorders>
              <w:top w:val="nil"/>
              <w:left w:val="single" w:sz="4" w:space="0" w:color="auto"/>
              <w:bottom w:val="single" w:sz="4" w:space="0" w:color="auto"/>
              <w:right w:val="single" w:sz="4" w:space="0" w:color="auto"/>
            </w:tcBorders>
            <w:shd w:val="clear" w:color="auto" w:fill="548DD4" w:themeFill="text2" w:themeFillTint="99"/>
            <w:vAlign w:val="center"/>
            <w:hideMark/>
          </w:tcPr>
          <w:p w:rsidR="002E0D02" w:rsidRPr="00B45B4F" w:rsidRDefault="002E0D02" w:rsidP="002E0D02">
            <w:pPr>
              <w:spacing w:after="0" w:line="240" w:lineRule="auto"/>
              <w:rPr>
                <w:rFonts w:ascii="Verdana" w:eastAsia="Times New Roman" w:hAnsi="Verdana"/>
                <w:color w:val="FFFFFF"/>
                <w:sz w:val="18"/>
                <w:szCs w:val="18"/>
                <w:lang w:val="bg-BG"/>
              </w:rPr>
            </w:pPr>
          </w:p>
        </w:tc>
        <w:tc>
          <w:tcPr>
            <w:tcW w:w="1311" w:type="dxa"/>
            <w:tcBorders>
              <w:top w:val="nil"/>
              <w:left w:val="nil"/>
              <w:bottom w:val="single" w:sz="4" w:space="0" w:color="auto"/>
              <w:right w:val="single" w:sz="4" w:space="0" w:color="auto"/>
            </w:tcBorders>
            <w:shd w:val="clear" w:color="000000" w:fill="C6D9F1"/>
            <w:vAlign w:val="center"/>
            <w:hideMark/>
          </w:tcPr>
          <w:p w:rsidR="002E0D02" w:rsidRPr="00B45B4F" w:rsidRDefault="002E0D02" w:rsidP="002E0D02">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4.2</w:t>
            </w:r>
          </w:p>
        </w:tc>
        <w:tc>
          <w:tcPr>
            <w:tcW w:w="893"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924"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869"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887"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830"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980"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907" w:type="dxa"/>
            <w:tcBorders>
              <w:top w:val="nil"/>
              <w:left w:val="nil"/>
              <w:bottom w:val="single" w:sz="4" w:space="0" w:color="auto"/>
              <w:right w:val="single" w:sz="4" w:space="0" w:color="auto"/>
            </w:tcBorders>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r>
    </w:tbl>
    <w:p w:rsidR="008410DF" w:rsidRPr="00B45B4F" w:rsidRDefault="008410DF" w:rsidP="008410DF">
      <w:pPr>
        <w:spacing w:before="120"/>
        <w:rPr>
          <w:rFonts w:ascii="Verdana" w:hAnsi="Verdana"/>
          <w:i/>
          <w:sz w:val="18"/>
          <w:szCs w:val="18"/>
          <w:lang w:val="bg-BG" w:eastAsia="bg-BG"/>
        </w:rPr>
      </w:pPr>
      <w:bookmarkStart w:id="66" w:name="_Toc373747248"/>
      <w:bookmarkStart w:id="67" w:name="_Toc376528239"/>
      <w:bookmarkEnd w:id="64"/>
      <w:r w:rsidRPr="00B45B4F">
        <w:rPr>
          <w:rFonts w:ascii="Verdana" w:hAnsi="Verdana"/>
          <w:i/>
          <w:sz w:val="18"/>
          <w:szCs w:val="18"/>
          <w:lang w:val="bg-BG" w:eastAsia="bg-BG"/>
        </w:rPr>
        <w:t xml:space="preserve">Легенда: </w:t>
      </w:r>
      <w:r w:rsidRPr="00B45B4F">
        <w:rPr>
          <w:rFonts w:ascii="Wingdings 2" w:eastAsia="Times New Roman" w:hAnsi="Wingdings 2"/>
          <w:color w:val="0070C0"/>
          <w:sz w:val="26"/>
          <w:szCs w:val="26"/>
          <w:lang w:val="bg-BG"/>
        </w:rPr>
        <w:t></w:t>
      </w:r>
      <w:r w:rsidRPr="00B45B4F">
        <w:rPr>
          <w:rFonts w:ascii="Verdana" w:eastAsia="Times New Roman" w:hAnsi="Verdana"/>
          <w:i/>
          <w:sz w:val="18"/>
          <w:szCs w:val="18"/>
          <w:lang w:val="bg-BG"/>
        </w:rPr>
        <w:t xml:space="preserve"> - слаба връзка, </w:t>
      </w:r>
      <w:r w:rsidRPr="00B45B4F">
        <w:rPr>
          <w:rFonts w:ascii="Wingdings 2" w:eastAsia="Times New Roman" w:hAnsi="Wingdings 2"/>
          <w:color w:val="0070C0"/>
          <w:sz w:val="26"/>
          <w:szCs w:val="26"/>
          <w:lang w:val="bg-BG"/>
        </w:rPr>
        <w:t></w:t>
      </w:r>
      <w:r w:rsidRPr="00B45B4F">
        <w:rPr>
          <w:rFonts w:ascii="Wingdings 2" w:eastAsia="Times New Roman" w:hAnsi="Wingdings 2"/>
          <w:color w:val="0070C0"/>
          <w:sz w:val="26"/>
          <w:szCs w:val="26"/>
          <w:lang w:val="bg-BG"/>
        </w:rPr>
        <w:t></w:t>
      </w:r>
      <w:r w:rsidRPr="00B45B4F">
        <w:rPr>
          <w:rFonts w:ascii="Wingdings 2" w:eastAsia="Times New Roman" w:hAnsi="Wingdings 2"/>
          <w:color w:val="0070C0"/>
          <w:sz w:val="26"/>
          <w:szCs w:val="26"/>
          <w:lang w:val="bg-BG"/>
        </w:rPr>
        <w:t></w:t>
      </w:r>
      <w:r w:rsidRPr="00EC3BDA">
        <w:rPr>
          <w:rFonts w:ascii="Verdana" w:eastAsia="Times New Roman" w:hAnsi="Verdana"/>
          <w:sz w:val="26"/>
          <w:szCs w:val="26"/>
          <w:lang w:val="bg-BG"/>
        </w:rPr>
        <w:t xml:space="preserve">- </w:t>
      </w:r>
      <w:r w:rsidRPr="00EC3BDA">
        <w:rPr>
          <w:rFonts w:ascii="Verdana" w:eastAsia="Times New Roman" w:hAnsi="Verdana"/>
          <w:i/>
          <w:sz w:val="18"/>
          <w:szCs w:val="18"/>
          <w:lang w:val="bg-BG"/>
        </w:rPr>
        <w:t xml:space="preserve">средно </w:t>
      </w:r>
      <w:r w:rsidRPr="00B45B4F">
        <w:rPr>
          <w:rFonts w:ascii="Verdana" w:eastAsia="Times New Roman" w:hAnsi="Verdana"/>
          <w:i/>
          <w:sz w:val="18"/>
          <w:szCs w:val="18"/>
          <w:lang w:val="bg-BG"/>
        </w:rPr>
        <w:t xml:space="preserve">силна връзка, </w:t>
      </w:r>
      <w:r w:rsidRPr="00B45B4F">
        <w:rPr>
          <w:rFonts w:ascii="Wingdings 2" w:eastAsia="Times New Roman" w:hAnsi="Wingdings 2"/>
          <w:color w:val="0070C0"/>
          <w:sz w:val="26"/>
          <w:szCs w:val="26"/>
          <w:lang w:val="bg-BG"/>
        </w:rPr>
        <w:t></w:t>
      </w:r>
      <w:r w:rsidRPr="00B45B4F">
        <w:rPr>
          <w:rFonts w:ascii="Wingdings 2" w:eastAsia="Times New Roman" w:hAnsi="Wingdings 2"/>
          <w:color w:val="0070C0"/>
          <w:sz w:val="26"/>
          <w:szCs w:val="26"/>
          <w:lang w:val="bg-BG"/>
        </w:rPr>
        <w:t></w:t>
      </w:r>
      <w:r w:rsidRPr="00B45B4F">
        <w:rPr>
          <w:rFonts w:ascii="Wingdings 2" w:eastAsia="Times New Roman" w:hAnsi="Wingdings 2"/>
          <w:color w:val="0070C0"/>
          <w:sz w:val="26"/>
          <w:szCs w:val="26"/>
          <w:lang w:val="bg-BG"/>
        </w:rPr>
        <w:t></w:t>
      </w:r>
      <w:r w:rsidRPr="00B45B4F">
        <w:rPr>
          <w:rFonts w:ascii="Verdana" w:eastAsia="Times New Roman" w:hAnsi="Verdana"/>
          <w:i/>
          <w:sz w:val="18"/>
          <w:szCs w:val="18"/>
          <w:lang w:val="bg-BG"/>
        </w:rPr>
        <w:t xml:space="preserve"> - силна връзка</w:t>
      </w:r>
    </w:p>
    <w:p w:rsidR="002E0D02" w:rsidRPr="00B45B4F" w:rsidRDefault="002E0D02" w:rsidP="002E0D02">
      <w:pPr>
        <w:keepNext/>
        <w:spacing w:before="240" w:after="120"/>
        <w:rPr>
          <w:rFonts w:ascii="Verdana" w:hAnsi="Verdana"/>
          <w:b/>
          <w:color w:val="548DD4" w:themeColor="text2" w:themeTint="99"/>
          <w:sz w:val="20"/>
          <w:szCs w:val="20"/>
          <w:lang w:val="bg-BG"/>
        </w:rPr>
      </w:pPr>
      <w:bookmarkStart w:id="68" w:name="_Toc395612568"/>
      <w:r w:rsidRPr="00B45B4F">
        <w:rPr>
          <w:rFonts w:ascii="Verdana" w:hAnsi="Verdana"/>
          <w:b/>
          <w:color w:val="548DD4" w:themeColor="text2" w:themeTint="99"/>
          <w:sz w:val="20"/>
          <w:szCs w:val="20"/>
          <w:lang w:val="bg-BG"/>
        </w:rPr>
        <w:t xml:space="preserve">Таблица </w:t>
      </w:r>
      <w:r w:rsidR="00BF1936" w:rsidRPr="00B45B4F">
        <w:rPr>
          <w:rFonts w:ascii="Verdana" w:hAnsi="Verdana"/>
          <w:b/>
          <w:color w:val="548DD4" w:themeColor="text2" w:themeTint="99"/>
          <w:sz w:val="20"/>
          <w:szCs w:val="20"/>
          <w:lang w:val="bg-BG"/>
        </w:rPr>
        <w:fldChar w:fldCharType="begin"/>
      </w:r>
      <w:r w:rsidRPr="00B45B4F">
        <w:rPr>
          <w:rFonts w:ascii="Verdana" w:hAnsi="Verdana"/>
          <w:b/>
          <w:color w:val="548DD4" w:themeColor="text2" w:themeTint="99"/>
          <w:sz w:val="20"/>
          <w:szCs w:val="20"/>
          <w:lang w:val="bg-BG"/>
        </w:rPr>
        <w:instrText>SEQ таблица \* ARABIC</w:instrText>
      </w:r>
      <w:r w:rsidR="00BF1936" w:rsidRPr="00B45B4F">
        <w:rPr>
          <w:rFonts w:ascii="Verdana" w:hAnsi="Verdana"/>
          <w:b/>
          <w:color w:val="548DD4" w:themeColor="text2" w:themeTint="99"/>
          <w:sz w:val="20"/>
          <w:szCs w:val="20"/>
          <w:lang w:val="bg-BG"/>
        </w:rPr>
        <w:fldChar w:fldCharType="separate"/>
      </w:r>
      <w:r w:rsidR="001361E0">
        <w:rPr>
          <w:rFonts w:ascii="Verdana" w:hAnsi="Verdana"/>
          <w:b/>
          <w:noProof/>
          <w:color w:val="548DD4" w:themeColor="text2" w:themeTint="99"/>
          <w:sz w:val="20"/>
          <w:szCs w:val="20"/>
          <w:lang w:val="bg-BG"/>
        </w:rPr>
        <w:t>12</w:t>
      </w:r>
      <w:r w:rsidR="00BF1936" w:rsidRPr="00B45B4F">
        <w:rPr>
          <w:rFonts w:ascii="Verdana" w:hAnsi="Verdana"/>
          <w:b/>
          <w:color w:val="548DD4" w:themeColor="text2" w:themeTint="99"/>
          <w:sz w:val="20"/>
          <w:szCs w:val="20"/>
          <w:lang w:val="bg-BG"/>
        </w:rPr>
        <w:fldChar w:fldCharType="end"/>
      </w:r>
      <w:r w:rsidRPr="00B45B4F">
        <w:rPr>
          <w:rFonts w:ascii="Verdana" w:hAnsi="Verdana"/>
          <w:b/>
          <w:color w:val="548DD4" w:themeColor="text2" w:themeTint="99"/>
          <w:sz w:val="20"/>
          <w:szCs w:val="20"/>
          <w:lang w:val="bg-BG"/>
        </w:rPr>
        <w:t>. Допълване и разграничаване между ОПНОИР и ОП</w:t>
      </w:r>
      <w:bookmarkEnd w:id="66"/>
      <w:bookmarkEnd w:id="67"/>
      <w:r w:rsidRPr="00B45B4F">
        <w:rPr>
          <w:rFonts w:ascii="Verdana" w:hAnsi="Verdana"/>
          <w:b/>
          <w:color w:val="548DD4" w:themeColor="text2" w:themeTint="99"/>
          <w:sz w:val="20"/>
          <w:szCs w:val="20"/>
          <w:lang w:val="bg-BG"/>
        </w:rPr>
        <w:t>РЧР</w:t>
      </w:r>
      <w:bookmarkEnd w:id="68"/>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83"/>
        <w:gridCol w:w="7315"/>
      </w:tblGrid>
      <w:tr w:rsidR="00560E14" w:rsidRPr="00B45B4F" w:rsidTr="002E0D02">
        <w:tc>
          <w:tcPr>
            <w:tcW w:w="1710" w:type="dxa"/>
            <w:shd w:val="clear" w:color="auto" w:fill="548DD4" w:themeFill="text2" w:themeFillTint="99"/>
          </w:tcPr>
          <w:p w:rsidR="002E0D02" w:rsidRPr="00B45B4F" w:rsidRDefault="002E0D02" w:rsidP="002E0D02">
            <w:pPr>
              <w:spacing w:after="0"/>
              <w:rPr>
                <w:rFonts w:ascii="Verdana" w:hAnsi="Verdana"/>
                <w:sz w:val="20"/>
                <w:szCs w:val="20"/>
                <w:lang w:val="bg-BG" w:eastAsia="cs-CZ"/>
              </w:rPr>
            </w:pPr>
            <w:r w:rsidRPr="00B45B4F">
              <w:rPr>
                <w:rFonts w:ascii="Verdana" w:hAnsi="Verdana"/>
                <w:color w:val="FFFFFF" w:themeColor="background1"/>
                <w:sz w:val="20"/>
                <w:szCs w:val="20"/>
                <w:lang w:val="bg-BG"/>
              </w:rPr>
              <w:t>Допълване / Разграничаване в текста на ОПНОИР</w:t>
            </w:r>
          </w:p>
        </w:tc>
        <w:tc>
          <w:tcPr>
            <w:tcW w:w="7380" w:type="dxa"/>
          </w:tcPr>
          <w:p w:rsidR="002E0D02" w:rsidRPr="00B45B4F" w:rsidRDefault="002E0D02" w:rsidP="002E0D02">
            <w:pPr>
              <w:spacing w:after="120"/>
              <w:jc w:val="both"/>
              <w:rPr>
                <w:rFonts w:ascii="Verdana" w:hAnsi="Verdana"/>
                <w:sz w:val="20"/>
                <w:szCs w:val="20"/>
                <w:lang w:val="bg-BG"/>
              </w:rPr>
            </w:pPr>
            <w:r w:rsidRPr="00B45B4F">
              <w:rPr>
                <w:rFonts w:ascii="Verdana" w:hAnsi="Verdana"/>
                <w:b/>
                <w:sz w:val="20"/>
                <w:szCs w:val="20"/>
                <w:lang w:val="bg-BG"/>
              </w:rPr>
              <w:t>Допълване</w:t>
            </w:r>
            <w:r w:rsidR="00802A48" w:rsidRPr="00B45B4F">
              <w:rPr>
                <w:rFonts w:ascii="Verdana" w:hAnsi="Verdana"/>
                <w:b/>
                <w:sz w:val="20"/>
                <w:szCs w:val="20"/>
                <w:lang w:val="bg-BG"/>
              </w:rPr>
              <w:t xml:space="preserve">: </w:t>
            </w:r>
            <w:r w:rsidRPr="00B45B4F">
              <w:rPr>
                <w:rFonts w:ascii="Verdana" w:hAnsi="Verdana"/>
                <w:sz w:val="20"/>
                <w:szCs w:val="20"/>
                <w:lang w:val="bg-BG"/>
              </w:rPr>
              <w:t xml:space="preserve">Посочено е, че посредством механизми за координирано изпълнение на операции и чрез „интегрирани операции”, ОПНОИР ще допълни инициативите по ОПРЧР, предоставяйки подкрепа за подобряване достъпа до образование </w:t>
            </w:r>
            <w:r w:rsidRPr="00B45B4F">
              <w:rPr>
                <w:rFonts w:ascii="Verdana" w:hAnsi="Verdana"/>
                <w:sz w:val="20"/>
                <w:szCs w:val="20"/>
                <w:lang w:val="bg-BG"/>
              </w:rPr>
              <w:lastRenderedPageBreak/>
              <w:t xml:space="preserve">на целевите групи. Също така, че посредством механизми за координирано изпълнение на операции, </w:t>
            </w:r>
            <w:r w:rsidR="009F6245" w:rsidRPr="00B45B4F">
              <w:rPr>
                <w:rFonts w:ascii="Verdana" w:hAnsi="Verdana"/>
                <w:sz w:val="20"/>
                <w:szCs w:val="20"/>
                <w:lang w:val="bg-BG"/>
              </w:rPr>
              <w:t>ОПРЧР</w:t>
            </w:r>
            <w:r w:rsidRPr="00B45B4F">
              <w:rPr>
                <w:rFonts w:ascii="Verdana" w:hAnsi="Verdana"/>
                <w:sz w:val="20"/>
                <w:szCs w:val="20"/>
                <w:lang w:val="bg-BG"/>
              </w:rPr>
              <w:t xml:space="preserve"> и ОПНОИР ще подкрепят реформите за </w:t>
            </w:r>
            <w:proofErr w:type="spellStart"/>
            <w:r w:rsidRPr="00B45B4F">
              <w:rPr>
                <w:rFonts w:ascii="Verdana" w:hAnsi="Verdana"/>
                <w:sz w:val="20"/>
                <w:szCs w:val="20"/>
                <w:lang w:val="bg-BG"/>
              </w:rPr>
              <w:t>деинституцио</w:t>
            </w:r>
            <w:r w:rsidR="00802A48" w:rsidRPr="00B45B4F">
              <w:rPr>
                <w:rFonts w:ascii="Verdana" w:hAnsi="Verdana"/>
                <w:sz w:val="20"/>
                <w:szCs w:val="20"/>
                <w:lang w:val="bg-BG"/>
              </w:rPr>
              <w:t>нализация</w:t>
            </w:r>
            <w:proofErr w:type="spellEnd"/>
            <w:r w:rsidR="00802A48" w:rsidRPr="00B45B4F">
              <w:rPr>
                <w:rFonts w:ascii="Verdana" w:hAnsi="Verdana"/>
                <w:sz w:val="20"/>
                <w:szCs w:val="20"/>
                <w:lang w:val="bg-BG"/>
              </w:rPr>
              <w:t xml:space="preserve"> на децата в България.</w:t>
            </w:r>
          </w:p>
          <w:p w:rsidR="002E0D02" w:rsidRPr="00B45B4F" w:rsidRDefault="002E0D02" w:rsidP="002E0D02">
            <w:pPr>
              <w:spacing w:after="120"/>
              <w:jc w:val="both"/>
              <w:rPr>
                <w:rFonts w:ascii="Verdana" w:hAnsi="Verdana"/>
                <w:sz w:val="20"/>
                <w:szCs w:val="20"/>
                <w:lang w:val="bg-BG"/>
              </w:rPr>
            </w:pPr>
            <w:r w:rsidRPr="00B45B4F">
              <w:rPr>
                <w:rFonts w:ascii="Verdana" w:hAnsi="Verdana"/>
                <w:b/>
                <w:sz w:val="20"/>
                <w:szCs w:val="20"/>
                <w:lang w:val="bg-BG"/>
              </w:rPr>
              <w:t>Разграничение</w:t>
            </w:r>
            <w:r w:rsidR="00802A48" w:rsidRPr="00B45B4F">
              <w:rPr>
                <w:rFonts w:ascii="Verdana" w:hAnsi="Verdana"/>
                <w:sz w:val="20"/>
                <w:szCs w:val="20"/>
                <w:lang w:val="bg-BG"/>
              </w:rPr>
              <w:t xml:space="preserve">: </w:t>
            </w:r>
            <w:r w:rsidRPr="00B45B4F">
              <w:rPr>
                <w:rFonts w:ascii="Verdana" w:hAnsi="Verdana"/>
                <w:sz w:val="20"/>
                <w:szCs w:val="20"/>
                <w:lang w:val="bg-BG"/>
              </w:rPr>
              <w:t xml:space="preserve">По отношение участието на населението в различни форми на учене през целия живот, се посочва, че по </w:t>
            </w:r>
            <w:r w:rsidR="009F6245" w:rsidRPr="00B45B4F">
              <w:rPr>
                <w:rFonts w:ascii="Verdana" w:hAnsi="Verdana"/>
                <w:sz w:val="20"/>
                <w:szCs w:val="20"/>
                <w:lang w:val="bg-BG"/>
              </w:rPr>
              <w:t>ОПРЧР</w:t>
            </w:r>
            <w:r w:rsidRPr="00B45B4F">
              <w:rPr>
                <w:rFonts w:ascii="Verdana" w:hAnsi="Verdana"/>
                <w:sz w:val="20"/>
                <w:szCs w:val="20"/>
                <w:lang w:val="bg-BG"/>
              </w:rPr>
              <w:t xml:space="preserve"> ще бъдат подкрепяни само обучения за икономически неактивни, безработни и заети лица, осъществявани извън системата на формалното образование, докато по ОПНОИР ще бъде подкрепяно участието на населението в различни форми на учене през целия живот, осъществявани в рамките на формалното образование.</w:t>
            </w:r>
          </w:p>
          <w:p w:rsidR="002E0D02" w:rsidRPr="00B45B4F" w:rsidRDefault="002E0D02" w:rsidP="002E0D02">
            <w:pPr>
              <w:spacing w:after="120"/>
              <w:jc w:val="both"/>
              <w:rPr>
                <w:rFonts w:ascii="Verdana" w:hAnsi="Verdana"/>
                <w:sz w:val="20"/>
                <w:szCs w:val="20"/>
                <w:lang w:val="bg-BG"/>
              </w:rPr>
            </w:pPr>
            <w:r w:rsidRPr="00B45B4F">
              <w:rPr>
                <w:rFonts w:ascii="Verdana" w:hAnsi="Verdana"/>
                <w:sz w:val="20"/>
                <w:szCs w:val="20"/>
                <w:lang w:val="bg-BG"/>
              </w:rPr>
              <w:t xml:space="preserve">Предвижда се по </w:t>
            </w:r>
            <w:r w:rsidR="009F6245" w:rsidRPr="00B45B4F">
              <w:rPr>
                <w:rFonts w:ascii="Verdana" w:hAnsi="Verdana"/>
                <w:sz w:val="20"/>
                <w:szCs w:val="20"/>
                <w:lang w:val="bg-BG"/>
              </w:rPr>
              <w:t>ОПРЧР</w:t>
            </w:r>
            <w:r w:rsidRPr="00B45B4F">
              <w:rPr>
                <w:rFonts w:ascii="Verdana" w:hAnsi="Verdana"/>
                <w:sz w:val="20"/>
                <w:szCs w:val="20"/>
                <w:lang w:val="bg-BG"/>
              </w:rPr>
              <w:t xml:space="preserve"> да бъдат подкрепяни инициативи за осигуряване на достъп до образование, до момента, в който децата и учениците се включат в образователния процес.</w:t>
            </w:r>
          </w:p>
        </w:tc>
      </w:tr>
      <w:tr w:rsidR="00560E14" w:rsidRPr="00B45B4F" w:rsidTr="002E0D02">
        <w:tc>
          <w:tcPr>
            <w:tcW w:w="1710" w:type="dxa"/>
            <w:shd w:val="clear" w:color="auto" w:fill="548DD4" w:themeFill="text2" w:themeFillTint="99"/>
          </w:tcPr>
          <w:p w:rsidR="002E0D02" w:rsidRPr="00B45B4F" w:rsidRDefault="002E0D02" w:rsidP="002E0D02">
            <w:pPr>
              <w:spacing w:after="0"/>
              <w:rPr>
                <w:rFonts w:ascii="Verdana" w:hAnsi="Verdana"/>
                <w:color w:val="FFFFFF" w:themeColor="background1"/>
                <w:sz w:val="20"/>
                <w:szCs w:val="20"/>
                <w:lang w:val="bg-BG"/>
              </w:rPr>
            </w:pPr>
            <w:r w:rsidRPr="00B45B4F">
              <w:rPr>
                <w:rFonts w:ascii="Verdana" w:hAnsi="Verdana"/>
                <w:color w:val="FFFFFF" w:themeColor="background1"/>
                <w:sz w:val="20"/>
                <w:szCs w:val="20"/>
                <w:lang w:val="bg-BG"/>
              </w:rPr>
              <w:lastRenderedPageBreak/>
              <w:t>Коментар</w:t>
            </w:r>
          </w:p>
        </w:tc>
        <w:tc>
          <w:tcPr>
            <w:tcW w:w="7380" w:type="dxa"/>
          </w:tcPr>
          <w:p w:rsidR="002E0D02" w:rsidRPr="00B45B4F" w:rsidRDefault="002E0D02" w:rsidP="002E0D02">
            <w:pPr>
              <w:tabs>
                <w:tab w:val="num" w:pos="360"/>
              </w:tabs>
              <w:spacing w:after="120"/>
              <w:jc w:val="both"/>
              <w:rPr>
                <w:rFonts w:ascii="Verdana" w:hAnsi="Verdana"/>
                <w:sz w:val="20"/>
                <w:szCs w:val="20"/>
                <w:lang w:val="bg-BG"/>
              </w:rPr>
            </w:pPr>
            <w:r w:rsidRPr="00B45B4F">
              <w:rPr>
                <w:rFonts w:ascii="Verdana" w:hAnsi="Verdana"/>
                <w:sz w:val="20"/>
                <w:szCs w:val="20"/>
                <w:lang w:val="bg-BG"/>
              </w:rPr>
              <w:t>Приоритет 1.2 на ОПНОИР предвижда  “обучение на кадри (студенти, ученици, докторанти, млади учени и др.), по заявка и с финансовото участие на бизнеса чрез ваучерни схеми”</w:t>
            </w:r>
            <w:r w:rsidRPr="00B45B4F">
              <w:rPr>
                <w:rFonts w:ascii="Verdana" w:hAnsi="Verdana"/>
                <w:i/>
                <w:sz w:val="20"/>
                <w:szCs w:val="20"/>
                <w:lang w:val="bg-BG"/>
              </w:rPr>
              <w:t xml:space="preserve">. </w:t>
            </w:r>
            <w:r w:rsidRPr="00B45B4F">
              <w:rPr>
                <w:rFonts w:ascii="Verdana" w:hAnsi="Verdana"/>
                <w:sz w:val="20"/>
                <w:szCs w:val="20"/>
                <w:lang w:val="bg-BG"/>
              </w:rPr>
              <w:t xml:space="preserve">По Приоритети 1.4 на ОПРЧР се предвижда предоставяне на обучение за повишаване на професионалната квалификация и/или за придобиване на нова и предоставяне на обучение за придобиване на ключови компетентности, приоритет 1.5 предвижда и предоставяне на обучения на работното място. Двете дейности се допълват, в </w:t>
            </w:r>
            <w:r w:rsidR="00D84BAD" w:rsidRPr="00B45B4F">
              <w:rPr>
                <w:rFonts w:ascii="Verdana" w:hAnsi="Verdana"/>
                <w:sz w:val="20"/>
                <w:szCs w:val="20"/>
                <w:lang w:val="bg-BG"/>
              </w:rPr>
              <w:t xml:space="preserve">предоставянето на </w:t>
            </w:r>
            <w:r w:rsidRPr="00B45B4F">
              <w:rPr>
                <w:rFonts w:ascii="Verdana" w:hAnsi="Verdana"/>
                <w:sz w:val="20"/>
                <w:szCs w:val="20"/>
                <w:lang w:val="bg-BG"/>
              </w:rPr>
              <w:t xml:space="preserve">подкрепа за осигуряване на високо-квалифицирани кадри за бизнеса, </w:t>
            </w:r>
            <w:r w:rsidR="00D84BAD" w:rsidRPr="00B45B4F">
              <w:rPr>
                <w:rFonts w:ascii="Verdana" w:hAnsi="Verdana"/>
                <w:sz w:val="20"/>
                <w:szCs w:val="20"/>
                <w:lang w:val="bg-BG"/>
              </w:rPr>
              <w:t>като</w:t>
            </w:r>
            <w:r w:rsidRPr="00B45B4F">
              <w:rPr>
                <w:rFonts w:ascii="Verdana" w:hAnsi="Verdana"/>
                <w:sz w:val="20"/>
                <w:szCs w:val="20"/>
                <w:lang w:val="bg-BG"/>
              </w:rPr>
              <w:t xml:space="preserve"> ОПНОИР е насочена към лица в образователни и научни институции, докато </w:t>
            </w:r>
            <w:r w:rsidR="009F6245" w:rsidRPr="00B45B4F">
              <w:rPr>
                <w:rFonts w:ascii="Verdana" w:hAnsi="Verdana"/>
                <w:sz w:val="20"/>
                <w:szCs w:val="20"/>
                <w:lang w:val="bg-BG"/>
              </w:rPr>
              <w:t>ОПРЧР</w:t>
            </w:r>
            <w:r w:rsidRPr="00B45B4F">
              <w:rPr>
                <w:rFonts w:ascii="Verdana" w:hAnsi="Verdana"/>
                <w:sz w:val="20"/>
                <w:szCs w:val="20"/>
                <w:lang w:val="bg-BG"/>
              </w:rPr>
              <w:t xml:space="preserve"> е насочена към безработни и заети лица.</w:t>
            </w:r>
          </w:p>
          <w:p w:rsidR="002E0D02" w:rsidRPr="00B45B4F" w:rsidRDefault="002E0D02" w:rsidP="002E0D02">
            <w:pPr>
              <w:tabs>
                <w:tab w:val="num" w:pos="360"/>
              </w:tabs>
              <w:spacing w:after="120"/>
              <w:jc w:val="both"/>
              <w:rPr>
                <w:rFonts w:ascii="Verdana" w:hAnsi="Verdana"/>
                <w:sz w:val="20"/>
                <w:szCs w:val="20"/>
                <w:lang w:val="bg-BG"/>
              </w:rPr>
            </w:pPr>
            <w:r w:rsidRPr="00B45B4F">
              <w:rPr>
                <w:rFonts w:ascii="Verdana" w:hAnsi="Verdana"/>
                <w:sz w:val="20"/>
                <w:szCs w:val="20"/>
                <w:lang w:val="bg-BG"/>
              </w:rPr>
              <w:t xml:space="preserve">Приоритет 2.3 по ОПНОИР предвижда подкрепа за повишаване на професионалната квалификация на заетите в сферата на образованието, а приоритет 1.4 на </w:t>
            </w:r>
            <w:r w:rsidR="009F6245" w:rsidRPr="00B45B4F">
              <w:rPr>
                <w:rFonts w:ascii="Verdana" w:hAnsi="Verdana"/>
                <w:sz w:val="20"/>
                <w:szCs w:val="20"/>
                <w:lang w:val="bg-BG"/>
              </w:rPr>
              <w:t>ОПРЧР</w:t>
            </w:r>
            <w:r w:rsidRPr="00B45B4F">
              <w:rPr>
                <w:rFonts w:ascii="Verdana" w:hAnsi="Verdana"/>
                <w:sz w:val="20"/>
                <w:szCs w:val="20"/>
                <w:lang w:val="bg-BG"/>
              </w:rPr>
              <w:t xml:space="preserve"> за повишаване на професионалната квалификация (общо за всички сектори). Приоритети 1.1, 1.2 и 1.3 на ОПРЧР също предвиждат обучения за повишаване на професионалната квалификация и </w:t>
            </w:r>
            <w:r w:rsidR="007065E8" w:rsidRPr="00B45B4F">
              <w:rPr>
                <w:rFonts w:ascii="Verdana" w:hAnsi="Verdana"/>
                <w:sz w:val="20"/>
                <w:szCs w:val="20"/>
                <w:lang w:val="bg-BG"/>
              </w:rPr>
              <w:t xml:space="preserve">развитието на </w:t>
            </w:r>
            <w:r w:rsidRPr="00B45B4F">
              <w:rPr>
                <w:rFonts w:ascii="Verdana" w:hAnsi="Verdana"/>
                <w:sz w:val="20"/>
                <w:szCs w:val="20"/>
                <w:lang w:val="bg-BG"/>
              </w:rPr>
              <w:t>предприемачески и бизнес умения като част от мерките за осигуряване на заетост.</w:t>
            </w:r>
          </w:p>
          <w:p w:rsidR="002E0D02" w:rsidRPr="00B45B4F" w:rsidRDefault="002E0D02" w:rsidP="007065E8">
            <w:pPr>
              <w:tabs>
                <w:tab w:val="num" w:pos="360"/>
              </w:tabs>
              <w:spacing w:after="120"/>
              <w:jc w:val="both"/>
              <w:rPr>
                <w:rFonts w:ascii="Verdana" w:hAnsi="Verdana"/>
                <w:sz w:val="20"/>
                <w:szCs w:val="20"/>
                <w:lang w:val="bg-BG"/>
              </w:rPr>
            </w:pPr>
            <w:r w:rsidRPr="00B45B4F">
              <w:rPr>
                <w:rFonts w:ascii="Verdana" w:hAnsi="Verdana"/>
                <w:sz w:val="20"/>
                <w:szCs w:val="20"/>
                <w:lang w:val="bg-BG"/>
              </w:rPr>
              <w:t xml:space="preserve">Приоритет 3.2 на ОПНОИР предвижда подкрепа за интеграция в образователната система на ученици и младежи от етническите малцинства, от семейства на </w:t>
            </w:r>
            <w:proofErr w:type="spellStart"/>
            <w:r w:rsidRPr="00B45B4F">
              <w:rPr>
                <w:rFonts w:ascii="Verdana" w:hAnsi="Verdana"/>
                <w:sz w:val="20"/>
                <w:szCs w:val="20"/>
                <w:lang w:val="bg-BG"/>
              </w:rPr>
              <w:t>мигранти</w:t>
            </w:r>
            <w:proofErr w:type="spellEnd"/>
            <w:r w:rsidRPr="00B45B4F">
              <w:rPr>
                <w:rFonts w:ascii="Verdana" w:hAnsi="Verdana"/>
                <w:sz w:val="20"/>
                <w:szCs w:val="20"/>
                <w:lang w:val="bg-BG"/>
              </w:rPr>
              <w:t xml:space="preserve"> и бежанци </w:t>
            </w:r>
            <w:r w:rsidR="007065E8" w:rsidRPr="00B45B4F">
              <w:rPr>
                <w:rFonts w:ascii="Verdana" w:hAnsi="Verdana"/>
                <w:sz w:val="20"/>
                <w:szCs w:val="20"/>
                <w:lang w:val="bg-BG"/>
              </w:rPr>
              <w:t>като</w:t>
            </w:r>
            <w:r w:rsidRPr="00B45B4F">
              <w:rPr>
                <w:rFonts w:ascii="Verdana" w:hAnsi="Verdana"/>
                <w:sz w:val="20"/>
                <w:szCs w:val="20"/>
                <w:lang w:val="bg-BG"/>
              </w:rPr>
              <w:t xml:space="preserve"> по този на</w:t>
            </w:r>
            <w:r w:rsidR="007716A5" w:rsidRPr="00B45B4F">
              <w:rPr>
                <w:rFonts w:ascii="Verdana" w:hAnsi="Verdana"/>
                <w:sz w:val="20"/>
                <w:szCs w:val="20"/>
                <w:lang w:val="bg-BG"/>
              </w:rPr>
              <w:t>чин допълва приоритет 2.1 на ОП</w:t>
            </w:r>
            <w:r w:rsidRPr="00B45B4F">
              <w:rPr>
                <w:rFonts w:ascii="Verdana" w:hAnsi="Verdana"/>
                <w:sz w:val="20"/>
                <w:szCs w:val="20"/>
                <w:lang w:val="bg-BG"/>
              </w:rPr>
              <w:t xml:space="preserve">РЧР в частта му за достъп до образование на деца от </w:t>
            </w:r>
            <w:proofErr w:type="spellStart"/>
            <w:r w:rsidRPr="00B45B4F">
              <w:rPr>
                <w:rFonts w:ascii="Verdana" w:hAnsi="Verdana"/>
                <w:sz w:val="20"/>
                <w:szCs w:val="20"/>
                <w:lang w:val="bg-BG"/>
              </w:rPr>
              <w:t>маргинализираните</w:t>
            </w:r>
            <w:proofErr w:type="spellEnd"/>
            <w:r w:rsidRPr="00B45B4F">
              <w:rPr>
                <w:rFonts w:ascii="Verdana" w:hAnsi="Verdana"/>
                <w:sz w:val="20"/>
                <w:szCs w:val="20"/>
                <w:lang w:val="bg-BG"/>
              </w:rPr>
              <w:t xml:space="preserve"> общности.</w:t>
            </w:r>
          </w:p>
        </w:tc>
      </w:tr>
      <w:tr w:rsidR="00560E14" w:rsidRPr="00B45B4F" w:rsidTr="002E0D02">
        <w:tc>
          <w:tcPr>
            <w:tcW w:w="1710" w:type="dxa"/>
            <w:shd w:val="clear" w:color="auto" w:fill="548DD4" w:themeFill="text2" w:themeFillTint="99"/>
          </w:tcPr>
          <w:p w:rsidR="002E0D02" w:rsidRPr="00B45B4F" w:rsidRDefault="002E0D02" w:rsidP="002E0D02">
            <w:pPr>
              <w:spacing w:after="0"/>
              <w:rPr>
                <w:rFonts w:ascii="Verdana" w:hAnsi="Verdana"/>
                <w:color w:val="FFFFFF" w:themeColor="background1"/>
                <w:sz w:val="20"/>
                <w:szCs w:val="20"/>
                <w:lang w:val="bg-BG"/>
              </w:rPr>
            </w:pPr>
            <w:r w:rsidRPr="00B45B4F">
              <w:rPr>
                <w:rFonts w:ascii="Verdana" w:hAnsi="Verdana"/>
                <w:color w:val="FFFFFF" w:themeColor="background1"/>
                <w:sz w:val="20"/>
                <w:szCs w:val="20"/>
                <w:lang w:val="bg-BG" w:eastAsia="cs-CZ"/>
              </w:rPr>
              <w:t>Препоръка</w:t>
            </w:r>
          </w:p>
        </w:tc>
        <w:tc>
          <w:tcPr>
            <w:tcW w:w="7380" w:type="dxa"/>
          </w:tcPr>
          <w:p w:rsidR="002E0D02" w:rsidRPr="00B45B4F" w:rsidRDefault="00DB1992" w:rsidP="002E0D02">
            <w:pPr>
              <w:spacing w:after="120"/>
              <w:jc w:val="both"/>
              <w:rPr>
                <w:rFonts w:ascii="Verdana" w:hAnsi="Verdana"/>
                <w:sz w:val="20"/>
                <w:szCs w:val="20"/>
                <w:lang w:val="bg-BG" w:eastAsia="cs-CZ"/>
              </w:rPr>
            </w:pPr>
            <w:r w:rsidRPr="00B45B4F">
              <w:rPr>
                <w:rFonts w:ascii="Verdana" w:hAnsi="Verdana"/>
                <w:sz w:val="20"/>
                <w:szCs w:val="20"/>
                <w:lang w:val="bg-BG"/>
              </w:rPr>
              <w:t>Няма</w:t>
            </w:r>
          </w:p>
        </w:tc>
      </w:tr>
    </w:tbl>
    <w:p w:rsidR="002E0D02" w:rsidRPr="00B45B4F" w:rsidRDefault="002E0D02" w:rsidP="00416243">
      <w:pPr>
        <w:ind w:left="360"/>
        <w:rPr>
          <w:rFonts w:ascii="Verdana" w:hAnsi="Verdana"/>
          <w:sz w:val="20"/>
          <w:szCs w:val="20"/>
          <w:lang w:val="bg-BG" w:eastAsia="cs-CZ"/>
        </w:rPr>
      </w:pPr>
    </w:p>
    <w:p w:rsidR="00DF1209" w:rsidRPr="00B45B4F" w:rsidRDefault="00DF1209" w:rsidP="00416243">
      <w:pPr>
        <w:keepNext/>
        <w:pBdr>
          <w:bottom w:val="single" w:sz="4" w:space="1" w:color="0070C0"/>
        </w:pBdr>
        <w:spacing w:before="360" w:after="120"/>
        <w:jc w:val="both"/>
        <w:rPr>
          <w:rFonts w:ascii="Verdana" w:hAnsi="Verdana"/>
          <w:color w:val="0070C0"/>
          <w:sz w:val="20"/>
          <w:szCs w:val="20"/>
          <w:lang w:val="bg-BG" w:eastAsia="cs-CZ"/>
        </w:rPr>
      </w:pPr>
      <w:r w:rsidRPr="00B45B4F">
        <w:rPr>
          <w:rFonts w:ascii="Verdana" w:hAnsi="Verdana"/>
          <w:color w:val="0070C0"/>
          <w:sz w:val="20"/>
          <w:szCs w:val="20"/>
          <w:lang w:val="bg-BG" w:eastAsia="cs-CZ"/>
        </w:rPr>
        <w:lastRenderedPageBreak/>
        <w:t xml:space="preserve">Програма за развитие на селските райони (ПРСР) </w:t>
      </w:r>
      <w:r w:rsidR="005106CE" w:rsidRPr="00B45B4F">
        <w:rPr>
          <w:rFonts w:ascii="Verdana" w:hAnsi="Verdana"/>
          <w:color w:val="0070C0"/>
          <w:sz w:val="20"/>
          <w:szCs w:val="20"/>
          <w:lang w:val="bg-BG" w:eastAsia="cs-CZ"/>
        </w:rPr>
        <w:t>2014–2020</w:t>
      </w:r>
      <w:r w:rsidRPr="00B45B4F">
        <w:rPr>
          <w:rFonts w:ascii="Verdana" w:hAnsi="Verdana"/>
          <w:color w:val="0070C0"/>
          <w:sz w:val="20"/>
          <w:szCs w:val="20"/>
          <w:lang w:val="bg-BG" w:eastAsia="cs-CZ"/>
        </w:rPr>
        <w:t xml:space="preserve"> г.</w:t>
      </w:r>
    </w:p>
    <w:p w:rsidR="0088514D" w:rsidRPr="00B45B4F" w:rsidRDefault="0088514D" w:rsidP="0088514D">
      <w:pPr>
        <w:pStyle w:val="Caption"/>
        <w:jc w:val="center"/>
        <w:rPr>
          <w:rFonts w:ascii="Verdana" w:hAnsi="Verdana"/>
          <w:color w:val="006CB6"/>
        </w:rPr>
      </w:pPr>
    </w:p>
    <w:tbl>
      <w:tblPr>
        <w:tblW w:w="0" w:type="auto"/>
        <w:tblInd w:w="108" w:type="dxa"/>
        <w:tblLook w:val="04A0" w:firstRow="1" w:lastRow="0" w:firstColumn="1" w:lastColumn="0" w:noHBand="0" w:noVBand="1"/>
      </w:tblPr>
      <w:tblGrid>
        <w:gridCol w:w="9090"/>
      </w:tblGrid>
      <w:tr w:rsidR="0088514D" w:rsidRPr="00B45B4F" w:rsidTr="00F629E3">
        <w:tc>
          <w:tcPr>
            <w:tcW w:w="9090" w:type="dxa"/>
            <w:tcBorders>
              <w:top w:val="single" w:sz="4" w:space="0" w:color="auto"/>
            </w:tcBorders>
            <w:shd w:val="clear" w:color="auto" w:fill="auto"/>
          </w:tcPr>
          <w:p w:rsidR="0088514D" w:rsidRPr="00B45B4F" w:rsidRDefault="0088514D" w:rsidP="00DB1992">
            <w:pPr>
              <w:widowControl w:val="0"/>
              <w:pBdr>
                <w:top w:val="single" w:sz="4" w:space="0" w:color="auto"/>
                <w:left w:val="single" w:sz="4" w:space="4" w:color="auto"/>
                <w:bottom w:val="single" w:sz="4" w:space="1" w:color="auto"/>
                <w:right w:val="single" w:sz="4" w:space="4" w:color="auto"/>
              </w:pBdr>
              <w:shd w:val="clear" w:color="auto" w:fill="548DD4" w:themeFill="text2" w:themeFillTint="99"/>
              <w:autoSpaceDE w:val="0"/>
              <w:autoSpaceDN w:val="0"/>
              <w:adjustRightInd w:val="0"/>
              <w:spacing w:after="120"/>
              <w:jc w:val="both"/>
              <w:rPr>
                <w:rFonts w:ascii="Verdana" w:hAnsi="Verdana"/>
                <w:color w:val="FFFFFF" w:themeColor="background1"/>
                <w:sz w:val="20"/>
                <w:szCs w:val="20"/>
                <w:lang w:val="bg-BG" w:eastAsia="ja-JP"/>
              </w:rPr>
            </w:pPr>
            <w:r w:rsidRPr="00B45B4F">
              <w:rPr>
                <w:rFonts w:ascii="Verdana" w:hAnsi="Verdana"/>
                <w:color w:val="FFFFFF" w:themeColor="background1"/>
                <w:sz w:val="20"/>
                <w:szCs w:val="20"/>
                <w:u w:val="single"/>
                <w:lang w:val="bg-BG" w:eastAsia="ja-JP"/>
              </w:rPr>
              <w:t>Приоритет 1:</w:t>
            </w:r>
            <w:r w:rsidRPr="00B45B4F">
              <w:rPr>
                <w:rFonts w:ascii="Verdana" w:hAnsi="Verdana"/>
                <w:color w:val="FFFFFF" w:themeColor="background1"/>
                <w:sz w:val="20"/>
                <w:szCs w:val="20"/>
                <w:lang w:val="bg-BG" w:eastAsia="ja-JP"/>
              </w:rPr>
              <w:t xml:space="preserve"> Стимулиране на трансфера на знания и иновациите в областта на селското и горското стопанство и селските райони</w:t>
            </w:r>
          </w:p>
          <w:p w:rsidR="0088514D" w:rsidRPr="00B45B4F" w:rsidRDefault="0088514D" w:rsidP="00DB1992">
            <w:pPr>
              <w:spacing w:after="120"/>
              <w:jc w:val="both"/>
              <w:rPr>
                <w:rFonts w:ascii="Verdana" w:hAnsi="Verdana"/>
                <w:sz w:val="20"/>
                <w:szCs w:val="20"/>
                <w:lang w:val="bg-BG"/>
              </w:rPr>
            </w:pPr>
            <w:r w:rsidRPr="00B45B4F">
              <w:rPr>
                <w:rFonts w:ascii="Verdana" w:hAnsi="Verdana"/>
                <w:sz w:val="20"/>
                <w:szCs w:val="20"/>
                <w:lang w:val="bg-BG"/>
              </w:rPr>
              <w:t>ПО 1А - Стимулиране на иновациите, сътрудничеството и развитието на базата от знания в селските райони</w:t>
            </w:r>
          </w:p>
          <w:p w:rsidR="0088514D" w:rsidRPr="00B45B4F" w:rsidRDefault="0088514D" w:rsidP="00DB1992">
            <w:pPr>
              <w:spacing w:after="120"/>
              <w:jc w:val="both"/>
              <w:rPr>
                <w:rFonts w:ascii="Verdana" w:hAnsi="Verdana"/>
                <w:sz w:val="20"/>
                <w:szCs w:val="20"/>
                <w:lang w:val="bg-BG"/>
              </w:rPr>
            </w:pPr>
            <w:r w:rsidRPr="00B45B4F">
              <w:rPr>
                <w:rFonts w:ascii="Verdana" w:hAnsi="Verdana"/>
                <w:sz w:val="20"/>
                <w:szCs w:val="20"/>
                <w:lang w:val="bg-BG"/>
              </w:rPr>
              <w:t>ПО 1.Б -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w:t>
            </w:r>
          </w:p>
        </w:tc>
      </w:tr>
      <w:tr w:rsidR="0088514D" w:rsidRPr="00B45B4F" w:rsidTr="00957212">
        <w:tc>
          <w:tcPr>
            <w:tcW w:w="9090" w:type="dxa"/>
            <w:shd w:val="clear" w:color="auto" w:fill="DBE5F1" w:themeFill="accent1" w:themeFillTint="33"/>
          </w:tcPr>
          <w:p w:rsidR="0088514D" w:rsidRPr="00B45B4F" w:rsidRDefault="0088514D" w:rsidP="00DB1992">
            <w:pPr>
              <w:widowControl w:val="0"/>
              <w:pBdr>
                <w:top w:val="single" w:sz="4" w:space="0" w:color="auto"/>
                <w:left w:val="single" w:sz="4" w:space="4" w:color="auto"/>
                <w:bottom w:val="single" w:sz="4" w:space="1" w:color="auto"/>
                <w:right w:val="single" w:sz="4" w:space="4" w:color="auto"/>
              </w:pBdr>
              <w:shd w:val="clear" w:color="auto" w:fill="548DD4" w:themeFill="text2" w:themeFillTint="99"/>
              <w:autoSpaceDE w:val="0"/>
              <w:autoSpaceDN w:val="0"/>
              <w:adjustRightInd w:val="0"/>
              <w:spacing w:after="120" w:line="240" w:lineRule="auto"/>
              <w:jc w:val="both"/>
              <w:rPr>
                <w:rFonts w:ascii="Verdana" w:hAnsi="Verdana"/>
                <w:color w:val="FFFFFF" w:themeColor="background1"/>
                <w:sz w:val="20"/>
                <w:szCs w:val="20"/>
                <w:lang w:val="bg-BG"/>
              </w:rPr>
            </w:pPr>
            <w:r w:rsidRPr="00B45B4F">
              <w:rPr>
                <w:rFonts w:ascii="Verdana" w:hAnsi="Verdana"/>
                <w:color w:val="FFFFFF" w:themeColor="background1"/>
                <w:sz w:val="20"/>
                <w:szCs w:val="20"/>
                <w:u w:val="single"/>
                <w:lang w:val="bg-BG" w:eastAsia="ja-JP"/>
              </w:rPr>
              <w:t>Приоритетна област 2:</w:t>
            </w:r>
            <w:r w:rsidRPr="00B45B4F">
              <w:rPr>
                <w:rFonts w:ascii="Verdana" w:hAnsi="Verdana"/>
                <w:color w:val="FFFFFF" w:themeColor="background1"/>
                <w:sz w:val="20"/>
                <w:szCs w:val="20"/>
                <w:lang w:val="bg-BG" w:eastAsia="ja-JP"/>
              </w:rPr>
              <w:t xml:space="preserve"> Повишаване на жизнеспособността на земеделските стопанства и конкурентоспособността на всички видове селскостопанска дейност във всички региони и насърчаване на новаторските технологии в селското стопанство и устойчивото управление на горите</w:t>
            </w:r>
          </w:p>
        </w:tc>
      </w:tr>
      <w:tr w:rsidR="0088514D" w:rsidRPr="00B45B4F" w:rsidTr="00F629E3">
        <w:tc>
          <w:tcPr>
            <w:tcW w:w="9090" w:type="dxa"/>
            <w:tcBorders>
              <w:bottom w:val="single" w:sz="4" w:space="0" w:color="auto"/>
            </w:tcBorders>
            <w:shd w:val="clear" w:color="auto" w:fill="auto"/>
          </w:tcPr>
          <w:p w:rsidR="0088514D" w:rsidRPr="00B45B4F" w:rsidRDefault="0088514D" w:rsidP="00DB1992">
            <w:pPr>
              <w:spacing w:after="120"/>
              <w:jc w:val="both"/>
              <w:rPr>
                <w:rStyle w:val="Heading7Char"/>
                <w:rFonts w:ascii="Verdana" w:eastAsia="Times New Roman" w:hAnsi="Verdana"/>
                <w:i w:val="0"/>
                <w:color w:val="404040"/>
                <w:sz w:val="20"/>
                <w:szCs w:val="20"/>
                <w:lang w:val="bg-BG"/>
              </w:rPr>
            </w:pPr>
            <w:r w:rsidRPr="00B45B4F">
              <w:rPr>
                <w:rFonts w:ascii="Verdana" w:hAnsi="Verdana"/>
                <w:sz w:val="20"/>
                <w:szCs w:val="20"/>
                <w:lang w:val="bg-BG"/>
              </w:rPr>
              <w:t>ПО</w:t>
            </w:r>
            <w:r w:rsidRPr="00B45B4F">
              <w:rPr>
                <w:rFonts w:ascii="Verdana" w:hAnsi="Verdana"/>
                <w:color w:val="212121"/>
                <w:sz w:val="20"/>
                <w:szCs w:val="20"/>
                <w:lang w:val="bg-BG"/>
              </w:rPr>
              <w:t xml:space="preserve"> 2A:</w:t>
            </w:r>
            <w:r w:rsidRPr="00B45B4F">
              <w:rPr>
                <w:rStyle w:val="Heading7Char"/>
                <w:rFonts w:ascii="Verdana" w:eastAsia="Times New Roman" w:hAnsi="Verdana"/>
                <w:i w:val="0"/>
                <w:color w:val="404040"/>
                <w:sz w:val="20"/>
                <w:szCs w:val="20"/>
                <w:lang w:val="bg-BG"/>
              </w:rPr>
              <w:t>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увеличаването на пазарното участие и ориентация и на разнообразяването в селското стопанство</w:t>
            </w:r>
          </w:p>
          <w:p w:rsidR="0088514D" w:rsidRPr="00B45B4F" w:rsidRDefault="0088514D" w:rsidP="00DB1992">
            <w:pPr>
              <w:spacing w:after="120"/>
              <w:jc w:val="both"/>
              <w:rPr>
                <w:rFonts w:ascii="Verdana" w:hAnsi="Verdana"/>
                <w:color w:val="212121"/>
                <w:sz w:val="20"/>
                <w:szCs w:val="20"/>
                <w:lang w:val="bg-BG"/>
              </w:rPr>
            </w:pPr>
            <w:r w:rsidRPr="00B45B4F">
              <w:rPr>
                <w:rFonts w:ascii="Verdana" w:hAnsi="Verdana"/>
                <w:sz w:val="20"/>
                <w:szCs w:val="20"/>
                <w:lang w:val="bg-BG"/>
              </w:rPr>
              <w:t>ПО</w:t>
            </w:r>
            <w:r w:rsidRPr="00B45B4F">
              <w:rPr>
                <w:rFonts w:ascii="Verdana" w:hAnsi="Verdana"/>
                <w:color w:val="212121"/>
                <w:sz w:val="20"/>
                <w:szCs w:val="20"/>
                <w:lang w:val="bg-BG"/>
              </w:rPr>
              <w:t xml:space="preserve"> 2Б: Улесняване на навлизането на земеделски стопани с подходяща квалификация селскостопанския сектор, и по-специално приемствеността между поколенията</w:t>
            </w:r>
          </w:p>
        </w:tc>
      </w:tr>
      <w:tr w:rsidR="0088514D" w:rsidRPr="00B45B4F" w:rsidTr="00957212">
        <w:tc>
          <w:tcPr>
            <w:tcW w:w="9090" w:type="dxa"/>
            <w:tcBorders>
              <w:top w:val="single" w:sz="4" w:space="0" w:color="auto"/>
              <w:bottom w:val="single" w:sz="4" w:space="0" w:color="auto"/>
            </w:tcBorders>
            <w:shd w:val="clear" w:color="auto" w:fill="548DD4" w:themeFill="text2" w:themeFillTint="99"/>
          </w:tcPr>
          <w:p w:rsidR="0088514D" w:rsidRPr="00B45B4F" w:rsidRDefault="0088514D" w:rsidP="00DB1992">
            <w:pPr>
              <w:spacing w:after="120"/>
              <w:jc w:val="both"/>
              <w:rPr>
                <w:rFonts w:ascii="Verdana" w:hAnsi="Verdana"/>
                <w:color w:val="FFFFFF" w:themeColor="background1"/>
                <w:sz w:val="20"/>
                <w:szCs w:val="20"/>
                <w:lang w:val="bg-BG"/>
              </w:rPr>
            </w:pPr>
            <w:r w:rsidRPr="00B45B4F">
              <w:rPr>
                <w:rFonts w:ascii="Verdana" w:hAnsi="Verdana"/>
                <w:color w:val="FFFFFF" w:themeColor="background1"/>
                <w:sz w:val="20"/>
                <w:szCs w:val="20"/>
                <w:u w:val="single"/>
                <w:lang w:val="bg-BG" w:eastAsia="ja-JP"/>
              </w:rPr>
              <w:t>Приоритетна област 3:</w:t>
            </w:r>
            <w:r w:rsidRPr="00B45B4F">
              <w:rPr>
                <w:rFonts w:ascii="Verdana" w:hAnsi="Verdana"/>
                <w:color w:val="FFFFFF" w:themeColor="background1"/>
                <w:sz w:val="20"/>
                <w:szCs w:val="20"/>
                <w:lang w:val="bg-BG" w:eastAsia="ja-JP"/>
              </w:rPr>
              <w:t xml:space="preserve"> Насърчаване на организацията на хранителната верига, включително преработката и предлагането на пазара на селскостопански продукти, на хуманното отношение към животните и управлението на риска в селското стопанство</w:t>
            </w:r>
          </w:p>
        </w:tc>
      </w:tr>
      <w:tr w:rsidR="0088514D" w:rsidRPr="00B45B4F" w:rsidTr="00F629E3">
        <w:tc>
          <w:tcPr>
            <w:tcW w:w="9090" w:type="dxa"/>
            <w:tcBorders>
              <w:top w:val="single" w:sz="4" w:space="0" w:color="auto"/>
              <w:bottom w:val="single" w:sz="4" w:space="0" w:color="auto"/>
            </w:tcBorders>
            <w:shd w:val="clear" w:color="auto" w:fill="auto"/>
          </w:tcPr>
          <w:p w:rsidR="0088514D" w:rsidRPr="00B45B4F" w:rsidRDefault="0088514D" w:rsidP="00DB1992">
            <w:pPr>
              <w:spacing w:after="120"/>
              <w:jc w:val="both"/>
              <w:rPr>
                <w:rFonts w:ascii="Verdana" w:hAnsi="Verdana"/>
                <w:color w:val="212121"/>
                <w:sz w:val="20"/>
                <w:szCs w:val="20"/>
                <w:lang w:val="bg-BG"/>
              </w:rPr>
            </w:pPr>
            <w:r w:rsidRPr="00B45B4F">
              <w:rPr>
                <w:rFonts w:ascii="Verdana" w:hAnsi="Verdana"/>
                <w:sz w:val="20"/>
                <w:szCs w:val="20"/>
                <w:lang w:val="bg-BG"/>
              </w:rPr>
              <w:t>ПО</w:t>
            </w:r>
            <w:r w:rsidRPr="00B45B4F">
              <w:rPr>
                <w:rFonts w:ascii="Verdana" w:hAnsi="Verdana"/>
                <w:color w:val="212121"/>
                <w:sz w:val="20"/>
                <w:szCs w:val="20"/>
                <w:lang w:val="bg-BG"/>
              </w:rPr>
              <w:t xml:space="preserve"> 3A</w:t>
            </w:r>
            <w:r w:rsidRPr="00B45B4F">
              <w:rPr>
                <w:rFonts w:ascii="Verdana" w:hAnsi="Verdana"/>
                <w:sz w:val="20"/>
                <w:szCs w:val="20"/>
                <w:lang w:val="bg-BG"/>
              </w:rPr>
              <w:t xml:space="preserve">: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w:t>
            </w:r>
            <w:proofErr w:type="spellStart"/>
            <w:r w:rsidRPr="00B45B4F">
              <w:rPr>
                <w:rFonts w:ascii="Verdana" w:hAnsi="Verdana"/>
                <w:sz w:val="20"/>
                <w:szCs w:val="20"/>
                <w:lang w:val="bg-BG"/>
              </w:rPr>
              <w:t>междубраншови</w:t>
            </w:r>
            <w:proofErr w:type="spellEnd"/>
            <w:r w:rsidRPr="00B45B4F">
              <w:rPr>
                <w:rFonts w:ascii="Verdana" w:hAnsi="Verdana"/>
                <w:sz w:val="20"/>
                <w:szCs w:val="20"/>
                <w:lang w:val="bg-BG"/>
              </w:rPr>
              <w:t xml:space="preserve"> организации</w:t>
            </w:r>
          </w:p>
          <w:p w:rsidR="0088514D" w:rsidRPr="00B45B4F" w:rsidRDefault="00191491" w:rsidP="00DB1992">
            <w:pPr>
              <w:spacing w:after="120"/>
              <w:jc w:val="both"/>
              <w:rPr>
                <w:rFonts w:ascii="Verdana" w:hAnsi="Verdana"/>
                <w:sz w:val="20"/>
                <w:szCs w:val="20"/>
                <w:lang w:val="bg-BG"/>
              </w:rPr>
            </w:pPr>
            <w:r w:rsidRPr="00B45B4F">
              <w:rPr>
                <w:rFonts w:ascii="Verdana" w:hAnsi="Verdana"/>
                <w:sz w:val="20"/>
                <w:szCs w:val="20"/>
                <w:lang w:val="bg-BG"/>
              </w:rPr>
              <w:t>ПО</w:t>
            </w:r>
            <w:r w:rsidR="0088514D" w:rsidRPr="00B45B4F">
              <w:rPr>
                <w:rFonts w:ascii="Verdana" w:hAnsi="Verdana"/>
                <w:color w:val="212121"/>
                <w:sz w:val="20"/>
                <w:szCs w:val="20"/>
                <w:lang w:val="bg-BG"/>
              </w:rPr>
              <w:t>3Б:</w:t>
            </w:r>
            <w:r w:rsidR="0088514D" w:rsidRPr="00B45B4F">
              <w:rPr>
                <w:rFonts w:ascii="Verdana" w:hAnsi="Verdana"/>
                <w:sz w:val="20"/>
                <w:szCs w:val="20"/>
                <w:lang w:val="bg-BG"/>
              </w:rPr>
              <w:t xml:space="preserve"> Подпомагане на превенцията и управлението на риска на стопанствата</w:t>
            </w:r>
          </w:p>
        </w:tc>
      </w:tr>
      <w:tr w:rsidR="0088514D" w:rsidRPr="00B45B4F" w:rsidTr="00957212">
        <w:trPr>
          <w:trHeight w:val="337"/>
        </w:trPr>
        <w:tc>
          <w:tcPr>
            <w:tcW w:w="9090" w:type="dxa"/>
            <w:tcBorders>
              <w:top w:val="single" w:sz="4" w:space="0" w:color="auto"/>
              <w:bottom w:val="single" w:sz="4" w:space="0" w:color="auto"/>
            </w:tcBorders>
            <w:shd w:val="clear" w:color="auto" w:fill="548DD4" w:themeFill="text2" w:themeFillTint="99"/>
          </w:tcPr>
          <w:p w:rsidR="0088514D" w:rsidRPr="00B45B4F" w:rsidRDefault="0088514D" w:rsidP="00DB1992">
            <w:pPr>
              <w:spacing w:after="120"/>
              <w:jc w:val="both"/>
              <w:rPr>
                <w:rFonts w:ascii="Verdana" w:hAnsi="Verdana"/>
                <w:color w:val="FFFFFF" w:themeColor="background1"/>
                <w:sz w:val="20"/>
                <w:szCs w:val="20"/>
                <w:lang w:val="bg-BG" w:eastAsia="fr-BE"/>
              </w:rPr>
            </w:pPr>
            <w:r w:rsidRPr="00B45B4F">
              <w:rPr>
                <w:rFonts w:ascii="Verdana" w:hAnsi="Verdana"/>
                <w:color w:val="FFFFFF" w:themeColor="background1"/>
                <w:sz w:val="20"/>
                <w:szCs w:val="20"/>
                <w:u w:val="single"/>
                <w:lang w:val="bg-BG" w:eastAsia="ja-JP"/>
              </w:rPr>
              <w:t>Приоритетна област</w:t>
            </w:r>
            <w:r w:rsidRPr="00B45B4F">
              <w:rPr>
                <w:rFonts w:ascii="Verdana" w:hAnsi="Verdana"/>
                <w:color w:val="FFFFFF" w:themeColor="background1"/>
                <w:sz w:val="20"/>
                <w:szCs w:val="20"/>
                <w:u w:val="single"/>
                <w:lang w:val="bg-BG"/>
              </w:rPr>
              <w:t xml:space="preserve"> 4:</w:t>
            </w:r>
            <w:r w:rsidRPr="00B45B4F">
              <w:rPr>
                <w:rFonts w:ascii="Verdana" w:hAnsi="Verdana"/>
                <w:color w:val="FFFFFF" w:themeColor="background1"/>
                <w:sz w:val="20"/>
                <w:szCs w:val="20"/>
                <w:lang w:val="bg-BG"/>
              </w:rPr>
              <w:t xml:space="preserve"> Възстановяване, опазване и укрепване на екосистемите, свързани със селското и горското стопанство</w:t>
            </w:r>
          </w:p>
        </w:tc>
      </w:tr>
      <w:tr w:rsidR="0088514D" w:rsidRPr="00B45B4F" w:rsidTr="00F629E3">
        <w:trPr>
          <w:trHeight w:val="395"/>
        </w:trPr>
        <w:tc>
          <w:tcPr>
            <w:tcW w:w="9090" w:type="dxa"/>
            <w:tcBorders>
              <w:top w:val="single" w:sz="4" w:space="0" w:color="auto"/>
              <w:bottom w:val="single" w:sz="4" w:space="0" w:color="auto"/>
            </w:tcBorders>
            <w:shd w:val="clear" w:color="auto" w:fill="auto"/>
          </w:tcPr>
          <w:p w:rsidR="0088514D" w:rsidRPr="00B45B4F" w:rsidRDefault="00191491" w:rsidP="00DB1992">
            <w:pPr>
              <w:spacing w:after="120"/>
              <w:jc w:val="both"/>
              <w:rPr>
                <w:rFonts w:ascii="Verdana" w:hAnsi="Verdana"/>
                <w:sz w:val="20"/>
                <w:szCs w:val="20"/>
                <w:lang w:val="bg-BG"/>
              </w:rPr>
            </w:pPr>
            <w:r w:rsidRPr="00B45B4F">
              <w:rPr>
                <w:rFonts w:ascii="Verdana" w:hAnsi="Verdana"/>
                <w:sz w:val="20"/>
                <w:szCs w:val="20"/>
                <w:lang w:val="bg-BG"/>
              </w:rPr>
              <w:t>ПО</w:t>
            </w:r>
            <w:r w:rsidR="0088514D" w:rsidRPr="00B45B4F">
              <w:rPr>
                <w:rFonts w:ascii="Verdana" w:hAnsi="Verdana"/>
                <w:color w:val="212121"/>
                <w:sz w:val="20"/>
                <w:szCs w:val="20"/>
                <w:lang w:val="bg-BG"/>
              </w:rPr>
              <w:t>4A:</w:t>
            </w:r>
            <w:r w:rsidR="0088514D" w:rsidRPr="00B45B4F">
              <w:rPr>
                <w:rFonts w:ascii="Verdana" w:hAnsi="Verdana"/>
                <w:sz w:val="20"/>
                <w:szCs w:val="20"/>
                <w:lang w:val="bg-BG"/>
              </w:rPr>
              <w:t xml:space="preserve">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rsidR="0088514D" w:rsidRPr="00B45B4F" w:rsidRDefault="00191491" w:rsidP="00DB1992">
            <w:pPr>
              <w:spacing w:after="120"/>
              <w:jc w:val="both"/>
              <w:rPr>
                <w:rFonts w:ascii="Verdana" w:hAnsi="Verdana"/>
                <w:color w:val="000000"/>
                <w:sz w:val="20"/>
                <w:szCs w:val="20"/>
                <w:lang w:val="bg-BG"/>
              </w:rPr>
            </w:pPr>
            <w:r w:rsidRPr="00B45B4F">
              <w:rPr>
                <w:rFonts w:ascii="Verdana" w:hAnsi="Verdana"/>
                <w:sz w:val="20"/>
                <w:szCs w:val="20"/>
                <w:lang w:val="bg-BG"/>
              </w:rPr>
              <w:t>ПО</w:t>
            </w:r>
            <w:r w:rsidR="0088514D" w:rsidRPr="00B45B4F">
              <w:rPr>
                <w:rFonts w:ascii="Verdana" w:hAnsi="Verdana"/>
                <w:color w:val="212121"/>
                <w:sz w:val="20"/>
                <w:szCs w:val="20"/>
                <w:lang w:val="bg-BG"/>
              </w:rPr>
              <w:t xml:space="preserve">4Б: </w:t>
            </w:r>
            <w:r w:rsidR="0088514D" w:rsidRPr="00B45B4F">
              <w:rPr>
                <w:rFonts w:ascii="Verdana" w:hAnsi="Verdana"/>
                <w:sz w:val="20"/>
                <w:szCs w:val="20"/>
                <w:lang w:val="bg-BG"/>
              </w:rPr>
              <w:t>Подобряване управлението на водите, включително управлението на торовете и пестицидите</w:t>
            </w:r>
          </w:p>
          <w:p w:rsidR="0088514D" w:rsidRPr="00B45B4F" w:rsidRDefault="00191491" w:rsidP="00DB1992">
            <w:pPr>
              <w:spacing w:after="120"/>
              <w:jc w:val="both"/>
              <w:rPr>
                <w:rFonts w:ascii="Verdana" w:hAnsi="Verdana"/>
                <w:sz w:val="20"/>
                <w:szCs w:val="20"/>
                <w:lang w:val="bg-BG"/>
              </w:rPr>
            </w:pPr>
            <w:r w:rsidRPr="00B45B4F">
              <w:rPr>
                <w:rFonts w:ascii="Verdana" w:hAnsi="Verdana"/>
                <w:sz w:val="20"/>
                <w:szCs w:val="20"/>
                <w:lang w:val="bg-BG"/>
              </w:rPr>
              <w:t>ПО</w:t>
            </w:r>
            <w:r w:rsidR="0088514D" w:rsidRPr="00B45B4F">
              <w:rPr>
                <w:rFonts w:ascii="Verdana" w:hAnsi="Verdana"/>
                <w:color w:val="212121"/>
                <w:sz w:val="20"/>
                <w:szCs w:val="20"/>
                <w:lang w:val="bg-BG"/>
              </w:rPr>
              <w:t xml:space="preserve">4В: </w:t>
            </w:r>
            <w:r w:rsidR="0088514D" w:rsidRPr="00B45B4F">
              <w:rPr>
                <w:rFonts w:ascii="Verdana" w:hAnsi="Verdana"/>
                <w:sz w:val="20"/>
                <w:szCs w:val="20"/>
                <w:lang w:val="bg-BG"/>
              </w:rPr>
              <w:t>Предотвратяване на ерозията на почвите и подобряване на управлението им</w:t>
            </w:r>
          </w:p>
        </w:tc>
      </w:tr>
      <w:tr w:rsidR="0088514D" w:rsidRPr="00B45B4F" w:rsidTr="00957212">
        <w:trPr>
          <w:trHeight w:val="376"/>
        </w:trPr>
        <w:tc>
          <w:tcPr>
            <w:tcW w:w="9090" w:type="dxa"/>
            <w:tcBorders>
              <w:top w:val="single" w:sz="4" w:space="0" w:color="auto"/>
              <w:bottom w:val="single" w:sz="4" w:space="0" w:color="auto"/>
            </w:tcBorders>
            <w:shd w:val="clear" w:color="auto" w:fill="548DD4" w:themeFill="text2" w:themeFillTint="99"/>
          </w:tcPr>
          <w:p w:rsidR="0088514D" w:rsidRPr="00B45B4F" w:rsidRDefault="0088514D" w:rsidP="00DB1992">
            <w:pPr>
              <w:spacing w:after="120"/>
              <w:rPr>
                <w:rFonts w:ascii="Verdana" w:hAnsi="Verdana"/>
                <w:color w:val="FFFFFF" w:themeColor="background1"/>
                <w:sz w:val="20"/>
                <w:szCs w:val="20"/>
                <w:lang w:val="bg-BG"/>
              </w:rPr>
            </w:pPr>
            <w:r w:rsidRPr="00B45B4F">
              <w:rPr>
                <w:rFonts w:ascii="Verdana" w:hAnsi="Verdana"/>
                <w:color w:val="FFFFFF" w:themeColor="background1"/>
                <w:sz w:val="20"/>
                <w:szCs w:val="20"/>
                <w:u w:val="single"/>
                <w:lang w:val="bg-BG" w:eastAsia="ja-JP"/>
              </w:rPr>
              <w:lastRenderedPageBreak/>
              <w:t>Приоритетна област</w:t>
            </w:r>
            <w:r w:rsidRPr="00B45B4F">
              <w:rPr>
                <w:rFonts w:ascii="Verdana" w:hAnsi="Verdana"/>
                <w:color w:val="FFFFFF" w:themeColor="background1"/>
                <w:sz w:val="20"/>
                <w:szCs w:val="20"/>
                <w:u w:val="single"/>
                <w:lang w:val="bg-BG"/>
              </w:rPr>
              <w:t xml:space="preserve"> 5:</w:t>
            </w:r>
            <w:r w:rsidRPr="00B45B4F">
              <w:rPr>
                <w:rFonts w:ascii="Verdana" w:hAnsi="Verdana"/>
                <w:color w:val="FFFFFF" w:themeColor="background1"/>
                <w:sz w:val="20"/>
                <w:szCs w:val="20"/>
                <w:lang w:val="bg-BG"/>
              </w:rPr>
              <w:t xml:space="preserve"> Насърчаване на ефективното използване на ресурсите и подпомагане на прехода към </w:t>
            </w:r>
            <w:proofErr w:type="spellStart"/>
            <w:r w:rsidRPr="00B45B4F">
              <w:rPr>
                <w:rFonts w:ascii="Verdana" w:hAnsi="Verdana"/>
                <w:color w:val="FFFFFF" w:themeColor="background1"/>
                <w:sz w:val="20"/>
                <w:szCs w:val="20"/>
                <w:lang w:val="bg-BG"/>
              </w:rPr>
              <w:t>нисковъглеродна</w:t>
            </w:r>
            <w:proofErr w:type="spellEnd"/>
            <w:r w:rsidRPr="00B45B4F">
              <w:rPr>
                <w:rFonts w:ascii="Verdana" w:hAnsi="Verdana"/>
                <w:color w:val="FFFFFF" w:themeColor="background1"/>
                <w:sz w:val="20"/>
                <w:szCs w:val="20"/>
                <w:lang w:val="bg-BG"/>
              </w:rPr>
              <w:t xml:space="preserve"> и устойчива на изменението на климата икономика в селското стопанство, сектора на храните и горското стопанство</w:t>
            </w:r>
          </w:p>
        </w:tc>
      </w:tr>
      <w:tr w:rsidR="0088514D" w:rsidRPr="00B45B4F" w:rsidTr="00F629E3">
        <w:trPr>
          <w:trHeight w:val="552"/>
        </w:trPr>
        <w:tc>
          <w:tcPr>
            <w:tcW w:w="9090" w:type="dxa"/>
            <w:tcBorders>
              <w:top w:val="single" w:sz="4" w:space="0" w:color="auto"/>
              <w:bottom w:val="single" w:sz="4" w:space="0" w:color="auto"/>
            </w:tcBorders>
            <w:shd w:val="clear" w:color="auto" w:fill="auto"/>
          </w:tcPr>
          <w:p w:rsidR="0088514D" w:rsidRPr="00B45B4F" w:rsidRDefault="00191491" w:rsidP="00DB1992">
            <w:pPr>
              <w:spacing w:after="120"/>
              <w:jc w:val="both"/>
              <w:rPr>
                <w:rFonts w:ascii="Verdana" w:hAnsi="Verdana"/>
                <w:color w:val="212121"/>
                <w:sz w:val="20"/>
                <w:szCs w:val="20"/>
                <w:lang w:val="bg-BG"/>
              </w:rPr>
            </w:pPr>
            <w:r w:rsidRPr="00B45B4F">
              <w:rPr>
                <w:rFonts w:ascii="Verdana" w:hAnsi="Verdana"/>
                <w:sz w:val="20"/>
                <w:szCs w:val="20"/>
                <w:lang w:val="bg-BG"/>
              </w:rPr>
              <w:t>ПО</w:t>
            </w:r>
            <w:r w:rsidR="0088514D" w:rsidRPr="00B45B4F">
              <w:rPr>
                <w:rFonts w:ascii="Verdana" w:hAnsi="Verdana"/>
                <w:color w:val="212121"/>
                <w:sz w:val="20"/>
                <w:szCs w:val="20"/>
                <w:lang w:val="bg-BG"/>
              </w:rPr>
              <w:t xml:space="preserve">5A: </w:t>
            </w:r>
            <w:r w:rsidR="0088514D" w:rsidRPr="00B45B4F">
              <w:rPr>
                <w:rFonts w:ascii="Verdana" w:hAnsi="Verdana"/>
                <w:sz w:val="20"/>
                <w:szCs w:val="20"/>
                <w:lang w:val="bg-BG"/>
              </w:rPr>
              <w:t>Повишаване на ефективността на потреблението на водата в земеделието</w:t>
            </w:r>
          </w:p>
          <w:p w:rsidR="0088514D" w:rsidRPr="00B45B4F" w:rsidRDefault="00191491" w:rsidP="00DB1992">
            <w:pPr>
              <w:widowControl w:val="0"/>
              <w:autoSpaceDE w:val="0"/>
              <w:autoSpaceDN w:val="0"/>
              <w:adjustRightInd w:val="0"/>
              <w:spacing w:after="120"/>
              <w:jc w:val="both"/>
              <w:rPr>
                <w:rFonts w:ascii="Verdana" w:hAnsi="Verdana"/>
                <w:color w:val="212121"/>
                <w:sz w:val="20"/>
                <w:szCs w:val="20"/>
                <w:lang w:val="bg-BG"/>
              </w:rPr>
            </w:pPr>
            <w:r w:rsidRPr="00B45B4F">
              <w:rPr>
                <w:rFonts w:ascii="Verdana" w:hAnsi="Verdana"/>
                <w:sz w:val="20"/>
                <w:szCs w:val="20"/>
                <w:lang w:val="bg-BG"/>
              </w:rPr>
              <w:t>ПО</w:t>
            </w:r>
            <w:r w:rsidR="0088514D" w:rsidRPr="00B45B4F">
              <w:rPr>
                <w:rFonts w:ascii="Verdana" w:hAnsi="Verdana"/>
                <w:color w:val="212121"/>
                <w:sz w:val="20"/>
                <w:szCs w:val="20"/>
                <w:lang w:val="bg-BG"/>
              </w:rPr>
              <w:t xml:space="preserve">5Б: </w:t>
            </w:r>
            <w:r w:rsidR="0088514D" w:rsidRPr="00B45B4F">
              <w:rPr>
                <w:rFonts w:ascii="Verdana" w:hAnsi="Verdana"/>
                <w:sz w:val="20"/>
                <w:szCs w:val="20"/>
                <w:lang w:val="bg-BG"/>
              </w:rPr>
              <w:t>Повишаване на ефективността на потреблението на енергия в селското стопанство и хранително-вкусовата промишленост</w:t>
            </w:r>
          </w:p>
          <w:p w:rsidR="0088514D" w:rsidRPr="00B45B4F" w:rsidRDefault="00191491" w:rsidP="00DB1992">
            <w:pPr>
              <w:widowControl w:val="0"/>
              <w:autoSpaceDE w:val="0"/>
              <w:autoSpaceDN w:val="0"/>
              <w:adjustRightInd w:val="0"/>
              <w:spacing w:after="120"/>
              <w:ind w:right="51"/>
              <w:jc w:val="both"/>
              <w:rPr>
                <w:rFonts w:ascii="Verdana" w:hAnsi="Verdana"/>
                <w:color w:val="212121"/>
                <w:sz w:val="20"/>
                <w:szCs w:val="20"/>
                <w:u w:val="single"/>
                <w:lang w:val="bg-BG"/>
              </w:rPr>
            </w:pPr>
            <w:r w:rsidRPr="00B45B4F">
              <w:rPr>
                <w:rFonts w:ascii="Verdana" w:hAnsi="Verdana"/>
                <w:sz w:val="20"/>
                <w:szCs w:val="20"/>
                <w:lang w:val="bg-BG"/>
              </w:rPr>
              <w:t>ПО</w:t>
            </w:r>
            <w:r w:rsidR="0088514D" w:rsidRPr="00B45B4F">
              <w:rPr>
                <w:rFonts w:ascii="Verdana" w:hAnsi="Verdana"/>
                <w:color w:val="212121"/>
                <w:sz w:val="20"/>
                <w:szCs w:val="20"/>
                <w:lang w:val="bg-BG"/>
              </w:rPr>
              <w:t xml:space="preserve">5В: </w:t>
            </w:r>
            <w:r w:rsidR="0088514D" w:rsidRPr="00B45B4F">
              <w:rPr>
                <w:rFonts w:ascii="Verdana" w:hAnsi="Verdana"/>
                <w:sz w:val="20"/>
                <w:szCs w:val="20"/>
                <w:lang w:val="bg-BG"/>
              </w:rPr>
              <w:t xml:space="preserve">Улесняване на доставките и използването на възобновяеми източници на енергия от странични продукти, отпадъци и остатъци и други нехранителни суровини за целите на </w:t>
            </w:r>
            <w:proofErr w:type="spellStart"/>
            <w:r w:rsidR="0088514D" w:rsidRPr="00B45B4F">
              <w:rPr>
                <w:rFonts w:ascii="Verdana" w:hAnsi="Verdana"/>
                <w:sz w:val="20"/>
                <w:szCs w:val="20"/>
                <w:lang w:val="bg-BG"/>
              </w:rPr>
              <w:t>биоикономиката</w:t>
            </w:r>
            <w:proofErr w:type="spellEnd"/>
          </w:p>
          <w:p w:rsidR="0088514D" w:rsidRPr="00B45B4F" w:rsidRDefault="00191491" w:rsidP="00DB1992">
            <w:pPr>
              <w:spacing w:after="120"/>
              <w:rPr>
                <w:rFonts w:ascii="Verdana" w:hAnsi="Verdana"/>
                <w:sz w:val="20"/>
                <w:szCs w:val="20"/>
                <w:lang w:val="bg-BG"/>
              </w:rPr>
            </w:pPr>
            <w:r w:rsidRPr="00B45B4F">
              <w:rPr>
                <w:rFonts w:ascii="Verdana" w:hAnsi="Verdana"/>
                <w:sz w:val="20"/>
                <w:szCs w:val="20"/>
                <w:lang w:val="bg-BG"/>
              </w:rPr>
              <w:t>ПО</w:t>
            </w:r>
            <w:r w:rsidR="0088514D" w:rsidRPr="00B45B4F">
              <w:rPr>
                <w:rFonts w:ascii="Verdana" w:hAnsi="Verdana"/>
                <w:color w:val="212121"/>
                <w:sz w:val="20"/>
                <w:szCs w:val="20"/>
                <w:lang w:val="bg-BG"/>
              </w:rPr>
              <w:t>5Г:</w:t>
            </w:r>
            <w:r w:rsidR="0088514D" w:rsidRPr="00B45B4F">
              <w:rPr>
                <w:rFonts w:ascii="Verdana" w:hAnsi="Verdana"/>
                <w:sz w:val="20"/>
                <w:szCs w:val="20"/>
                <w:lang w:val="bg-BG"/>
              </w:rPr>
              <w:t xml:space="preserve"> Намаляване на емисиите на парникови газове </w:t>
            </w:r>
            <w:r w:rsidR="0088514D" w:rsidRPr="00B45B4F">
              <w:rPr>
                <w:rFonts w:ascii="Verdana" w:eastAsia="MS Mincho" w:hAnsi="Verdana"/>
                <w:sz w:val="20"/>
                <w:szCs w:val="20"/>
                <w:lang w:val="bg-BG"/>
              </w:rPr>
              <w:t xml:space="preserve">и </w:t>
            </w:r>
            <w:r w:rsidR="0088514D" w:rsidRPr="00B45B4F">
              <w:rPr>
                <w:rFonts w:ascii="Verdana" w:hAnsi="Verdana"/>
                <w:sz w:val="20"/>
                <w:szCs w:val="20"/>
                <w:lang w:val="bg-BG"/>
              </w:rPr>
              <w:t>амоняк от селското стопанство</w:t>
            </w:r>
          </w:p>
          <w:p w:rsidR="0088514D" w:rsidRPr="00B45B4F" w:rsidRDefault="00191491" w:rsidP="00DB1992">
            <w:pPr>
              <w:spacing w:after="120"/>
              <w:jc w:val="both"/>
              <w:rPr>
                <w:rFonts w:ascii="Verdana" w:hAnsi="Verdana"/>
                <w:sz w:val="20"/>
                <w:szCs w:val="20"/>
                <w:lang w:val="bg-BG" w:eastAsia="fr-BE"/>
              </w:rPr>
            </w:pPr>
            <w:r w:rsidRPr="00B45B4F">
              <w:rPr>
                <w:rFonts w:ascii="Verdana" w:hAnsi="Verdana"/>
                <w:sz w:val="20"/>
                <w:szCs w:val="20"/>
                <w:lang w:val="bg-BG"/>
              </w:rPr>
              <w:t>ПО</w:t>
            </w:r>
            <w:r w:rsidR="0088514D" w:rsidRPr="00B45B4F">
              <w:rPr>
                <w:rFonts w:ascii="Verdana" w:hAnsi="Verdana"/>
                <w:color w:val="212121"/>
                <w:sz w:val="20"/>
                <w:szCs w:val="20"/>
                <w:lang w:val="bg-BG"/>
              </w:rPr>
              <w:t>5Д:</w:t>
            </w:r>
            <w:r w:rsidR="0088514D" w:rsidRPr="00B45B4F">
              <w:rPr>
                <w:rFonts w:ascii="Verdana" w:hAnsi="Verdana"/>
                <w:sz w:val="20"/>
                <w:szCs w:val="20"/>
                <w:lang w:val="bg-BG"/>
              </w:rPr>
              <w:t xml:space="preserve"> Стимулиране на съхраняването и поглъщането на въглерода в сектора на селското и горското стопанство</w:t>
            </w:r>
          </w:p>
        </w:tc>
      </w:tr>
      <w:tr w:rsidR="0088514D" w:rsidRPr="00B45B4F" w:rsidTr="00957212">
        <w:trPr>
          <w:trHeight w:val="276"/>
        </w:trPr>
        <w:tc>
          <w:tcPr>
            <w:tcW w:w="9090" w:type="dxa"/>
            <w:tcBorders>
              <w:top w:val="single" w:sz="4" w:space="0" w:color="auto"/>
              <w:bottom w:val="single" w:sz="4" w:space="0" w:color="auto"/>
            </w:tcBorders>
            <w:shd w:val="clear" w:color="auto" w:fill="548DD4" w:themeFill="text2" w:themeFillTint="99"/>
          </w:tcPr>
          <w:p w:rsidR="0088514D" w:rsidRPr="00B45B4F" w:rsidRDefault="0088514D" w:rsidP="00DB1992">
            <w:pPr>
              <w:spacing w:after="120"/>
              <w:rPr>
                <w:rFonts w:ascii="Verdana" w:hAnsi="Verdana"/>
                <w:color w:val="FFFFFF" w:themeColor="background1"/>
                <w:sz w:val="20"/>
                <w:szCs w:val="20"/>
                <w:lang w:val="bg-BG"/>
              </w:rPr>
            </w:pPr>
            <w:r w:rsidRPr="00B45B4F">
              <w:rPr>
                <w:rFonts w:ascii="Verdana" w:hAnsi="Verdana"/>
                <w:color w:val="FFFFFF" w:themeColor="background1"/>
                <w:sz w:val="20"/>
                <w:szCs w:val="20"/>
                <w:u w:val="single"/>
                <w:lang w:val="bg-BG" w:eastAsia="ja-JP"/>
              </w:rPr>
              <w:t>Приоритетна област</w:t>
            </w:r>
            <w:r w:rsidRPr="00B45B4F">
              <w:rPr>
                <w:rFonts w:ascii="Verdana" w:hAnsi="Verdana"/>
                <w:color w:val="FFFFFF" w:themeColor="background1"/>
                <w:sz w:val="20"/>
                <w:szCs w:val="20"/>
                <w:u w:val="single"/>
                <w:lang w:val="bg-BG"/>
              </w:rPr>
              <w:t xml:space="preserve"> 6</w:t>
            </w:r>
            <w:r w:rsidRPr="00B45B4F">
              <w:rPr>
                <w:rFonts w:ascii="Verdana" w:hAnsi="Verdana"/>
                <w:color w:val="FFFFFF" w:themeColor="background1"/>
                <w:sz w:val="20"/>
                <w:szCs w:val="20"/>
                <w:lang w:val="bg-BG"/>
              </w:rPr>
              <w:t>: Насърчаване на социалното приобщаване, намаляването на бедността и икономическото развитие в селските райони</w:t>
            </w:r>
          </w:p>
        </w:tc>
      </w:tr>
      <w:tr w:rsidR="0088514D" w:rsidRPr="00B45B4F" w:rsidTr="00F629E3">
        <w:trPr>
          <w:trHeight w:val="276"/>
        </w:trPr>
        <w:tc>
          <w:tcPr>
            <w:tcW w:w="9090" w:type="dxa"/>
            <w:tcBorders>
              <w:top w:val="single" w:sz="4" w:space="0" w:color="auto"/>
            </w:tcBorders>
            <w:shd w:val="clear" w:color="auto" w:fill="auto"/>
          </w:tcPr>
          <w:p w:rsidR="0088514D" w:rsidRPr="00B45B4F" w:rsidRDefault="00191491" w:rsidP="00DB1992">
            <w:pPr>
              <w:spacing w:after="120"/>
              <w:jc w:val="both"/>
              <w:rPr>
                <w:rFonts w:ascii="Verdana" w:hAnsi="Verdana"/>
                <w:color w:val="000000" w:themeColor="text1"/>
                <w:sz w:val="20"/>
                <w:szCs w:val="20"/>
                <w:u w:val="single"/>
                <w:lang w:val="bg-BG"/>
              </w:rPr>
            </w:pPr>
            <w:r w:rsidRPr="00B45B4F">
              <w:rPr>
                <w:rFonts w:ascii="Verdana" w:hAnsi="Verdana"/>
                <w:sz w:val="20"/>
                <w:szCs w:val="20"/>
                <w:lang w:val="bg-BG"/>
              </w:rPr>
              <w:t>ПО</w:t>
            </w:r>
            <w:r w:rsidR="0088514D" w:rsidRPr="00B45B4F">
              <w:rPr>
                <w:rFonts w:ascii="Verdana" w:hAnsi="Verdana"/>
                <w:color w:val="212121"/>
                <w:sz w:val="20"/>
                <w:szCs w:val="20"/>
                <w:lang w:val="bg-BG"/>
              </w:rPr>
              <w:t>6A:</w:t>
            </w:r>
            <w:r w:rsidR="0088514D" w:rsidRPr="00B45B4F">
              <w:rPr>
                <w:rFonts w:ascii="Verdana" w:hAnsi="Verdana"/>
                <w:sz w:val="20"/>
                <w:szCs w:val="20"/>
                <w:lang w:val="bg-BG"/>
              </w:rPr>
              <w:t xml:space="preserve"> Улесняване на разнообразяването, създаването и </w:t>
            </w:r>
            <w:r w:rsidR="0088514D" w:rsidRPr="00B45B4F">
              <w:rPr>
                <w:rFonts w:ascii="Verdana" w:hAnsi="Verdana"/>
                <w:color w:val="000000"/>
                <w:sz w:val="20"/>
                <w:szCs w:val="20"/>
                <w:lang w:val="bg-BG"/>
              </w:rPr>
              <w:t>развитието на малки предприятия и разкриването на работни места</w:t>
            </w:r>
          </w:p>
          <w:p w:rsidR="0088514D" w:rsidRPr="00B45B4F" w:rsidRDefault="00191491" w:rsidP="00DB1992">
            <w:pPr>
              <w:spacing w:after="120"/>
              <w:jc w:val="both"/>
              <w:rPr>
                <w:rFonts w:ascii="Verdana" w:hAnsi="Verdana"/>
                <w:color w:val="000000" w:themeColor="text1"/>
                <w:sz w:val="20"/>
                <w:szCs w:val="20"/>
                <w:lang w:val="bg-BG"/>
              </w:rPr>
            </w:pPr>
            <w:r w:rsidRPr="00B45B4F">
              <w:rPr>
                <w:rFonts w:ascii="Verdana" w:hAnsi="Verdana"/>
                <w:sz w:val="20"/>
                <w:szCs w:val="20"/>
                <w:lang w:val="bg-BG"/>
              </w:rPr>
              <w:t>ПО</w:t>
            </w:r>
            <w:r w:rsidR="0088514D" w:rsidRPr="00B45B4F">
              <w:rPr>
                <w:rFonts w:ascii="Verdana" w:hAnsi="Verdana"/>
                <w:color w:val="000000" w:themeColor="text1"/>
                <w:sz w:val="20"/>
                <w:szCs w:val="20"/>
                <w:lang w:val="bg-BG"/>
              </w:rPr>
              <w:t xml:space="preserve">6Б: </w:t>
            </w:r>
            <w:r w:rsidR="0088514D" w:rsidRPr="00B45B4F">
              <w:rPr>
                <w:rFonts w:ascii="Verdana" w:hAnsi="Verdana"/>
                <w:color w:val="000000"/>
                <w:sz w:val="20"/>
                <w:szCs w:val="20"/>
                <w:lang w:val="bg-BG"/>
              </w:rPr>
              <w:t>Стимулиране на местното развитие в селските райони</w:t>
            </w:r>
          </w:p>
          <w:p w:rsidR="0088514D" w:rsidRPr="00B45B4F" w:rsidRDefault="00191491" w:rsidP="00DB1992">
            <w:pPr>
              <w:spacing w:after="120"/>
              <w:jc w:val="both"/>
              <w:rPr>
                <w:rFonts w:ascii="Verdana" w:hAnsi="Verdana"/>
                <w:i/>
                <w:sz w:val="20"/>
                <w:szCs w:val="20"/>
                <w:lang w:val="bg-BG" w:eastAsia="fr-BE"/>
              </w:rPr>
            </w:pPr>
            <w:r w:rsidRPr="00B45B4F">
              <w:rPr>
                <w:rFonts w:ascii="Verdana" w:hAnsi="Verdana"/>
                <w:sz w:val="20"/>
                <w:szCs w:val="20"/>
                <w:lang w:val="bg-BG"/>
              </w:rPr>
              <w:t>ПО</w:t>
            </w:r>
            <w:r w:rsidR="0088514D" w:rsidRPr="00B45B4F">
              <w:rPr>
                <w:rFonts w:ascii="Verdana" w:hAnsi="Verdana"/>
                <w:color w:val="000000" w:themeColor="text1"/>
                <w:sz w:val="20"/>
                <w:szCs w:val="20"/>
                <w:lang w:val="bg-BG"/>
              </w:rPr>
              <w:t>6В:</w:t>
            </w:r>
            <w:r w:rsidR="0088514D" w:rsidRPr="00B45B4F">
              <w:rPr>
                <w:rStyle w:val="Heading7Char"/>
                <w:rFonts w:ascii="Verdana" w:eastAsia="Times New Roman" w:hAnsi="Verdana"/>
                <w:i w:val="0"/>
                <w:color w:val="000000"/>
                <w:sz w:val="20"/>
                <w:szCs w:val="20"/>
                <w:lang w:val="bg-BG"/>
              </w:rPr>
              <w:t>Подобряване на достъпа до информационни и комуникационни технологии, използването и качеството им в селските райони</w:t>
            </w:r>
          </w:p>
        </w:tc>
      </w:tr>
    </w:tbl>
    <w:p w:rsidR="00D01E8E" w:rsidRPr="00B45B4F" w:rsidRDefault="00D01E8E" w:rsidP="00D01E8E">
      <w:pPr>
        <w:keepNext/>
        <w:spacing w:before="240" w:after="120"/>
        <w:rPr>
          <w:rFonts w:ascii="Verdana" w:hAnsi="Verdana"/>
          <w:b/>
          <w:color w:val="548DD4" w:themeColor="text2" w:themeTint="99"/>
          <w:sz w:val="20"/>
          <w:szCs w:val="20"/>
          <w:lang w:val="bg-BG"/>
        </w:rPr>
      </w:pPr>
      <w:bookmarkStart w:id="69" w:name="_Toc395612569"/>
      <w:r w:rsidRPr="00B45B4F">
        <w:rPr>
          <w:rFonts w:ascii="Verdana" w:hAnsi="Verdana"/>
          <w:b/>
          <w:color w:val="548DD4" w:themeColor="text2" w:themeTint="99"/>
          <w:sz w:val="20"/>
          <w:szCs w:val="20"/>
          <w:lang w:val="bg-BG"/>
        </w:rPr>
        <w:t xml:space="preserve">Таблица </w:t>
      </w:r>
      <w:r w:rsidR="00BF1936" w:rsidRPr="00B45B4F">
        <w:rPr>
          <w:rFonts w:ascii="Verdana" w:hAnsi="Verdana"/>
          <w:b/>
          <w:color w:val="548DD4" w:themeColor="text2" w:themeTint="99"/>
          <w:sz w:val="20"/>
          <w:szCs w:val="20"/>
          <w:lang w:val="bg-BG"/>
        </w:rPr>
        <w:fldChar w:fldCharType="begin"/>
      </w:r>
      <w:r w:rsidRPr="00B45B4F">
        <w:rPr>
          <w:rFonts w:ascii="Verdana" w:hAnsi="Verdana"/>
          <w:b/>
          <w:color w:val="548DD4" w:themeColor="text2" w:themeTint="99"/>
          <w:sz w:val="20"/>
          <w:szCs w:val="20"/>
          <w:lang w:val="bg-BG"/>
        </w:rPr>
        <w:instrText xml:space="preserve"> SEQ Таблица \* ARABIC </w:instrText>
      </w:r>
      <w:r w:rsidR="00BF1936" w:rsidRPr="00B45B4F">
        <w:rPr>
          <w:rFonts w:ascii="Verdana" w:hAnsi="Verdana"/>
          <w:b/>
          <w:color w:val="548DD4" w:themeColor="text2" w:themeTint="99"/>
          <w:sz w:val="20"/>
          <w:szCs w:val="20"/>
          <w:lang w:val="bg-BG"/>
        </w:rPr>
        <w:fldChar w:fldCharType="separate"/>
      </w:r>
      <w:r w:rsidR="001361E0">
        <w:rPr>
          <w:rFonts w:ascii="Verdana" w:hAnsi="Verdana"/>
          <w:b/>
          <w:noProof/>
          <w:color w:val="548DD4" w:themeColor="text2" w:themeTint="99"/>
          <w:sz w:val="20"/>
          <w:szCs w:val="20"/>
          <w:lang w:val="bg-BG"/>
        </w:rPr>
        <w:t>13</w:t>
      </w:r>
      <w:r w:rsidR="00BF1936" w:rsidRPr="00B45B4F">
        <w:rPr>
          <w:rFonts w:ascii="Verdana" w:hAnsi="Verdana"/>
          <w:b/>
          <w:color w:val="548DD4" w:themeColor="text2" w:themeTint="99"/>
          <w:sz w:val="20"/>
          <w:szCs w:val="20"/>
          <w:lang w:val="bg-BG"/>
        </w:rPr>
        <w:fldChar w:fldCharType="end"/>
      </w:r>
      <w:r w:rsidRPr="00B45B4F">
        <w:rPr>
          <w:rFonts w:ascii="Verdana" w:hAnsi="Verdana"/>
          <w:b/>
          <w:color w:val="548DD4" w:themeColor="text2" w:themeTint="99"/>
          <w:sz w:val="20"/>
          <w:szCs w:val="20"/>
          <w:lang w:val="bg-BG"/>
        </w:rPr>
        <w:t>: Връзки между приоритетите на ОПНОИР и ПРСР</w:t>
      </w:r>
      <w:bookmarkEnd w:id="69"/>
    </w:p>
    <w:tbl>
      <w:tblPr>
        <w:tblW w:w="9810" w:type="dxa"/>
        <w:tblInd w:w="-162" w:type="dxa"/>
        <w:tblLook w:val="04A0" w:firstRow="1" w:lastRow="0" w:firstColumn="1" w:lastColumn="0" w:noHBand="0" w:noVBand="1"/>
      </w:tblPr>
      <w:tblGrid>
        <w:gridCol w:w="2825"/>
        <w:gridCol w:w="1311"/>
        <w:gridCol w:w="821"/>
        <w:gridCol w:w="819"/>
        <w:gridCol w:w="701"/>
        <w:gridCol w:w="701"/>
        <w:gridCol w:w="701"/>
        <w:gridCol w:w="899"/>
        <w:gridCol w:w="1032"/>
      </w:tblGrid>
      <w:tr w:rsidR="0088514D" w:rsidRPr="00B45B4F" w:rsidTr="00191491">
        <w:trPr>
          <w:trHeight w:val="510"/>
        </w:trPr>
        <w:tc>
          <w:tcPr>
            <w:tcW w:w="2825" w:type="dxa"/>
            <w:tcBorders>
              <w:top w:val="single" w:sz="4" w:space="0" w:color="auto"/>
              <w:left w:val="single" w:sz="4" w:space="0" w:color="auto"/>
              <w:bottom w:val="single" w:sz="4" w:space="0" w:color="auto"/>
              <w:right w:val="single" w:sz="4" w:space="0" w:color="auto"/>
            </w:tcBorders>
            <w:shd w:val="clear" w:color="000000" w:fill="548DD4"/>
            <w:vAlign w:val="bottom"/>
            <w:hideMark/>
          </w:tcPr>
          <w:p w:rsidR="0088514D" w:rsidRPr="00B45B4F" w:rsidRDefault="0088514D" w:rsidP="0088514D">
            <w:pPr>
              <w:spacing w:after="0" w:line="240" w:lineRule="auto"/>
              <w:jc w:val="center"/>
              <w:rPr>
                <w:rFonts w:ascii="Verdana" w:eastAsia="Times New Roman" w:hAnsi="Verdana"/>
                <w:bCs/>
                <w:color w:val="FFFFFF"/>
                <w:sz w:val="18"/>
                <w:szCs w:val="18"/>
                <w:lang w:val="bg-BG"/>
              </w:rPr>
            </w:pPr>
            <w:r w:rsidRPr="00B45B4F">
              <w:rPr>
                <w:rFonts w:ascii="Verdana" w:eastAsia="Times New Roman" w:hAnsi="Verdana"/>
                <w:bCs/>
                <w:color w:val="FFFFFF"/>
                <w:sz w:val="18"/>
                <w:szCs w:val="18"/>
                <w:lang w:val="bg-BG"/>
              </w:rPr>
              <w:t>Оперативна програма / приоритетна ос</w:t>
            </w:r>
          </w:p>
        </w:tc>
        <w:tc>
          <w:tcPr>
            <w:tcW w:w="1311" w:type="dxa"/>
            <w:tcBorders>
              <w:top w:val="single" w:sz="4" w:space="0" w:color="auto"/>
              <w:left w:val="nil"/>
              <w:bottom w:val="single" w:sz="4" w:space="0" w:color="auto"/>
              <w:right w:val="single" w:sz="4" w:space="0" w:color="auto"/>
            </w:tcBorders>
            <w:shd w:val="clear" w:color="000000" w:fill="548DD4"/>
            <w:vAlign w:val="center"/>
            <w:hideMark/>
          </w:tcPr>
          <w:p w:rsidR="0088514D" w:rsidRPr="00B45B4F" w:rsidRDefault="0088514D" w:rsidP="0088514D">
            <w:pPr>
              <w:spacing w:after="0" w:line="240" w:lineRule="auto"/>
              <w:jc w:val="center"/>
              <w:rPr>
                <w:rFonts w:ascii="Verdana" w:eastAsia="Times New Roman" w:hAnsi="Verdana"/>
                <w:bCs/>
                <w:color w:val="FFFFFF"/>
                <w:sz w:val="18"/>
                <w:szCs w:val="18"/>
                <w:lang w:val="bg-BG"/>
              </w:rPr>
            </w:pPr>
            <w:r w:rsidRPr="00B45B4F">
              <w:rPr>
                <w:rFonts w:ascii="Verdana" w:eastAsia="Times New Roman" w:hAnsi="Verdana"/>
                <w:bCs/>
                <w:color w:val="FFFFFF"/>
                <w:sz w:val="18"/>
                <w:szCs w:val="18"/>
                <w:lang w:val="bg-BG"/>
              </w:rPr>
              <w:t>ОПНОИР</w:t>
            </w:r>
          </w:p>
        </w:tc>
        <w:tc>
          <w:tcPr>
            <w:tcW w:w="1640" w:type="dxa"/>
            <w:gridSpan w:val="2"/>
            <w:tcBorders>
              <w:top w:val="single" w:sz="4" w:space="0" w:color="auto"/>
              <w:left w:val="nil"/>
              <w:bottom w:val="single" w:sz="4" w:space="0" w:color="auto"/>
              <w:right w:val="single" w:sz="4" w:space="0" w:color="auto"/>
            </w:tcBorders>
            <w:shd w:val="clear" w:color="000000" w:fill="548DD4"/>
            <w:vAlign w:val="center"/>
            <w:hideMark/>
          </w:tcPr>
          <w:p w:rsidR="0088514D" w:rsidRPr="00B45B4F" w:rsidRDefault="0088514D" w:rsidP="00191491">
            <w:pPr>
              <w:spacing w:after="0" w:line="240" w:lineRule="auto"/>
              <w:ind w:left="-104" w:right="-92"/>
              <w:jc w:val="center"/>
              <w:rPr>
                <w:rFonts w:ascii="Verdana" w:eastAsia="Times New Roman" w:hAnsi="Verdana"/>
                <w:color w:val="FFFFFF"/>
                <w:sz w:val="18"/>
                <w:szCs w:val="18"/>
                <w:lang w:val="bg-BG"/>
              </w:rPr>
            </w:pPr>
            <w:r w:rsidRPr="00B45B4F">
              <w:rPr>
                <w:rFonts w:ascii="Verdana" w:eastAsia="Times New Roman" w:hAnsi="Verdana"/>
                <w:color w:val="FFFFFF"/>
                <w:sz w:val="18"/>
                <w:szCs w:val="18"/>
                <w:lang w:val="bg-BG"/>
              </w:rPr>
              <w:t>ПО 1: Научни изследвания и технологично развитие</w:t>
            </w:r>
          </w:p>
        </w:tc>
        <w:tc>
          <w:tcPr>
            <w:tcW w:w="2103" w:type="dxa"/>
            <w:gridSpan w:val="3"/>
            <w:tcBorders>
              <w:top w:val="single" w:sz="4" w:space="0" w:color="auto"/>
              <w:left w:val="nil"/>
              <w:bottom w:val="single" w:sz="4" w:space="0" w:color="auto"/>
              <w:right w:val="single" w:sz="4" w:space="0" w:color="auto"/>
            </w:tcBorders>
            <w:shd w:val="clear" w:color="000000" w:fill="548DD4"/>
            <w:vAlign w:val="center"/>
            <w:hideMark/>
          </w:tcPr>
          <w:p w:rsidR="0088514D" w:rsidRPr="00B45B4F" w:rsidRDefault="0088514D" w:rsidP="0088514D">
            <w:pPr>
              <w:spacing w:after="0" w:line="240" w:lineRule="auto"/>
              <w:jc w:val="center"/>
              <w:rPr>
                <w:rFonts w:ascii="Verdana" w:eastAsia="Times New Roman" w:hAnsi="Verdana"/>
                <w:color w:val="FFFFFF"/>
                <w:sz w:val="18"/>
                <w:szCs w:val="18"/>
                <w:lang w:val="bg-BG"/>
              </w:rPr>
            </w:pPr>
            <w:r w:rsidRPr="00B45B4F">
              <w:rPr>
                <w:rFonts w:ascii="Verdana" w:eastAsia="Times New Roman" w:hAnsi="Verdana"/>
                <w:color w:val="FFFFFF"/>
                <w:sz w:val="18"/>
                <w:szCs w:val="18"/>
                <w:lang w:val="bg-BG"/>
              </w:rPr>
              <w:t>ПО 2: Образование и учене през целия живот</w:t>
            </w:r>
          </w:p>
        </w:tc>
        <w:tc>
          <w:tcPr>
            <w:tcW w:w="1931" w:type="dxa"/>
            <w:gridSpan w:val="2"/>
            <w:tcBorders>
              <w:top w:val="single" w:sz="4" w:space="0" w:color="auto"/>
              <w:left w:val="nil"/>
              <w:bottom w:val="single" w:sz="4" w:space="0" w:color="auto"/>
              <w:right w:val="single" w:sz="4" w:space="0" w:color="auto"/>
            </w:tcBorders>
            <w:shd w:val="clear" w:color="000000" w:fill="548DD4"/>
            <w:vAlign w:val="center"/>
            <w:hideMark/>
          </w:tcPr>
          <w:p w:rsidR="0088514D" w:rsidRPr="00B45B4F" w:rsidRDefault="0088514D" w:rsidP="00191491">
            <w:pPr>
              <w:spacing w:after="0" w:line="240" w:lineRule="auto"/>
              <w:ind w:left="-157" w:right="-152"/>
              <w:jc w:val="center"/>
              <w:rPr>
                <w:rFonts w:ascii="Verdana" w:eastAsia="Times New Roman" w:hAnsi="Verdana"/>
                <w:color w:val="FFFFFF"/>
                <w:sz w:val="18"/>
                <w:szCs w:val="18"/>
                <w:lang w:val="bg-BG"/>
              </w:rPr>
            </w:pPr>
            <w:r w:rsidRPr="00B45B4F">
              <w:rPr>
                <w:rFonts w:ascii="Verdana" w:eastAsia="Times New Roman" w:hAnsi="Verdana"/>
                <w:color w:val="FFFFFF"/>
                <w:sz w:val="18"/>
                <w:szCs w:val="18"/>
                <w:lang w:val="bg-BG"/>
              </w:rPr>
              <w:t xml:space="preserve">ПО 3: Образователна среда за активно </w:t>
            </w:r>
            <w:proofErr w:type="spellStart"/>
            <w:r w:rsidRPr="00B45B4F">
              <w:rPr>
                <w:rFonts w:ascii="Verdana" w:eastAsia="Times New Roman" w:hAnsi="Verdana"/>
                <w:color w:val="FFFFFF"/>
                <w:sz w:val="18"/>
                <w:szCs w:val="18"/>
                <w:lang w:val="bg-BG"/>
              </w:rPr>
              <w:t>соц.приобщаване</w:t>
            </w:r>
            <w:proofErr w:type="spellEnd"/>
          </w:p>
        </w:tc>
      </w:tr>
      <w:tr w:rsidR="0088514D" w:rsidRPr="00B45B4F" w:rsidTr="00AF6F4A">
        <w:trPr>
          <w:trHeight w:val="402"/>
        </w:trPr>
        <w:tc>
          <w:tcPr>
            <w:tcW w:w="2825" w:type="dxa"/>
            <w:tcBorders>
              <w:top w:val="nil"/>
              <w:left w:val="single" w:sz="4" w:space="0" w:color="auto"/>
              <w:bottom w:val="single" w:sz="4" w:space="0" w:color="auto"/>
              <w:right w:val="single" w:sz="4" w:space="0" w:color="auto"/>
            </w:tcBorders>
            <w:shd w:val="clear" w:color="auto" w:fill="548DD4" w:themeFill="text2" w:themeFillTint="99"/>
            <w:vAlign w:val="center"/>
            <w:hideMark/>
          </w:tcPr>
          <w:p w:rsidR="0088514D" w:rsidRPr="00B45B4F" w:rsidRDefault="0088514D" w:rsidP="00AF6F4A">
            <w:pPr>
              <w:spacing w:after="0" w:line="240" w:lineRule="auto"/>
              <w:jc w:val="center"/>
              <w:rPr>
                <w:rFonts w:ascii="Verdana" w:eastAsia="Times New Roman" w:hAnsi="Verdana"/>
                <w:bCs/>
                <w:color w:val="FFFFFF"/>
                <w:sz w:val="18"/>
                <w:szCs w:val="18"/>
                <w:lang w:val="bg-BG"/>
              </w:rPr>
            </w:pPr>
            <w:r w:rsidRPr="00B45B4F">
              <w:rPr>
                <w:rFonts w:ascii="Verdana" w:eastAsia="Times New Roman" w:hAnsi="Verdana"/>
                <w:bCs/>
                <w:color w:val="FFFFFF"/>
                <w:sz w:val="18"/>
                <w:szCs w:val="18"/>
                <w:lang w:val="bg-BG"/>
              </w:rPr>
              <w:t>ПРСР</w:t>
            </w:r>
          </w:p>
        </w:tc>
        <w:tc>
          <w:tcPr>
            <w:tcW w:w="1311" w:type="dxa"/>
            <w:tcBorders>
              <w:top w:val="nil"/>
              <w:left w:val="nil"/>
              <w:bottom w:val="single" w:sz="4" w:space="0" w:color="auto"/>
              <w:right w:val="single" w:sz="4" w:space="0" w:color="auto"/>
            </w:tcBorders>
            <w:shd w:val="clear" w:color="000000" w:fill="C6D9F1"/>
            <w:vAlign w:val="center"/>
            <w:hideMark/>
          </w:tcPr>
          <w:p w:rsidR="0088514D" w:rsidRPr="00B45B4F" w:rsidRDefault="0088514D" w:rsidP="00191491">
            <w:pPr>
              <w:spacing w:after="0" w:line="240" w:lineRule="auto"/>
              <w:jc w:val="center"/>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Приоритет</w:t>
            </w:r>
          </w:p>
        </w:tc>
        <w:tc>
          <w:tcPr>
            <w:tcW w:w="821" w:type="dxa"/>
            <w:tcBorders>
              <w:top w:val="nil"/>
              <w:left w:val="nil"/>
              <w:bottom w:val="single" w:sz="4" w:space="0" w:color="auto"/>
              <w:right w:val="single" w:sz="4" w:space="0" w:color="auto"/>
            </w:tcBorders>
            <w:shd w:val="clear" w:color="000000" w:fill="C6D9F1"/>
            <w:vAlign w:val="center"/>
            <w:hideMark/>
          </w:tcPr>
          <w:p w:rsidR="0088514D" w:rsidRPr="00B45B4F" w:rsidRDefault="0088514D" w:rsidP="0088514D">
            <w:pPr>
              <w:spacing w:after="0" w:line="240" w:lineRule="auto"/>
              <w:jc w:val="center"/>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1.1</w:t>
            </w:r>
          </w:p>
        </w:tc>
        <w:tc>
          <w:tcPr>
            <w:tcW w:w="819" w:type="dxa"/>
            <w:tcBorders>
              <w:top w:val="nil"/>
              <w:left w:val="nil"/>
              <w:bottom w:val="single" w:sz="4" w:space="0" w:color="auto"/>
              <w:right w:val="single" w:sz="4" w:space="0" w:color="auto"/>
            </w:tcBorders>
            <w:shd w:val="clear" w:color="000000" w:fill="C6D9F1"/>
            <w:vAlign w:val="center"/>
            <w:hideMark/>
          </w:tcPr>
          <w:p w:rsidR="0088514D" w:rsidRPr="00B45B4F" w:rsidRDefault="0088514D" w:rsidP="0088514D">
            <w:pPr>
              <w:spacing w:after="0" w:line="240" w:lineRule="auto"/>
              <w:jc w:val="center"/>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1.2</w:t>
            </w:r>
          </w:p>
        </w:tc>
        <w:tc>
          <w:tcPr>
            <w:tcW w:w="701" w:type="dxa"/>
            <w:tcBorders>
              <w:top w:val="nil"/>
              <w:left w:val="nil"/>
              <w:bottom w:val="single" w:sz="4" w:space="0" w:color="auto"/>
              <w:right w:val="single" w:sz="4" w:space="0" w:color="auto"/>
            </w:tcBorders>
            <w:shd w:val="clear" w:color="000000" w:fill="C6D9F1"/>
            <w:vAlign w:val="center"/>
            <w:hideMark/>
          </w:tcPr>
          <w:p w:rsidR="0088514D" w:rsidRPr="00B45B4F" w:rsidRDefault="0088514D" w:rsidP="0088514D">
            <w:pPr>
              <w:spacing w:after="0" w:line="240" w:lineRule="auto"/>
              <w:jc w:val="center"/>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2.1</w:t>
            </w:r>
          </w:p>
        </w:tc>
        <w:tc>
          <w:tcPr>
            <w:tcW w:w="701" w:type="dxa"/>
            <w:tcBorders>
              <w:top w:val="nil"/>
              <w:left w:val="nil"/>
              <w:bottom w:val="single" w:sz="4" w:space="0" w:color="auto"/>
              <w:right w:val="single" w:sz="4" w:space="0" w:color="auto"/>
            </w:tcBorders>
            <w:shd w:val="clear" w:color="000000" w:fill="C6D9F1"/>
            <w:vAlign w:val="center"/>
            <w:hideMark/>
          </w:tcPr>
          <w:p w:rsidR="0088514D" w:rsidRPr="00B45B4F" w:rsidRDefault="0088514D" w:rsidP="0088514D">
            <w:pPr>
              <w:spacing w:after="0" w:line="240" w:lineRule="auto"/>
              <w:jc w:val="center"/>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2.2</w:t>
            </w:r>
          </w:p>
        </w:tc>
        <w:tc>
          <w:tcPr>
            <w:tcW w:w="701" w:type="dxa"/>
            <w:tcBorders>
              <w:top w:val="nil"/>
              <w:left w:val="nil"/>
              <w:bottom w:val="single" w:sz="4" w:space="0" w:color="auto"/>
              <w:right w:val="single" w:sz="4" w:space="0" w:color="auto"/>
            </w:tcBorders>
            <w:shd w:val="clear" w:color="000000" w:fill="C6D9F1"/>
            <w:vAlign w:val="center"/>
            <w:hideMark/>
          </w:tcPr>
          <w:p w:rsidR="0088514D" w:rsidRPr="00B45B4F" w:rsidRDefault="0088514D" w:rsidP="0088514D">
            <w:pPr>
              <w:spacing w:after="0" w:line="240" w:lineRule="auto"/>
              <w:jc w:val="center"/>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2.3</w:t>
            </w:r>
          </w:p>
        </w:tc>
        <w:tc>
          <w:tcPr>
            <w:tcW w:w="899" w:type="dxa"/>
            <w:tcBorders>
              <w:top w:val="nil"/>
              <w:left w:val="nil"/>
              <w:bottom w:val="single" w:sz="4" w:space="0" w:color="auto"/>
              <w:right w:val="single" w:sz="4" w:space="0" w:color="auto"/>
            </w:tcBorders>
            <w:shd w:val="clear" w:color="000000" w:fill="C6D9F1"/>
            <w:vAlign w:val="center"/>
            <w:hideMark/>
          </w:tcPr>
          <w:p w:rsidR="0088514D" w:rsidRPr="00B45B4F" w:rsidRDefault="0088514D" w:rsidP="0088514D">
            <w:pPr>
              <w:spacing w:after="0" w:line="240" w:lineRule="auto"/>
              <w:jc w:val="center"/>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3.1</w:t>
            </w:r>
          </w:p>
        </w:tc>
        <w:tc>
          <w:tcPr>
            <w:tcW w:w="1032" w:type="dxa"/>
            <w:tcBorders>
              <w:top w:val="nil"/>
              <w:left w:val="nil"/>
              <w:bottom w:val="single" w:sz="4" w:space="0" w:color="auto"/>
              <w:right w:val="single" w:sz="4" w:space="0" w:color="auto"/>
            </w:tcBorders>
            <w:shd w:val="clear" w:color="000000" w:fill="C6D9F1"/>
            <w:vAlign w:val="center"/>
            <w:hideMark/>
          </w:tcPr>
          <w:p w:rsidR="0088514D" w:rsidRPr="00B45B4F" w:rsidRDefault="0088514D" w:rsidP="0088514D">
            <w:pPr>
              <w:spacing w:after="0" w:line="240" w:lineRule="auto"/>
              <w:jc w:val="center"/>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3.2</w:t>
            </w:r>
          </w:p>
        </w:tc>
      </w:tr>
      <w:tr w:rsidR="0088514D" w:rsidRPr="00B45B4F" w:rsidTr="00AF6F4A">
        <w:trPr>
          <w:trHeight w:val="620"/>
        </w:trPr>
        <w:tc>
          <w:tcPr>
            <w:tcW w:w="2825" w:type="dxa"/>
            <w:vMerge w:val="restart"/>
            <w:tcBorders>
              <w:top w:val="single" w:sz="4" w:space="0" w:color="auto"/>
              <w:left w:val="single" w:sz="4" w:space="0" w:color="auto"/>
              <w:bottom w:val="single" w:sz="4" w:space="0" w:color="auto"/>
              <w:right w:val="single" w:sz="4" w:space="0" w:color="auto"/>
            </w:tcBorders>
            <w:shd w:val="clear" w:color="auto" w:fill="548DD4" w:themeFill="text2" w:themeFillTint="99"/>
            <w:vAlign w:val="center"/>
            <w:hideMark/>
          </w:tcPr>
          <w:p w:rsidR="0088514D" w:rsidRPr="00B45B4F" w:rsidRDefault="0088514D" w:rsidP="00AF6F4A">
            <w:pPr>
              <w:spacing w:after="0" w:line="240" w:lineRule="auto"/>
              <w:ind w:left="-108" w:right="-163"/>
              <w:jc w:val="center"/>
              <w:rPr>
                <w:rFonts w:ascii="Verdana" w:eastAsia="Times New Roman" w:hAnsi="Verdana"/>
                <w:color w:val="FFFFFF"/>
                <w:sz w:val="18"/>
                <w:szCs w:val="18"/>
                <w:lang w:val="bg-BG"/>
              </w:rPr>
            </w:pPr>
            <w:r w:rsidRPr="00B45B4F">
              <w:rPr>
                <w:rFonts w:ascii="Verdana" w:eastAsia="Times New Roman" w:hAnsi="Verdana"/>
                <w:color w:val="FFFFFF"/>
                <w:sz w:val="18"/>
                <w:szCs w:val="18"/>
                <w:lang w:val="bg-BG"/>
              </w:rPr>
              <w:t>Стимулиране на трансфера на знания и иновациите в областта на селското и горското стопанство и селските райони</w:t>
            </w:r>
          </w:p>
        </w:tc>
        <w:tc>
          <w:tcPr>
            <w:tcW w:w="1311" w:type="dxa"/>
            <w:tcBorders>
              <w:top w:val="nil"/>
              <w:left w:val="nil"/>
              <w:bottom w:val="single" w:sz="4" w:space="0" w:color="auto"/>
              <w:right w:val="single" w:sz="4" w:space="0" w:color="auto"/>
            </w:tcBorders>
            <w:shd w:val="clear" w:color="000000" w:fill="C6D9F1"/>
            <w:vAlign w:val="center"/>
            <w:hideMark/>
          </w:tcPr>
          <w:p w:rsidR="0088514D" w:rsidRPr="00B45B4F" w:rsidRDefault="0088514D" w:rsidP="00191491">
            <w:pPr>
              <w:spacing w:after="0" w:line="240" w:lineRule="auto"/>
              <w:jc w:val="center"/>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1А</w:t>
            </w:r>
          </w:p>
        </w:tc>
        <w:tc>
          <w:tcPr>
            <w:tcW w:w="82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819" w:type="dxa"/>
            <w:tcBorders>
              <w:top w:val="nil"/>
              <w:left w:val="nil"/>
              <w:bottom w:val="single" w:sz="4" w:space="0" w:color="auto"/>
              <w:right w:val="single" w:sz="4" w:space="0" w:color="auto"/>
            </w:tcBorders>
            <w:shd w:val="clear" w:color="auto" w:fill="auto"/>
            <w:vAlign w:val="center"/>
            <w:hideMark/>
          </w:tcPr>
          <w:p w:rsidR="0088514D" w:rsidRPr="00B45B4F" w:rsidRDefault="008E57F5" w:rsidP="0088514D">
            <w:pPr>
              <w:spacing w:after="0" w:line="240" w:lineRule="auto"/>
              <w:jc w:val="center"/>
              <w:rPr>
                <w:rFonts w:ascii="Wingdings 2" w:eastAsia="Times New Roman" w:hAnsi="Wingdings 2"/>
                <w:color w:val="0070C0"/>
                <w:sz w:val="26"/>
                <w:szCs w:val="26"/>
                <w:lang w:val="bg-BG"/>
              </w:rPr>
            </w:pPr>
            <w:r w:rsidRPr="00B45B4F">
              <w:rPr>
                <w:rFonts w:ascii="Wingdings 2" w:eastAsia="Times New Roman" w:hAnsi="Wingdings 2"/>
                <w:color w:val="0070C0"/>
                <w:sz w:val="26"/>
                <w:szCs w:val="26"/>
                <w:lang w:val="bg-BG"/>
              </w:rPr>
              <w:t></w:t>
            </w:r>
          </w:p>
        </w:tc>
        <w:tc>
          <w:tcPr>
            <w:tcW w:w="70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70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70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899"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1032"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0000"/>
                <w:sz w:val="26"/>
                <w:szCs w:val="26"/>
                <w:lang w:val="bg-BG"/>
              </w:rPr>
            </w:pPr>
          </w:p>
        </w:tc>
      </w:tr>
      <w:tr w:rsidR="0088514D" w:rsidRPr="00B45B4F" w:rsidTr="00AF6F4A">
        <w:trPr>
          <w:trHeight w:val="390"/>
        </w:trPr>
        <w:tc>
          <w:tcPr>
            <w:tcW w:w="2825" w:type="dxa"/>
            <w:vMerge/>
            <w:tcBorders>
              <w:left w:val="single" w:sz="4" w:space="0" w:color="auto"/>
              <w:bottom w:val="single" w:sz="4" w:space="0" w:color="auto"/>
              <w:right w:val="single" w:sz="4" w:space="0" w:color="auto"/>
            </w:tcBorders>
            <w:shd w:val="clear" w:color="auto" w:fill="548DD4" w:themeFill="text2" w:themeFillTint="99"/>
            <w:vAlign w:val="center"/>
            <w:hideMark/>
          </w:tcPr>
          <w:p w:rsidR="0088514D" w:rsidRPr="00B45B4F" w:rsidRDefault="0088514D" w:rsidP="00AF6F4A">
            <w:pPr>
              <w:spacing w:after="0" w:line="240" w:lineRule="auto"/>
              <w:ind w:left="-108" w:right="-163"/>
              <w:jc w:val="center"/>
              <w:rPr>
                <w:rFonts w:ascii="Verdana" w:eastAsia="Times New Roman" w:hAnsi="Verdana"/>
                <w:color w:val="FFFFFF"/>
                <w:sz w:val="18"/>
                <w:szCs w:val="18"/>
                <w:lang w:val="bg-BG"/>
              </w:rPr>
            </w:pPr>
          </w:p>
        </w:tc>
        <w:tc>
          <w:tcPr>
            <w:tcW w:w="1311" w:type="dxa"/>
            <w:tcBorders>
              <w:top w:val="nil"/>
              <w:left w:val="nil"/>
              <w:bottom w:val="single" w:sz="4" w:space="0" w:color="auto"/>
              <w:right w:val="single" w:sz="4" w:space="0" w:color="auto"/>
            </w:tcBorders>
            <w:shd w:val="clear" w:color="000000" w:fill="C6D9F1"/>
            <w:vAlign w:val="center"/>
            <w:hideMark/>
          </w:tcPr>
          <w:p w:rsidR="0088514D" w:rsidRPr="00B45B4F" w:rsidRDefault="0088514D" w:rsidP="00191491">
            <w:pPr>
              <w:spacing w:after="0" w:line="240" w:lineRule="auto"/>
              <w:jc w:val="center"/>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1Б</w:t>
            </w:r>
          </w:p>
        </w:tc>
        <w:tc>
          <w:tcPr>
            <w:tcW w:w="82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819" w:type="dxa"/>
            <w:tcBorders>
              <w:top w:val="nil"/>
              <w:left w:val="nil"/>
              <w:bottom w:val="single" w:sz="4" w:space="0" w:color="auto"/>
              <w:right w:val="single" w:sz="4" w:space="0" w:color="auto"/>
            </w:tcBorders>
            <w:shd w:val="clear" w:color="auto" w:fill="auto"/>
            <w:vAlign w:val="center"/>
            <w:hideMark/>
          </w:tcPr>
          <w:p w:rsidR="0088514D" w:rsidRPr="00B45B4F" w:rsidRDefault="008E57F5" w:rsidP="0088514D">
            <w:pPr>
              <w:spacing w:after="0" w:line="240" w:lineRule="auto"/>
              <w:jc w:val="center"/>
              <w:rPr>
                <w:rFonts w:ascii="Wingdings 2" w:eastAsia="Times New Roman" w:hAnsi="Wingdings 2"/>
                <w:color w:val="0070C0"/>
                <w:sz w:val="26"/>
                <w:szCs w:val="26"/>
                <w:lang w:val="bg-BG"/>
              </w:rPr>
            </w:pPr>
            <w:r w:rsidRPr="00B45B4F">
              <w:rPr>
                <w:rFonts w:ascii="Wingdings 2" w:eastAsia="Times New Roman" w:hAnsi="Wingdings 2"/>
                <w:color w:val="0070C0"/>
                <w:sz w:val="26"/>
                <w:szCs w:val="26"/>
                <w:lang w:val="bg-BG"/>
              </w:rPr>
              <w:t></w:t>
            </w:r>
          </w:p>
        </w:tc>
        <w:tc>
          <w:tcPr>
            <w:tcW w:w="70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70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70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899"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1032"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0000"/>
                <w:sz w:val="26"/>
                <w:szCs w:val="26"/>
                <w:lang w:val="bg-BG"/>
              </w:rPr>
            </w:pPr>
          </w:p>
        </w:tc>
      </w:tr>
      <w:tr w:rsidR="0088514D" w:rsidRPr="00B45B4F" w:rsidTr="00AF6F4A">
        <w:trPr>
          <w:trHeight w:val="647"/>
        </w:trPr>
        <w:tc>
          <w:tcPr>
            <w:tcW w:w="2825" w:type="dxa"/>
            <w:vMerge w:val="restart"/>
            <w:tcBorders>
              <w:top w:val="single" w:sz="4" w:space="0" w:color="auto"/>
              <w:left w:val="single" w:sz="4" w:space="0" w:color="auto"/>
              <w:right w:val="single" w:sz="4" w:space="0" w:color="auto"/>
            </w:tcBorders>
            <w:shd w:val="clear" w:color="auto" w:fill="548DD4" w:themeFill="text2" w:themeFillTint="99"/>
            <w:vAlign w:val="center"/>
            <w:hideMark/>
          </w:tcPr>
          <w:p w:rsidR="0088514D" w:rsidRPr="00B45B4F" w:rsidRDefault="0088514D" w:rsidP="00AF6F4A">
            <w:pPr>
              <w:spacing w:after="0" w:line="240" w:lineRule="auto"/>
              <w:ind w:left="-108" w:right="-163"/>
              <w:jc w:val="center"/>
              <w:rPr>
                <w:rFonts w:ascii="Verdana" w:eastAsia="Times New Roman" w:hAnsi="Verdana"/>
                <w:color w:val="FFFFFF"/>
                <w:sz w:val="18"/>
                <w:szCs w:val="18"/>
                <w:lang w:val="bg-BG"/>
              </w:rPr>
            </w:pPr>
            <w:r w:rsidRPr="00B45B4F">
              <w:rPr>
                <w:rFonts w:ascii="Verdana" w:eastAsia="Times New Roman" w:hAnsi="Verdana"/>
                <w:color w:val="FFFFFF"/>
                <w:sz w:val="18"/>
                <w:szCs w:val="18"/>
                <w:lang w:val="bg-BG"/>
              </w:rPr>
              <w:t>Увеличаване конкурентоспособността на всички типове земеделие и нарастване жизнеспособността на стопанствата</w:t>
            </w:r>
          </w:p>
        </w:tc>
        <w:tc>
          <w:tcPr>
            <w:tcW w:w="1311" w:type="dxa"/>
            <w:tcBorders>
              <w:top w:val="nil"/>
              <w:left w:val="nil"/>
              <w:bottom w:val="single" w:sz="4" w:space="0" w:color="auto"/>
              <w:right w:val="single" w:sz="4" w:space="0" w:color="auto"/>
            </w:tcBorders>
            <w:shd w:val="clear" w:color="000000" w:fill="C6D9F1"/>
            <w:vAlign w:val="center"/>
            <w:hideMark/>
          </w:tcPr>
          <w:p w:rsidR="0088514D" w:rsidRPr="00B45B4F" w:rsidRDefault="0088514D" w:rsidP="00191491">
            <w:pPr>
              <w:spacing w:after="0" w:line="240" w:lineRule="auto"/>
              <w:jc w:val="center"/>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2А</w:t>
            </w:r>
          </w:p>
        </w:tc>
        <w:tc>
          <w:tcPr>
            <w:tcW w:w="82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r w:rsidRPr="00B45B4F">
              <w:rPr>
                <w:rFonts w:ascii="Wingdings 2" w:eastAsia="Times New Roman" w:hAnsi="Wingdings 2"/>
                <w:color w:val="0070C0"/>
                <w:sz w:val="26"/>
                <w:szCs w:val="26"/>
                <w:lang w:val="bg-BG"/>
              </w:rPr>
              <w:t></w:t>
            </w:r>
          </w:p>
        </w:tc>
        <w:tc>
          <w:tcPr>
            <w:tcW w:w="819"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70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70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70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899"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1032"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0000"/>
                <w:sz w:val="26"/>
                <w:szCs w:val="26"/>
                <w:lang w:val="bg-BG"/>
              </w:rPr>
            </w:pPr>
          </w:p>
        </w:tc>
      </w:tr>
      <w:tr w:rsidR="0088514D" w:rsidRPr="00B45B4F" w:rsidTr="00AF6F4A">
        <w:trPr>
          <w:trHeight w:val="390"/>
        </w:trPr>
        <w:tc>
          <w:tcPr>
            <w:tcW w:w="2825" w:type="dxa"/>
            <w:vMerge/>
            <w:tcBorders>
              <w:left w:val="single" w:sz="4" w:space="0" w:color="auto"/>
              <w:bottom w:val="single" w:sz="4" w:space="0" w:color="auto"/>
              <w:right w:val="single" w:sz="4" w:space="0" w:color="auto"/>
            </w:tcBorders>
            <w:shd w:val="clear" w:color="auto" w:fill="548DD4" w:themeFill="text2" w:themeFillTint="99"/>
            <w:vAlign w:val="center"/>
            <w:hideMark/>
          </w:tcPr>
          <w:p w:rsidR="0088514D" w:rsidRPr="00B45B4F" w:rsidRDefault="0088514D" w:rsidP="00AF6F4A">
            <w:pPr>
              <w:spacing w:after="0" w:line="240" w:lineRule="auto"/>
              <w:ind w:left="-108" w:right="-163"/>
              <w:jc w:val="center"/>
              <w:rPr>
                <w:rFonts w:ascii="Verdana" w:eastAsia="Times New Roman" w:hAnsi="Verdana"/>
                <w:color w:val="FFFFFF"/>
                <w:sz w:val="18"/>
                <w:szCs w:val="18"/>
                <w:lang w:val="bg-BG"/>
              </w:rPr>
            </w:pPr>
          </w:p>
        </w:tc>
        <w:tc>
          <w:tcPr>
            <w:tcW w:w="1311" w:type="dxa"/>
            <w:tcBorders>
              <w:top w:val="nil"/>
              <w:left w:val="nil"/>
              <w:bottom w:val="single" w:sz="4" w:space="0" w:color="auto"/>
              <w:right w:val="single" w:sz="4" w:space="0" w:color="auto"/>
            </w:tcBorders>
            <w:shd w:val="clear" w:color="000000" w:fill="C6D9F1"/>
            <w:vAlign w:val="center"/>
            <w:hideMark/>
          </w:tcPr>
          <w:p w:rsidR="0088514D" w:rsidRPr="00B45B4F" w:rsidRDefault="0088514D" w:rsidP="00191491">
            <w:pPr>
              <w:spacing w:after="0" w:line="240" w:lineRule="auto"/>
              <w:jc w:val="center"/>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2Б</w:t>
            </w:r>
          </w:p>
        </w:tc>
        <w:tc>
          <w:tcPr>
            <w:tcW w:w="82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819"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70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70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70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899"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1032"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0000"/>
                <w:sz w:val="26"/>
                <w:szCs w:val="26"/>
                <w:lang w:val="bg-BG"/>
              </w:rPr>
            </w:pPr>
          </w:p>
        </w:tc>
      </w:tr>
      <w:tr w:rsidR="0088514D" w:rsidRPr="00B45B4F" w:rsidTr="00AF6F4A">
        <w:trPr>
          <w:trHeight w:val="710"/>
        </w:trPr>
        <w:tc>
          <w:tcPr>
            <w:tcW w:w="2825" w:type="dxa"/>
            <w:vMerge w:val="restart"/>
            <w:tcBorders>
              <w:top w:val="nil"/>
              <w:left w:val="single" w:sz="4" w:space="0" w:color="auto"/>
              <w:bottom w:val="single" w:sz="4" w:space="0" w:color="auto"/>
              <w:right w:val="single" w:sz="4" w:space="0" w:color="auto"/>
            </w:tcBorders>
            <w:shd w:val="clear" w:color="auto" w:fill="548DD4" w:themeFill="text2" w:themeFillTint="99"/>
            <w:vAlign w:val="center"/>
            <w:hideMark/>
          </w:tcPr>
          <w:p w:rsidR="0088514D" w:rsidRPr="00B45B4F" w:rsidRDefault="0088514D" w:rsidP="00AF6F4A">
            <w:pPr>
              <w:spacing w:after="0" w:line="240" w:lineRule="auto"/>
              <w:ind w:left="-108" w:right="-163"/>
              <w:jc w:val="center"/>
              <w:rPr>
                <w:rFonts w:ascii="Verdana" w:eastAsia="Times New Roman" w:hAnsi="Verdana"/>
                <w:color w:val="FFFFFF"/>
                <w:sz w:val="18"/>
                <w:szCs w:val="18"/>
                <w:lang w:val="bg-BG"/>
              </w:rPr>
            </w:pPr>
            <w:r w:rsidRPr="00B45B4F">
              <w:rPr>
                <w:rFonts w:ascii="Verdana" w:eastAsia="Times New Roman" w:hAnsi="Verdana"/>
                <w:color w:val="FFFFFF"/>
                <w:sz w:val="18"/>
                <w:szCs w:val="18"/>
                <w:lang w:val="bg-BG"/>
              </w:rPr>
              <w:t>Насърчаване организацията на хранителната верига и управление на риска в земеделието</w:t>
            </w:r>
          </w:p>
        </w:tc>
        <w:tc>
          <w:tcPr>
            <w:tcW w:w="1311" w:type="dxa"/>
            <w:tcBorders>
              <w:top w:val="nil"/>
              <w:left w:val="nil"/>
              <w:bottom w:val="single" w:sz="4" w:space="0" w:color="auto"/>
              <w:right w:val="single" w:sz="4" w:space="0" w:color="auto"/>
            </w:tcBorders>
            <w:shd w:val="clear" w:color="000000" w:fill="C6D9F1"/>
            <w:vAlign w:val="center"/>
            <w:hideMark/>
          </w:tcPr>
          <w:p w:rsidR="0088514D" w:rsidRPr="00B45B4F" w:rsidRDefault="0088514D" w:rsidP="00191491">
            <w:pPr>
              <w:spacing w:after="0" w:line="240" w:lineRule="auto"/>
              <w:jc w:val="center"/>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3А</w:t>
            </w:r>
          </w:p>
        </w:tc>
        <w:tc>
          <w:tcPr>
            <w:tcW w:w="82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819"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701" w:type="dxa"/>
            <w:tcBorders>
              <w:top w:val="nil"/>
              <w:left w:val="nil"/>
              <w:bottom w:val="single" w:sz="4" w:space="0" w:color="auto"/>
              <w:right w:val="single" w:sz="4" w:space="0" w:color="auto"/>
            </w:tcBorders>
            <w:shd w:val="clear" w:color="auto" w:fill="auto"/>
            <w:vAlign w:val="center"/>
            <w:hideMark/>
          </w:tcPr>
          <w:p w:rsidR="0088514D" w:rsidRPr="00B45B4F" w:rsidRDefault="00867D3A" w:rsidP="0088514D">
            <w:pPr>
              <w:spacing w:after="0" w:line="240" w:lineRule="auto"/>
              <w:jc w:val="center"/>
              <w:rPr>
                <w:rFonts w:ascii="Wingdings 2" w:eastAsia="Times New Roman" w:hAnsi="Wingdings 2"/>
                <w:color w:val="0070C0"/>
                <w:sz w:val="26"/>
                <w:szCs w:val="26"/>
                <w:lang w:val="bg-BG"/>
              </w:rPr>
            </w:pPr>
            <w:r w:rsidRPr="00B45B4F">
              <w:rPr>
                <w:rFonts w:ascii="Wingdings 2" w:eastAsia="Times New Roman" w:hAnsi="Wingdings 2"/>
                <w:color w:val="0070C0"/>
                <w:sz w:val="26"/>
                <w:szCs w:val="26"/>
                <w:lang w:val="bg-BG"/>
              </w:rPr>
              <w:t></w:t>
            </w:r>
          </w:p>
        </w:tc>
        <w:tc>
          <w:tcPr>
            <w:tcW w:w="701" w:type="dxa"/>
            <w:tcBorders>
              <w:top w:val="nil"/>
              <w:left w:val="nil"/>
              <w:bottom w:val="single" w:sz="4" w:space="0" w:color="auto"/>
              <w:right w:val="single" w:sz="4" w:space="0" w:color="auto"/>
            </w:tcBorders>
            <w:shd w:val="clear" w:color="auto" w:fill="auto"/>
            <w:vAlign w:val="center"/>
            <w:hideMark/>
          </w:tcPr>
          <w:p w:rsidR="0088514D" w:rsidRPr="00B45B4F" w:rsidRDefault="00867D3A" w:rsidP="0088514D">
            <w:pPr>
              <w:spacing w:after="0" w:line="240" w:lineRule="auto"/>
              <w:jc w:val="center"/>
              <w:rPr>
                <w:rFonts w:ascii="Wingdings 2" w:eastAsia="Times New Roman" w:hAnsi="Wingdings 2"/>
                <w:color w:val="0070C0"/>
                <w:sz w:val="26"/>
                <w:szCs w:val="26"/>
                <w:lang w:val="bg-BG"/>
              </w:rPr>
            </w:pPr>
            <w:r w:rsidRPr="00B45B4F">
              <w:rPr>
                <w:rFonts w:ascii="Wingdings 2" w:eastAsia="Times New Roman" w:hAnsi="Wingdings 2"/>
                <w:color w:val="0070C0"/>
                <w:sz w:val="26"/>
                <w:szCs w:val="26"/>
                <w:lang w:val="bg-BG"/>
              </w:rPr>
              <w:t></w:t>
            </w:r>
          </w:p>
        </w:tc>
        <w:tc>
          <w:tcPr>
            <w:tcW w:w="701" w:type="dxa"/>
            <w:tcBorders>
              <w:top w:val="nil"/>
              <w:left w:val="nil"/>
              <w:bottom w:val="single" w:sz="4" w:space="0" w:color="auto"/>
              <w:right w:val="single" w:sz="4" w:space="0" w:color="auto"/>
            </w:tcBorders>
            <w:shd w:val="clear" w:color="auto" w:fill="auto"/>
            <w:vAlign w:val="center"/>
            <w:hideMark/>
          </w:tcPr>
          <w:p w:rsidR="0088514D" w:rsidRPr="00B45B4F" w:rsidRDefault="00867D3A" w:rsidP="0088514D">
            <w:pPr>
              <w:spacing w:after="0" w:line="240" w:lineRule="auto"/>
              <w:jc w:val="center"/>
              <w:rPr>
                <w:rFonts w:ascii="Wingdings 2" w:eastAsia="Times New Roman" w:hAnsi="Wingdings 2"/>
                <w:color w:val="0070C0"/>
                <w:sz w:val="26"/>
                <w:szCs w:val="26"/>
                <w:lang w:val="bg-BG"/>
              </w:rPr>
            </w:pPr>
            <w:r w:rsidRPr="00B45B4F">
              <w:rPr>
                <w:rFonts w:ascii="Wingdings 2" w:eastAsia="Times New Roman" w:hAnsi="Wingdings 2"/>
                <w:color w:val="0070C0"/>
                <w:sz w:val="26"/>
                <w:szCs w:val="26"/>
                <w:lang w:val="bg-BG"/>
              </w:rPr>
              <w:t></w:t>
            </w:r>
          </w:p>
        </w:tc>
        <w:tc>
          <w:tcPr>
            <w:tcW w:w="899"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1032"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r>
      <w:tr w:rsidR="0088514D" w:rsidRPr="00B45B4F" w:rsidTr="00AF6F4A">
        <w:trPr>
          <w:trHeight w:val="269"/>
        </w:trPr>
        <w:tc>
          <w:tcPr>
            <w:tcW w:w="2825" w:type="dxa"/>
            <w:vMerge/>
            <w:tcBorders>
              <w:top w:val="nil"/>
              <w:left w:val="single" w:sz="4" w:space="0" w:color="auto"/>
              <w:bottom w:val="single" w:sz="4" w:space="0" w:color="auto"/>
              <w:right w:val="single" w:sz="4" w:space="0" w:color="auto"/>
            </w:tcBorders>
            <w:shd w:val="clear" w:color="auto" w:fill="548DD4" w:themeFill="text2" w:themeFillTint="99"/>
            <w:vAlign w:val="center"/>
            <w:hideMark/>
          </w:tcPr>
          <w:p w:rsidR="0088514D" w:rsidRPr="00B45B4F" w:rsidRDefault="0088514D" w:rsidP="00AF6F4A">
            <w:pPr>
              <w:spacing w:after="0" w:line="240" w:lineRule="auto"/>
              <w:ind w:left="-108" w:right="-163"/>
              <w:jc w:val="center"/>
              <w:rPr>
                <w:rFonts w:ascii="Verdana" w:eastAsia="Times New Roman" w:hAnsi="Verdana"/>
                <w:color w:val="FFFFFF"/>
                <w:sz w:val="18"/>
                <w:szCs w:val="18"/>
                <w:lang w:val="bg-BG"/>
              </w:rPr>
            </w:pPr>
          </w:p>
        </w:tc>
        <w:tc>
          <w:tcPr>
            <w:tcW w:w="1311" w:type="dxa"/>
            <w:tcBorders>
              <w:top w:val="nil"/>
              <w:left w:val="nil"/>
              <w:bottom w:val="single" w:sz="4" w:space="0" w:color="auto"/>
              <w:right w:val="single" w:sz="4" w:space="0" w:color="auto"/>
            </w:tcBorders>
            <w:shd w:val="clear" w:color="000000" w:fill="C6D9F1"/>
            <w:vAlign w:val="center"/>
            <w:hideMark/>
          </w:tcPr>
          <w:p w:rsidR="0088514D" w:rsidRPr="00B45B4F" w:rsidRDefault="0088514D" w:rsidP="00191491">
            <w:pPr>
              <w:spacing w:after="0" w:line="240" w:lineRule="auto"/>
              <w:jc w:val="center"/>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3Б</w:t>
            </w:r>
          </w:p>
        </w:tc>
        <w:tc>
          <w:tcPr>
            <w:tcW w:w="82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819"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70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70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70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899"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1032"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r>
      <w:tr w:rsidR="0088514D" w:rsidRPr="00B45B4F" w:rsidTr="00AF6F4A">
        <w:trPr>
          <w:trHeight w:val="390"/>
        </w:trPr>
        <w:tc>
          <w:tcPr>
            <w:tcW w:w="2825" w:type="dxa"/>
            <w:vMerge w:val="restart"/>
            <w:tcBorders>
              <w:top w:val="nil"/>
              <w:left w:val="single" w:sz="4" w:space="0" w:color="auto"/>
              <w:bottom w:val="single" w:sz="4" w:space="0" w:color="auto"/>
              <w:right w:val="single" w:sz="4" w:space="0" w:color="auto"/>
            </w:tcBorders>
            <w:shd w:val="clear" w:color="auto" w:fill="548DD4" w:themeFill="text2" w:themeFillTint="99"/>
            <w:vAlign w:val="center"/>
            <w:hideMark/>
          </w:tcPr>
          <w:p w:rsidR="0088514D" w:rsidRPr="00B45B4F" w:rsidRDefault="0088514D" w:rsidP="00AF6F4A">
            <w:pPr>
              <w:spacing w:after="0" w:line="240" w:lineRule="auto"/>
              <w:ind w:left="-108" w:right="-163"/>
              <w:jc w:val="center"/>
              <w:rPr>
                <w:rFonts w:ascii="Verdana" w:eastAsia="Times New Roman" w:hAnsi="Verdana"/>
                <w:color w:val="FFFFFF"/>
                <w:sz w:val="18"/>
                <w:szCs w:val="18"/>
                <w:lang w:val="bg-BG"/>
              </w:rPr>
            </w:pPr>
            <w:r w:rsidRPr="00B45B4F">
              <w:rPr>
                <w:rFonts w:ascii="Verdana" w:eastAsia="Times New Roman" w:hAnsi="Verdana"/>
                <w:color w:val="FFFFFF"/>
                <w:sz w:val="18"/>
                <w:szCs w:val="18"/>
                <w:lang w:val="bg-BG"/>
              </w:rPr>
              <w:t xml:space="preserve">Възстановяване, опазване и </w:t>
            </w:r>
            <w:r w:rsidRPr="00B45B4F">
              <w:rPr>
                <w:rFonts w:ascii="Verdana" w:eastAsia="Times New Roman" w:hAnsi="Verdana"/>
                <w:color w:val="FFFFFF"/>
                <w:sz w:val="18"/>
                <w:szCs w:val="18"/>
                <w:lang w:val="bg-BG"/>
              </w:rPr>
              <w:lastRenderedPageBreak/>
              <w:t>укрепване на екосистемите, свързани със селското и горското стопанство</w:t>
            </w:r>
          </w:p>
        </w:tc>
        <w:tc>
          <w:tcPr>
            <w:tcW w:w="1311" w:type="dxa"/>
            <w:tcBorders>
              <w:top w:val="nil"/>
              <w:left w:val="nil"/>
              <w:bottom w:val="single" w:sz="4" w:space="0" w:color="auto"/>
              <w:right w:val="single" w:sz="4" w:space="0" w:color="auto"/>
            </w:tcBorders>
            <w:shd w:val="clear" w:color="000000" w:fill="C6D9F1"/>
            <w:vAlign w:val="center"/>
            <w:hideMark/>
          </w:tcPr>
          <w:p w:rsidR="0088514D" w:rsidRPr="00B45B4F" w:rsidRDefault="0088514D" w:rsidP="00191491">
            <w:pPr>
              <w:spacing w:after="0" w:line="240" w:lineRule="auto"/>
              <w:jc w:val="center"/>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lastRenderedPageBreak/>
              <w:t>4А</w:t>
            </w:r>
          </w:p>
        </w:tc>
        <w:tc>
          <w:tcPr>
            <w:tcW w:w="82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819"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70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70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70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899"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1032"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r>
      <w:tr w:rsidR="0088514D" w:rsidRPr="00B45B4F" w:rsidTr="00AF6F4A">
        <w:trPr>
          <w:trHeight w:val="390"/>
        </w:trPr>
        <w:tc>
          <w:tcPr>
            <w:tcW w:w="2825" w:type="dxa"/>
            <w:vMerge/>
            <w:tcBorders>
              <w:top w:val="nil"/>
              <w:left w:val="single" w:sz="4" w:space="0" w:color="auto"/>
              <w:bottom w:val="single" w:sz="4" w:space="0" w:color="auto"/>
              <w:right w:val="single" w:sz="4" w:space="0" w:color="auto"/>
            </w:tcBorders>
            <w:shd w:val="clear" w:color="auto" w:fill="548DD4" w:themeFill="text2" w:themeFillTint="99"/>
            <w:vAlign w:val="center"/>
            <w:hideMark/>
          </w:tcPr>
          <w:p w:rsidR="0088514D" w:rsidRPr="00B45B4F" w:rsidRDefault="0088514D" w:rsidP="00AF6F4A">
            <w:pPr>
              <w:spacing w:after="0" w:line="240" w:lineRule="auto"/>
              <w:ind w:left="-108" w:right="-163"/>
              <w:jc w:val="center"/>
              <w:rPr>
                <w:rFonts w:ascii="Verdana" w:eastAsia="Times New Roman" w:hAnsi="Verdana"/>
                <w:color w:val="FFFFFF"/>
                <w:sz w:val="18"/>
                <w:szCs w:val="18"/>
                <w:lang w:val="bg-BG"/>
              </w:rPr>
            </w:pPr>
          </w:p>
        </w:tc>
        <w:tc>
          <w:tcPr>
            <w:tcW w:w="1311" w:type="dxa"/>
            <w:tcBorders>
              <w:top w:val="nil"/>
              <w:left w:val="nil"/>
              <w:bottom w:val="single" w:sz="4" w:space="0" w:color="auto"/>
              <w:right w:val="single" w:sz="4" w:space="0" w:color="auto"/>
            </w:tcBorders>
            <w:shd w:val="clear" w:color="000000" w:fill="C6D9F1"/>
            <w:vAlign w:val="center"/>
            <w:hideMark/>
          </w:tcPr>
          <w:p w:rsidR="0088514D" w:rsidRPr="00B45B4F" w:rsidRDefault="0088514D" w:rsidP="00191491">
            <w:pPr>
              <w:spacing w:after="0" w:line="240" w:lineRule="auto"/>
              <w:jc w:val="center"/>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4Б</w:t>
            </w:r>
          </w:p>
        </w:tc>
        <w:tc>
          <w:tcPr>
            <w:tcW w:w="82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r w:rsidRPr="00B45B4F">
              <w:rPr>
                <w:rFonts w:ascii="Wingdings 2" w:eastAsia="Times New Roman" w:hAnsi="Wingdings 2"/>
                <w:color w:val="0070C0"/>
                <w:sz w:val="26"/>
                <w:szCs w:val="26"/>
                <w:lang w:val="bg-BG"/>
              </w:rPr>
              <w:t></w:t>
            </w:r>
          </w:p>
        </w:tc>
        <w:tc>
          <w:tcPr>
            <w:tcW w:w="819"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70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70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70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899"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1032"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r>
      <w:tr w:rsidR="0088514D" w:rsidRPr="00B45B4F" w:rsidTr="00AF6F4A">
        <w:trPr>
          <w:trHeight w:val="390"/>
        </w:trPr>
        <w:tc>
          <w:tcPr>
            <w:tcW w:w="2825" w:type="dxa"/>
            <w:vMerge/>
            <w:tcBorders>
              <w:top w:val="nil"/>
              <w:left w:val="single" w:sz="4" w:space="0" w:color="auto"/>
              <w:bottom w:val="single" w:sz="4" w:space="0" w:color="auto"/>
              <w:right w:val="single" w:sz="4" w:space="0" w:color="auto"/>
            </w:tcBorders>
            <w:shd w:val="clear" w:color="auto" w:fill="548DD4" w:themeFill="text2" w:themeFillTint="99"/>
            <w:vAlign w:val="center"/>
            <w:hideMark/>
          </w:tcPr>
          <w:p w:rsidR="0088514D" w:rsidRPr="00B45B4F" w:rsidRDefault="0088514D" w:rsidP="00AF6F4A">
            <w:pPr>
              <w:spacing w:after="0" w:line="240" w:lineRule="auto"/>
              <w:ind w:left="-108" w:right="-163"/>
              <w:jc w:val="center"/>
              <w:rPr>
                <w:rFonts w:ascii="Verdana" w:eastAsia="Times New Roman" w:hAnsi="Verdana"/>
                <w:color w:val="FFFFFF"/>
                <w:sz w:val="18"/>
                <w:szCs w:val="18"/>
                <w:lang w:val="bg-BG"/>
              </w:rPr>
            </w:pPr>
          </w:p>
        </w:tc>
        <w:tc>
          <w:tcPr>
            <w:tcW w:w="1311" w:type="dxa"/>
            <w:tcBorders>
              <w:top w:val="nil"/>
              <w:left w:val="nil"/>
              <w:bottom w:val="single" w:sz="4" w:space="0" w:color="auto"/>
              <w:right w:val="single" w:sz="4" w:space="0" w:color="auto"/>
            </w:tcBorders>
            <w:shd w:val="clear" w:color="000000" w:fill="C6D9F1"/>
            <w:vAlign w:val="center"/>
            <w:hideMark/>
          </w:tcPr>
          <w:p w:rsidR="0088514D" w:rsidRPr="00B45B4F" w:rsidRDefault="0088514D" w:rsidP="00191491">
            <w:pPr>
              <w:spacing w:after="0" w:line="240" w:lineRule="auto"/>
              <w:jc w:val="center"/>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4В</w:t>
            </w:r>
          </w:p>
        </w:tc>
        <w:tc>
          <w:tcPr>
            <w:tcW w:w="82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r w:rsidRPr="00B45B4F">
              <w:rPr>
                <w:rFonts w:ascii="Wingdings 2" w:eastAsia="Times New Roman" w:hAnsi="Wingdings 2"/>
                <w:color w:val="0070C0"/>
                <w:sz w:val="26"/>
                <w:szCs w:val="26"/>
                <w:lang w:val="bg-BG"/>
              </w:rPr>
              <w:t></w:t>
            </w:r>
          </w:p>
        </w:tc>
        <w:tc>
          <w:tcPr>
            <w:tcW w:w="819"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70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70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70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899"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1032"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r>
      <w:tr w:rsidR="0088514D" w:rsidRPr="00B45B4F" w:rsidTr="00AF6F4A">
        <w:trPr>
          <w:trHeight w:val="530"/>
        </w:trPr>
        <w:tc>
          <w:tcPr>
            <w:tcW w:w="2825" w:type="dxa"/>
            <w:vMerge w:val="restart"/>
            <w:tcBorders>
              <w:top w:val="nil"/>
              <w:left w:val="single" w:sz="4" w:space="0" w:color="auto"/>
              <w:bottom w:val="single" w:sz="4" w:space="0" w:color="auto"/>
              <w:right w:val="single" w:sz="4" w:space="0" w:color="auto"/>
            </w:tcBorders>
            <w:shd w:val="clear" w:color="auto" w:fill="548DD4" w:themeFill="text2" w:themeFillTint="99"/>
            <w:vAlign w:val="center"/>
            <w:hideMark/>
          </w:tcPr>
          <w:p w:rsidR="0088514D" w:rsidRPr="00B45B4F" w:rsidRDefault="0088514D" w:rsidP="00AF6F4A">
            <w:pPr>
              <w:spacing w:after="0" w:line="240" w:lineRule="auto"/>
              <w:ind w:left="-108" w:right="-163"/>
              <w:jc w:val="center"/>
              <w:rPr>
                <w:rFonts w:ascii="Verdana" w:eastAsia="Times New Roman" w:hAnsi="Verdana"/>
                <w:color w:val="FFFFFF"/>
                <w:sz w:val="18"/>
                <w:szCs w:val="18"/>
                <w:lang w:val="bg-BG"/>
              </w:rPr>
            </w:pPr>
            <w:r w:rsidRPr="00B45B4F">
              <w:rPr>
                <w:rFonts w:ascii="Verdana" w:eastAsia="Times New Roman" w:hAnsi="Verdana"/>
                <w:color w:val="FFFFFF"/>
                <w:sz w:val="18"/>
                <w:szCs w:val="18"/>
                <w:lang w:val="bg-BG"/>
              </w:rPr>
              <w:t xml:space="preserve">Насърчаване на ефективността на използване на ресурсите и подкрепа на прехода към </w:t>
            </w:r>
            <w:proofErr w:type="spellStart"/>
            <w:r w:rsidRPr="00B45B4F">
              <w:rPr>
                <w:rFonts w:ascii="Verdana" w:eastAsia="Times New Roman" w:hAnsi="Verdana"/>
                <w:color w:val="FFFFFF"/>
                <w:sz w:val="18"/>
                <w:szCs w:val="18"/>
                <w:lang w:val="bg-BG"/>
              </w:rPr>
              <w:t>нисковъглеродна</w:t>
            </w:r>
            <w:proofErr w:type="spellEnd"/>
            <w:r w:rsidRPr="00B45B4F">
              <w:rPr>
                <w:rFonts w:ascii="Verdana" w:eastAsia="Times New Roman" w:hAnsi="Verdana"/>
                <w:color w:val="FFFFFF"/>
                <w:sz w:val="18"/>
                <w:szCs w:val="18"/>
                <w:lang w:val="bg-BG"/>
              </w:rPr>
              <w:t xml:space="preserve"> и устойчива на изменението на климата икономика в секторите земеделие, храни и гори</w:t>
            </w:r>
          </w:p>
        </w:tc>
        <w:tc>
          <w:tcPr>
            <w:tcW w:w="1311" w:type="dxa"/>
            <w:tcBorders>
              <w:top w:val="nil"/>
              <w:left w:val="nil"/>
              <w:bottom w:val="single" w:sz="4" w:space="0" w:color="auto"/>
              <w:right w:val="single" w:sz="4" w:space="0" w:color="auto"/>
            </w:tcBorders>
            <w:shd w:val="clear" w:color="000000" w:fill="C6D9F1"/>
            <w:vAlign w:val="center"/>
            <w:hideMark/>
          </w:tcPr>
          <w:p w:rsidR="0088514D" w:rsidRPr="00B45B4F" w:rsidRDefault="0088514D" w:rsidP="00191491">
            <w:pPr>
              <w:spacing w:after="0" w:line="240" w:lineRule="auto"/>
              <w:jc w:val="center"/>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5А</w:t>
            </w:r>
          </w:p>
        </w:tc>
        <w:tc>
          <w:tcPr>
            <w:tcW w:w="82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r w:rsidRPr="00B45B4F">
              <w:rPr>
                <w:rFonts w:ascii="Wingdings 2" w:eastAsia="Times New Roman" w:hAnsi="Wingdings 2"/>
                <w:color w:val="0070C0"/>
                <w:sz w:val="26"/>
                <w:szCs w:val="26"/>
                <w:lang w:val="bg-BG"/>
              </w:rPr>
              <w:t></w:t>
            </w:r>
          </w:p>
        </w:tc>
        <w:tc>
          <w:tcPr>
            <w:tcW w:w="819"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70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70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70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899"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1032"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r>
      <w:tr w:rsidR="0088514D" w:rsidRPr="00B45B4F" w:rsidTr="00AF6F4A">
        <w:trPr>
          <w:trHeight w:val="413"/>
        </w:trPr>
        <w:tc>
          <w:tcPr>
            <w:tcW w:w="2825" w:type="dxa"/>
            <w:vMerge/>
            <w:tcBorders>
              <w:top w:val="nil"/>
              <w:left w:val="single" w:sz="4" w:space="0" w:color="auto"/>
              <w:bottom w:val="single" w:sz="4" w:space="0" w:color="auto"/>
              <w:right w:val="single" w:sz="4" w:space="0" w:color="auto"/>
            </w:tcBorders>
            <w:shd w:val="clear" w:color="auto" w:fill="548DD4" w:themeFill="text2" w:themeFillTint="99"/>
            <w:vAlign w:val="center"/>
            <w:hideMark/>
          </w:tcPr>
          <w:p w:rsidR="0088514D" w:rsidRPr="00B45B4F" w:rsidRDefault="0088514D" w:rsidP="00AF6F4A">
            <w:pPr>
              <w:spacing w:after="0" w:line="240" w:lineRule="auto"/>
              <w:ind w:left="-108" w:right="-163"/>
              <w:jc w:val="center"/>
              <w:rPr>
                <w:rFonts w:ascii="Verdana" w:eastAsia="Times New Roman" w:hAnsi="Verdana"/>
                <w:color w:val="FFFFFF"/>
                <w:sz w:val="18"/>
                <w:szCs w:val="18"/>
                <w:lang w:val="bg-BG"/>
              </w:rPr>
            </w:pPr>
          </w:p>
        </w:tc>
        <w:tc>
          <w:tcPr>
            <w:tcW w:w="1311" w:type="dxa"/>
            <w:tcBorders>
              <w:top w:val="nil"/>
              <w:left w:val="nil"/>
              <w:bottom w:val="single" w:sz="4" w:space="0" w:color="auto"/>
              <w:right w:val="single" w:sz="4" w:space="0" w:color="auto"/>
            </w:tcBorders>
            <w:shd w:val="clear" w:color="000000" w:fill="C6D9F1"/>
            <w:vAlign w:val="center"/>
            <w:hideMark/>
          </w:tcPr>
          <w:p w:rsidR="0088514D" w:rsidRPr="00B45B4F" w:rsidRDefault="0088514D" w:rsidP="00191491">
            <w:pPr>
              <w:spacing w:after="0" w:line="240" w:lineRule="auto"/>
              <w:jc w:val="center"/>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5Б</w:t>
            </w:r>
          </w:p>
        </w:tc>
        <w:tc>
          <w:tcPr>
            <w:tcW w:w="82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r w:rsidRPr="00B45B4F">
              <w:rPr>
                <w:rFonts w:ascii="Wingdings 2" w:eastAsia="Times New Roman" w:hAnsi="Wingdings 2"/>
                <w:color w:val="0070C0"/>
                <w:sz w:val="26"/>
                <w:szCs w:val="26"/>
                <w:lang w:val="bg-BG"/>
              </w:rPr>
              <w:t></w:t>
            </w:r>
          </w:p>
        </w:tc>
        <w:tc>
          <w:tcPr>
            <w:tcW w:w="819"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701" w:type="dxa"/>
            <w:tcBorders>
              <w:top w:val="nil"/>
              <w:left w:val="nil"/>
              <w:bottom w:val="single" w:sz="4" w:space="0" w:color="auto"/>
              <w:right w:val="single" w:sz="4" w:space="0" w:color="auto"/>
            </w:tcBorders>
            <w:shd w:val="clear" w:color="auto" w:fill="auto"/>
            <w:vAlign w:val="center"/>
            <w:hideMark/>
          </w:tcPr>
          <w:p w:rsidR="0088514D" w:rsidRPr="00B45B4F" w:rsidRDefault="00867D3A" w:rsidP="0088514D">
            <w:pPr>
              <w:spacing w:after="0" w:line="240" w:lineRule="auto"/>
              <w:jc w:val="center"/>
              <w:rPr>
                <w:rFonts w:ascii="Wingdings 2" w:eastAsia="Times New Roman" w:hAnsi="Wingdings 2"/>
                <w:color w:val="0070C0"/>
                <w:sz w:val="26"/>
                <w:szCs w:val="26"/>
                <w:lang w:val="bg-BG"/>
              </w:rPr>
            </w:pPr>
            <w:r w:rsidRPr="00B45B4F">
              <w:rPr>
                <w:rFonts w:ascii="Wingdings 2" w:eastAsia="Times New Roman" w:hAnsi="Wingdings 2"/>
                <w:color w:val="0070C0"/>
                <w:sz w:val="26"/>
                <w:szCs w:val="26"/>
                <w:lang w:val="bg-BG"/>
              </w:rPr>
              <w:t></w:t>
            </w:r>
          </w:p>
        </w:tc>
        <w:tc>
          <w:tcPr>
            <w:tcW w:w="701" w:type="dxa"/>
            <w:tcBorders>
              <w:top w:val="nil"/>
              <w:left w:val="nil"/>
              <w:bottom w:val="single" w:sz="4" w:space="0" w:color="auto"/>
              <w:right w:val="single" w:sz="4" w:space="0" w:color="auto"/>
            </w:tcBorders>
            <w:shd w:val="clear" w:color="auto" w:fill="auto"/>
            <w:vAlign w:val="center"/>
            <w:hideMark/>
          </w:tcPr>
          <w:p w:rsidR="0088514D" w:rsidRPr="00B45B4F" w:rsidRDefault="00867D3A" w:rsidP="0088514D">
            <w:pPr>
              <w:spacing w:after="0" w:line="240" w:lineRule="auto"/>
              <w:jc w:val="center"/>
              <w:rPr>
                <w:rFonts w:ascii="Wingdings 2" w:eastAsia="Times New Roman" w:hAnsi="Wingdings 2"/>
                <w:color w:val="0070C0"/>
                <w:sz w:val="26"/>
                <w:szCs w:val="26"/>
                <w:lang w:val="bg-BG"/>
              </w:rPr>
            </w:pPr>
            <w:r w:rsidRPr="00B45B4F">
              <w:rPr>
                <w:rFonts w:ascii="Wingdings 2" w:eastAsia="Times New Roman" w:hAnsi="Wingdings 2"/>
                <w:color w:val="0070C0"/>
                <w:sz w:val="26"/>
                <w:szCs w:val="26"/>
                <w:lang w:val="bg-BG"/>
              </w:rPr>
              <w:t></w:t>
            </w:r>
          </w:p>
        </w:tc>
        <w:tc>
          <w:tcPr>
            <w:tcW w:w="701" w:type="dxa"/>
            <w:tcBorders>
              <w:top w:val="nil"/>
              <w:left w:val="nil"/>
              <w:bottom w:val="single" w:sz="4" w:space="0" w:color="auto"/>
              <w:right w:val="single" w:sz="4" w:space="0" w:color="auto"/>
            </w:tcBorders>
            <w:shd w:val="clear" w:color="auto" w:fill="auto"/>
            <w:vAlign w:val="center"/>
            <w:hideMark/>
          </w:tcPr>
          <w:p w:rsidR="0088514D" w:rsidRPr="00B45B4F" w:rsidRDefault="00867D3A" w:rsidP="0088514D">
            <w:pPr>
              <w:spacing w:after="0" w:line="240" w:lineRule="auto"/>
              <w:jc w:val="center"/>
              <w:rPr>
                <w:rFonts w:ascii="Wingdings 2" w:eastAsia="Times New Roman" w:hAnsi="Wingdings 2"/>
                <w:color w:val="0070C0"/>
                <w:sz w:val="26"/>
                <w:szCs w:val="26"/>
                <w:lang w:val="bg-BG"/>
              </w:rPr>
            </w:pPr>
            <w:r w:rsidRPr="00B45B4F">
              <w:rPr>
                <w:rFonts w:ascii="Wingdings 2" w:eastAsia="Times New Roman" w:hAnsi="Wingdings 2"/>
                <w:color w:val="0070C0"/>
                <w:sz w:val="26"/>
                <w:szCs w:val="26"/>
                <w:lang w:val="bg-BG"/>
              </w:rPr>
              <w:t></w:t>
            </w:r>
          </w:p>
        </w:tc>
        <w:tc>
          <w:tcPr>
            <w:tcW w:w="899"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1032"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r>
      <w:tr w:rsidR="0088514D" w:rsidRPr="00B45B4F" w:rsidTr="00AF6F4A">
        <w:trPr>
          <w:trHeight w:val="512"/>
        </w:trPr>
        <w:tc>
          <w:tcPr>
            <w:tcW w:w="2825" w:type="dxa"/>
            <w:vMerge/>
            <w:tcBorders>
              <w:top w:val="nil"/>
              <w:left w:val="single" w:sz="4" w:space="0" w:color="auto"/>
              <w:bottom w:val="single" w:sz="4" w:space="0" w:color="auto"/>
              <w:right w:val="single" w:sz="4" w:space="0" w:color="auto"/>
            </w:tcBorders>
            <w:shd w:val="clear" w:color="auto" w:fill="548DD4" w:themeFill="text2" w:themeFillTint="99"/>
            <w:vAlign w:val="center"/>
            <w:hideMark/>
          </w:tcPr>
          <w:p w:rsidR="0088514D" w:rsidRPr="00B45B4F" w:rsidRDefault="0088514D" w:rsidP="00AF6F4A">
            <w:pPr>
              <w:spacing w:after="0" w:line="240" w:lineRule="auto"/>
              <w:ind w:left="-108" w:right="-163"/>
              <w:jc w:val="center"/>
              <w:rPr>
                <w:rFonts w:ascii="Verdana" w:eastAsia="Times New Roman" w:hAnsi="Verdana"/>
                <w:color w:val="FFFFFF"/>
                <w:sz w:val="18"/>
                <w:szCs w:val="18"/>
                <w:lang w:val="bg-BG"/>
              </w:rPr>
            </w:pPr>
          </w:p>
        </w:tc>
        <w:tc>
          <w:tcPr>
            <w:tcW w:w="1311" w:type="dxa"/>
            <w:tcBorders>
              <w:top w:val="nil"/>
              <w:left w:val="nil"/>
              <w:bottom w:val="single" w:sz="4" w:space="0" w:color="auto"/>
              <w:right w:val="single" w:sz="4" w:space="0" w:color="auto"/>
            </w:tcBorders>
            <w:shd w:val="clear" w:color="000000" w:fill="C6D9F1"/>
            <w:vAlign w:val="center"/>
            <w:hideMark/>
          </w:tcPr>
          <w:p w:rsidR="0088514D" w:rsidRPr="00B45B4F" w:rsidRDefault="0088514D" w:rsidP="00191491">
            <w:pPr>
              <w:spacing w:after="0" w:line="240" w:lineRule="auto"/>
              <w:jc w:val="center"/>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5В</w:t>
            </w:r>
          </w:p>
        </w:tc>
        <w:tc>
          <w:tcPr>
            <w:tcW w:w="82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r w:rsidRPr="00B45B4F">
              <w:rPr>
                <w:rFonts w:ascii="Wingdings 2" w:eastAsia="Times New Roman" w:hAnsi="Wingdings 2"/>
                <w:color w:val="0070C0"/>
                <w:sz w:val="26"/>
                <w:szCs w:val="26"/>
                <w:lang w:val="bg-BG"/>
              </w:rPr>
              <w:t></w:t>
            </w:r>
          </w:p>
        </w:tc>
        <w:tc>
          <w:tcPr>
            <w:tcW w:w="819"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70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70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70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899"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1032"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r>
      <w:tr w:rsidR="0088514D" w:rsidRPr="00B45B4F" w:rsidTr="00AF6F4A">
        <w:trPr>
          <w:trHeight w:val="548"/>
        </w:trPr>
        <w:tc>
          <w:tcPr>
            <w:tcW w:w="2825" w:type="dxa"/>
            <w:vMerge/>
            <w:tcBorders>
              <w:top w:val="nil"/>
              <w:left w:val="single" w:sz="4" w:space="0" w:color="auto"/>
              <w:bottom w:val="single" w:sz="4" w:space="0" w:color="auto"/>
              <w:right w:val="single" w:sz="4" w:space="0" w:color="auto"/>
            </w:tcBorders>
            <w:shd w:val="clear" w:color="auto" w:fill="548DD4" w:themeFill="text2" w:themeFillTint="99"/>
            <w:vAlign w:val="center"/>
            <w:hideMark/>
          </w:tcPr>
          <w:p w:rsidR="0088514D" w:rsidRPr="00B45B4F" w:rsidRDefault="0088514D" w:rsidP="00AF6F4A">
            <w:pPr>
              <w:spacing w:after="0" w:line="240" w:lineRule="auto"/>
              <w:ind w:left="-108" w:right="-163"/>
              <w:jc w:val="center"/>
              <w:rPr>
                <w:rFonts w:ascii="Verdana" w:eastAsia="Times New Roman" w:hAnsi="Verdana"/>
                <w:color w:val="FFFFFF"/>
                <w:sz w:val="18"/>
                <w:szCs w:val="18"/>
                <w:lang w:val="bg-BG"/>
              </w:rPr>
            </w:pPr>
          </w:p>
        </w:tc>
        <w:tc>
          <w:tcPr>
            <w:tcW w:w="1311" w:type="dxa"/>
            <w:tcBorders>
              <w:top w:val="nil"/>
              <w:left w:val="nil"/>
              <w:bottom w:val="single" w:sz="4" w:space="0" w:color="auto"/>
              <w:right w:val="single" w:sz="4" w:space="0" w:color="auto"/>
            </w:tcBorders>
            <w:shd w:val="clear" w:color="000000" w:fill="C6D9F1"/>
            <w:vAlign w:val="center"/>
            <w:hideMark/>
          </w:tcPr>
          <w:p w:rsidR="0088514D" w:rsidRPr="00B45B4F" w:rsidRDefault="0088514D" w:rsidP="00191491">
            <w:pPr>
              <w:spacing w:after="0" w:line="240" w:lineRule="auto"/>
              <w:jc w:val="center"/>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5Г</w:t>
            </w:r>
          </w:p>
        </w:tc>
        <w:tc>
          <w:tcPr>
            <w:tcW w:w="82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r w:rsidRPr="00B45B4F">
              <w:rPr>
                <w:rFonts w:ascii="Wingdings 2" w:eastAsia="Times New Roman" w:hAnsi="Wingdings 2"/>
                <w:color w:val="0070C0"/>
                <w:sz w:val="26"/>
                <w:szCs w:val="26"/>
                <w:lang w:val="bg-BG"/>
              </w:rPr>
              <w:t></w:t>
            </w:r>
          </w:p>
        </w:tc>
        <w:tc>
          <w:tcPr>
            <w:tcW w:w="819"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70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70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70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899"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1032"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r>
      <w:tr w:rsidR="0088514D" w:rsidRPr="00B45B4F" w:rsidTr="00AF6F4A">
        <w:trPr>
          <w:trHeight w:val="251"/>
        </w:trPr>
        <w:tc>
          <w:tcPr>
            <w:tcW w:w="2825" w:type="dxa"/>
            <w:vMerge/>
            <w:tcBorders>
              <w:top w:val="nil"/>
              <w:left w:val="single" w:sz="4" w:space="0" w:color="auto"/>
              <w:bottom w:val="single" w:sz="4" w:space="0" w:color="auto"/>
              <w:right w:val="single" w:sz="4" w:space="0" w:color="auto"/>
            </w:tcBorders>
            <w:shd w:val="clear" w:color="auto" w:fill="548DD4" w:themeFill="text2" w:themeFillTint="99"/>
            <w:vAlign w:val="center"/>
            <w:hideMark/>
          </w:tcPr>
          <w:p w:rsidR="0088514D" w:rsidRPr="00B45B4F" w:rsidRDefault="0088514D" w:rsidP="00AF6F4A">
            <w:pPr>
              <w:spacing w:after="0" w:line="240" w:lineRule="auto"/>
              <w:ind w:left="-108" w:right="-163"/>
              <w:jc w:val="center"/>
              <w:rPr>
                <w:rFonts w:ascii="Verdana" w:eastAsia="Times New Roman" w:hAnsi="Verdana"/>
                <w:color w:val="FFFFFF"/>
                <w:sz w:val="18"/>
                <w:szCs w:val="18"/>
                <w:lang w:val="bg-BG"/>
              </w:rPr>
            </w:pPr>
          </w:p>
        </w:tc>
        <w:tc>
          <w:tcPr>
            <w:tcW w:w="1311" w:type="dxa"/>
            <w:tcBorders>
              <w:top w:val="nil"/>
              <w:left w:val="nil"/>
              <w:bottom w:val="single" w:sz="4" w:space="0" w:color="auto"/>
              <w:right w:val="single" w:sz="4" w:space="0" w:color="auto"/>
            </w:tcBorders>
            <w:shd w:val="clear" w:color="000000" w:fill="C6D9F1"/>
            <w:vAlign w:val="center"/>
            <w:hideMark/>
          </w:tcPr>
          <w:p w:rsidR="0088514D" w:rsidRPr="00B45B4F" w:rsidRDefault="0088514D" w:rsidP="00191491">
            <w:pPr>
              <w:spacing w:after="0" w:line="240" w:lineRule="auto"/>
              <w:jc w:val="center"/>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5Д</w:t>
            </w:r>
          </w:p>
        </w:tc>
        <w:tc>
          <w:tcPr>
            <w:tcW w:w="82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r w:rsidRPr="00B45B4F">
              <w:rPr>
                <w:rFonts w:ascii="Wingdings 2" w:eastAsia="Times New Roman" w:hAnsi="Wingdings 2"/>
                <w:color w:val="0070C0"/>
                <w:sz w:val="26"/>
                <w:szCs w:val="26"/>
                <w:lang w:val="bg-BG"/>
              </w:rPr>
              <w:t></w:t>
            </w:r>
          </w:p>
        </w:tc>
        <w:tc>
          <w:tcPr>
            <w:tcW w:w="819"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70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70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70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899"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1032"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r>
      <w:tr w:rsidR="0088514D" w:rsidRPr="00B45B4F" w:rsidTr="00AF6F4A">
        <w:trPr>
          <w:trHeight w:val="422"/>
        </w:trPr>
        <w:tc>
          <w:tcPr>
            <w:tcW w:w="2825" w:type="dxa"/>
            <w:vMerge w:val="restart"/>
            <w:tcBorders>
              <w:top w:val="nil"/>
              <w:left w:val="single" w:sz="4" w:space="0" w:color="auto"/>
              <w:bottom w:val="single" w:sz="4" w:space="0" w:color="auto"/>
              <w:right w:val="single" w:sz="4" w:space="0" w:color="auto"/>
            </w:tcBorders>
            <w:shd w:val="clear" w:color="auto" w:fill="548DD4" w:themeFill="text2" w:themeFillTint="99"/>
            <w:vAlign w:val="center"/>
            <w:hideMark/>
          </w:tcPr>
          <w:p w:rsidR="0088514D" w:rsidRPr="00B45B4F" w:rsidRDefault="0088514D" w:rsidP="00AF6F4A">
            <w:pPr>
              <w:spacing w:after="0" w:line="240" w:lineRule="auto"/>
              <w:ind w:left="-108" w:right="-163"/>
              <w:jc w:val="center"/>
              <w:rPr>
                <w:rFonts w:ascii="Verdana" w:eastAsia="Times New Roman" w:hAnsi="Verdana"/>
                <w:color w:val="FFFFFF"/>
                <w:sz w:val="18"/>
                <w:szCs w:val="18"/>
                <w:lang w:val="bg-BG"/>
              </w:rPr>
            </w:pPr>
            <w:r w:rsidRPr="00B45B4F">
              <w:rPr>
                <w:rFonts w:ascii="Verdana" w:eastAsia="Times New Roman" w:hAnsi="Verdana"/>
                <w:color w:val="FFFFFF"/>
                <w:sz w:val="18"/>
                <w:szCs w:val="18"/>
                <w:lang w:val="bg-BG"/>
              </w:rPr>
              <w:t>Възстановяване, опазване и укрепване на екосистемите, свързани със селското и горското стопанство</w:t>
            </w:r>
          </w:p>
        </w:tc>
        <w:tc>
          <w:tcPr>
            <w:tcW w:w="1311" w:type="dxa"/>
            <w:tcBorders>
              <w:top w:val="nil"/>
              <w:left w:val="nil"/>
              <w:bottom w:val="single" w:sz="4" w:space="0" w:color="auto"/>
              <w:right w:val="single" w:sz="4" w:space="0" w:color="auto"/>
            </w:tcBorders>
            <w:shd w:val="clear" w:color="000000" w:fill="C6D9F1"/>
            <w:vAlign w:val="center"/>
            <w:hideMark/>
          </w:tcPr>
          <w:p w:rsidR="0088514D" w:rsidRPr="00B45B4F" w:rsidRDefault="0088514D" w:rsidP="00191491">
            <w:pPr>
              <w:spacing w:after="0" w:line="240" w:lineRule="auto"/>
              <w:jc w:val="center"/>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6А</w:t>
            </w:r>
          </w:p>
        </w:tc>
        <w:tc>
          <w:tcPr>
            <w:tcW w:w="82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819"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70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70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70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899"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1032"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r>
      <w:tr w:rsidR="0088514D" w:rsidRPr="00B45B4F" w:rsidTr="00AF6F4A">
        <w:trPr>
          <w:trHeight w:val="350"/>
        </w:trPr>
        <w:tc>
          <w:tcPr>
            <w:tcW w:w="2825" w:type="dxa"/>
            <w:vMerge/>
            <w:tcBorders>
              <w:top w:val="nil"/>
              <w:left w:val="single" w:sz="4" w:space="0" w:color="auto"/>
              <w:bottom w:val="single" w:sz="4" w:space="0" w:color="auto"/>
              <w:right w:val="single" w:sz="4" w:space="0" w:color="auto"/>
            </w:tcBorders>
            <w:shd w:val="clear" w:color="auto" w:fill="548DD4" w:themeFill="text2" w:themeFillTint="99"/>
            <w:vAlign w:val="center"/>
            <w:hideMark/>
          </w:tcPr>
          <w:p w:rsidR="0088514D" w:rsidRPr="00B45B4F" w:rsidRDefault="0088514D" w:rsidP="0088514D">
            <w:pPr>
              <w:spacing w:after="0" w:line="240" w:lineRule="auto"/>
              <w:rPr>
                <w:rFonts w:ascii="Verdana" w:eastAsia="Times New Roman" w:hAnsi="Verdana"/>
                <w:color w:val="FFFFFF"/>
                <w:sz w:val="20"/>
                <w:szCs w:val="20"/>
                <w:lang w:val="bg-BG"/>
              </w:rPr>
            </w:pPr>
          </w:p>
        </w:tc>
        <w:tc>
          <w:tcPr>
            <w:tcW w:w="1311" w:type="dxa"/>
            <w:tcBorders>
              <w:top w:val="nil"/>
              <w:left w:val="nil"/>
              <w:bottom w:val="single" w:sz="4" w:space="0" w:color="auto"/>
              <w:right w:val="single" w:sz="4" w:space="0" w:color="auto"/>
            </w:tcBorders>
            <w:shd w:val="clear" w:color="000000" w:fill="C6D9F1"/>
            <w:vAlign w:val="center"/>
            <w:hideMark/>
          </w:tcPr>
          <w:p w:rsidR="0088514D" w:rsidRPr="00B45B4F" w:rsidRDefault="0088514D" w:rsidP="00191491">
            <w:pPr>
              <w:spacing w:after="0" w:line="240" w:lineRule="auto"/>
              <w:jc w:val="center"/>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6Б</w:t>
            </w:r>
          </w:p>
        </w:tc>
        <w:tc>
          <w:tcPr>
            <w:tcW w:w="82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819"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701" w:type="dxa"/>
            <w:tcBorders>
              <w:top w:val="nil"/>
              <w:left w:val="nil"/>
              <w:bottom w:val="single" w:sz="4" w:space="0" w:color="auto"/>
              <w:right w:val="single" w:sz="4" w:space="0" w:color="auto"/>
            </w:tcBorders>
            <w:shd w:val="clear" w:color="auto" w:fill="auto"/>
            <w:vAlign w:val="center"/>
            <w:hideMark/>
          </w:tcPr>
          <w:p w:rsidR="0088514D" w:rsidRPr="00B45B4F" w:rsidRDefault="00867D3A" w:rsidP="0088514D">
            <w:pPr>
              <w:spacing w:after="0" w:line="240" w:lineRule="auto"/>
              <w:jc w:val="center"/>
              <w:rPr>
                <w:rFonts w:ascii="Wingdings 2" w:eastAsia="Times New Roman" w:hAnsi="Wingdings 2"/>
                <w:color w:val="0070C0"/>
                <w:sz w:val="26"/>
                <w:szCs w:val="26"/>
                <w:lang w:val="bg-BG"/>
              </w:rPr>
            </w:pPr>
            <w:r w:rsidRPr="00B45B4F">
              <w:rPr>
                <w:rFonts w:ascii="Wingdings 2" w:eastAsia="Times New Roman" w:hAnsi="Wingdings 2"/>
                <w:color w:val="0070C0"/>
                <w:sz w:val="26"/>
                <w:szCs w:val="26"/>
                <w:lang w:val="bg-BG"/>
              </w:rPr>
              <w:t></w:t>
            </w:r>
          </w:p>
        </w:tc>
        <w:tc>
          <w:tcPr>
            <w:tcW w:w="701" w:type="dxa"/>
            <w:tcBorders>
              <w:top w:val="nil"/>
              <w:left w:val="nil"/>
              <w:bottom w:val="single" w:sz="4" w:space="0" w:color="auto"/>
              <w:right w:val="single" w:sz="4" w:space="0" w:color="auto"/>
            </w:tcBorders>
            <w:shd w:val="clear" w:color="auto" w:fill="auto"/>
            <w:vAlign w:val="center"/>
            <w:hideMark/>
          </w:tcPr>
          <w:p w:rsidR="0088514D" w:rsidRPr="00B45B4F" w:rsidRDefault="00867D3A" w:rsidP="0088514D">
            <w:pPr>
              <w:spacing w:after="0" w:line="240" w:lineRule="auto"/>
              <w:jc w:val="center"/>
              <w:rPr>
                <w:rFonts w:ascii="Wingdings 2" w:eastAsia="Times New Roman" w:hAnsi="Wingdings 2"/>
                <w:color w:val="0070C0"/>
                <w:sz w:val="26"/>
                <w:szCs w:val="26"/>
                <w:lang w:val="bg-BG"/>
              </w:rPr>
            </w:pPr>
            <w:r w:rsidRPr="00B45B4F">
              <w:rPr>
                <w:rFonts w:ascii="Wingdings 2" w:eastAsia="Times New Roman" w:hAnsi="Wingdings 2"/>
                <w:color w:val="0070C0"/>
                <w:sz w:val="26"/>
                <w:szCs w:val="26"/>
                <w:lang w:val="bg-BG"/>
              </w:rPr>
              <w:t></w:t>
            </w:r>
          </w:p>
        </w:tc>
        <w:tc>
          <w:tcPr>
            <w:tcW w:w="701" w:type="dxa"/>
            <w:tcBorders>
              <w:top w:val="nil"/>
              <w:left w:val="nil"/>
              <w:bottom w:val="single" w:sz="4" w:space="0" w:color="auto"/>
              <w:right w:val="single" w:sz="4" w:space="0" w:color="auto"/>
            </w:tcBorders>
            <w:shd w:val="clear" w:color="auto" w:fill="auto"/>
            <w:vAlign w:val="center"/>
            <w:hideMark/>
          </w:tcPr>
          <w:p w:rsidR="0088514D" w:rsidRPr="00B45B4F" w:rsidRDefault="00867D3A" w:rsidP="0088514D">
            <w:pPr>
              <w:spacing w:after="0" w:line="240" w:lineRule="auto"/>
              <w:jc w:val="center"/>
              <w:rPr>
                <w:rFonts w:ascii="Wingdings 2" w:eastAsia="Times New Roman" w:hAnsi="Wingdings 2"/>
                <w:color w:val="0070C0"/>
                <w:sz w:val="26"/>
                <w:szCs w:val="26"/>
                <w:lang w:val="bg-BG"/>
              </w:rPr>
            </w:pPr>
            <w:r w:rsidRPr="00B45B4F">
              <w:rPr>
                <w:rFonts w:ascii="Wingdings 2" w:eastAsia="Times New Roman" w:hAnsi="Wingdings 2"/>
                <w:color w:val="0070C0"/>
                <w:sz w:val="26"/>
                <w:szCs w:val="26"/>
                <w:lang w:val="bg-BG"/>
              </w:rPr>
              <w:t></w:t>
            </w:r>
          </w:p>
        </w:tc>
        <w:tc>
          <w:tcPr>
            <w:tcW w:w="899"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1032"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r>
      <w:tr w:rsidR="0088514D" w:rsidRPr="00B45B4F" w:rsidTr="00AF6F4A">
        <w:trPr>
          <w:trHeight w:val="260"/>
        </w:trPr>
        <w:tc>
          <w:tcPr>
            <w:tcW w:w="2825" w:type="dxa"/>
            <w:vMerge/>
            <w:tcBorders>
              <w:top w:val="nil"/>
              <w:left w:val="single" w:sz="4" w:space="0" w:color="auto"/>
              <w:bottom w:val="single" w:sz="4" w:space="0" w:color="auto"/>
              <w:right w:val="single" w:sz="4" w:space="0" w:color="auto"/>
            </w:tcBorders>
            <w:shd w:val="clear" w:color="auto" w:fill="548DD4" w:themeFill="text2" w:themeFillTint="99"/>
            <w:vAlign w:val="center"/>
            <w:hideMark/>
          </w:tcPr>
          <w:p w:rsidR="0088514D" w:rsidRPr="00B45B4F" w:rsidRDefault="0088514D" w:rsidP="0088514D">
            <w:pPr>
              <w:spacing w:after="0" w:line="240" w:lineRule="auto"/>
              <w:rPr>
                <w:rFonts w:ascii="Verdana" w:eastAsia="Times New Roman" w:hAnsi="Verdana"/>
                <w:color w:val="FFFFFF"/>
                <w:sz w:val="20"/>
                <w:szCs w:val="20"/>
                <w:lang w:val="bg-BG"/>
              </w:rPr>
            </w:pPr>
          </w:p>
        </w:tc>
        <w:tc>
          <w:tcPr>
            <w:tcW w:w="1311" w:type="dxa"/>
            <w:tcBorders>
              <w:top w:val="nil"/>
              <w:left w:val="nil"/>
              <w:bottom w:val="single" w:sz="4" w:space="0" w:color="auto"/>
              <w:right w:val="single" w:sz="4" w:space="0" w:color="auto"/>
            </w:tcBorders>
            <w:shd w:val="clear" w:color="000000" w:fill="C6D9F1"/>
            <w:vAlign w:val="center"/>
            <w:hideMark/>
          </w:tcPr>
          <w:p w:rsidR="0088514D" w:rsidRPr="00B45B4F" w:rsidRDefault="0088514D" w:rsidP="00191491">
            <w:pPr>
              <w:spacing w:after="0" w:line="240" w:lineRule="auto"/>
              <w:jc w:val="center"/>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6В</w:t>
            </w:r>
          </w:p>
        </w:tc>
        <w:tc>
          <w:tcPr>
            <w:tcW w:w="82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819"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70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70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701"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899"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c>
          <w:tcPr>
            <w:tcW w:w="1032" w:type="dxa"/>
            <w:tcBorders>
              <w:top w:val="nil"/>
              <w:left w:val="nil"/>
              <w:bottom w:val="single" w:sz="4" w:space="0" w:color="auto"/>
              <w:right w:val="single" w:sz="4" w:space="0" w:color="auto"/>
            </w:tcBorders>
            <w:shd w:val="clear" w:color="auto" w:fill="auto"/>
            <w:vAlign w:val="center"/>
            <w:hideMark/>
          </w:tcPr>
          <w:p w:rsidR="0088514D" w:rsidRPr="00B45B4F" w:rsidRDefault="0088514D" w:rsidP="0088514D">
            <w:pPr>
              <w:spacing w:after="0" w:line="240" w:lineRule="auto"/>
              <w:jc w:val="center"/>
              <w:rPr>
                <w:rFonts w:ascii="Wingdings 2" w:eastAsia="Times New Roman" w:hAnsi="Wingdings 2"/>
                <w:color w:val="0070C0"/>
                <w:sz w:val="26"/>
                <w:szCs w:val="26"/>
                <w:lang w:val="bg-BG"/>
              </w:rPr>
            </w:pPr>
          </w:p>
        </w:tc>
      </w:tr>
    </w:tbl>
    <w:p w:rsidR="008410DF" w:rsidRPr="00B45B4F" w:rsidRDefault="008410DF" w:rsidP="008410DF">
      <w:pPr>
        <w:spacing w:before="120"/>
        <w:rPr>
          <w:rFonts w:ascii="Verdana" w:hAnsi="Verdana"/>
          <w:i/>
          <w:sz w:val="18"/>
          <w:szCs w:val="18"/>
          <w:lang w:val="bg-BG" w:eastAsia="bg-BG"/>
        </w:rPr>
      </w:pPr>
      <w:r w:rsidRPr="00B45B4F">
        <w:rPr>
          <w:rFonts w:ascii="Verdana" w:hAnsi="Verdana"/>
          <w:i/>
          <w:sz w:val="18"/>
          <w:szCs w:val="18"/>
          <w:lang w:val="bg-BG" w:eastAsia="bg-BG"/>
        </w:rPr>
        <w:t xml:space="preserve">Легенда: </w:t>
      </w:r>
      <w:r w:rsidRPr="00B45B4F">
        <w:rPr>
          <w:rFonts w:ascii="Wingdings 2" w:eastAsia="Times New Roman" w:hAnsi="Wingdings 2"/>
          <w:color w:val="0070C0"/>
          <w:sz w:val="26"/>
          <w:szCs w:val="26"/>
          <w:lang w:val="bg-BG"/>
        </w:rPr>
        <w:t></w:t>
      </w:r>
      <w:r w:rsidRPr="00B45B4F">
        <w:rPr>
          <w:rFonts w:ascii="Verdana" w:eastAsia="Times New Roman" w:hAnsi="Verdana"/>
          <w:i/>
          <w:sz w:val="18"/>
          <w:szCs w:val="18"/>
          <w:lang w:val="bg-BG"/>
        </w:rPr>
        <w:t xml:space="preserve"> - слаба връзка, </w:t>
      </w:r>
      <w:r w:rsidRPr="00B45B4F">
        <w:rPr>
          <w:rFonts w:ascii="Wingdings 2" w:eastAsia="Times New Roman" w:hAnsi="Wingdings 2"/>
          <w:color w:val="0070C0"/>
          <w:sz w:val="26"/>
          <w:szCs w:val="26"/>
          <w:lang w:val="bg-BG"/>
        </w:rPr>
        <w:t></w:t>
      </w:r>
      <w:r w:rsidRPr="00B45B4F">
        <w:rPr>
          <w:rFonts w:ascii="Wingdings 2" w:eastAsia="Times New Roman" w:hAnsi="Wingdings 2"/>
          <w:color w:val="0070C0"/>
          <w:sz w:val="26"/>
          <w:szCs w:val="26"/>
          <w:lang w:val="bg-BG"/>
        </w:rPr>
        <w:t></w:t>
      </w:r>
      <w:r w:rsidRPr="00B45B4F">
        <w:rPr>
          <w:rFonts w:ascii="Wingdings 2" w:eastAsia="Times New Roman" w:hAnsi="Wingdings 2"/>
          <w:color w:val="0070C0"/>
          <w:sz w:val="26"/>
          <w:szCs w:val="26"/>
          <w:lang w:val="bg-BG"/>
        </w:rPr>
        <w:t></w:t>
      </w:r>
      <w:r w:rsidRPr="00EC3BDA">
        <w:rPr>
          <w:rFonts w:ascii="Verdana" w:eastAsia="Times New Roman" w:hAnsi="Verdana"/>
          <w:sz w:val="26"/>
          <w:szCs w:val="26"/>
          <w:lang w:val="bg-BG"/>
        </w:rPr>
        <w:t xml:space="preserve">- </w:t>
      </w:r>
      <w:r w:rsidRPr="00B45B4F">
        <w:rPr>
          <w:rFonts w:ascii="Verdana" w:eastAsia="Times New Roman" w:hAnsi="Verdana"/>
          <w:i/>
          <w:sz w:val="18"/>
          <w:szCs w:val="18"/>
          <w:lang w:val="bg-BG"/>
        </w:rPr>
        <w:t xml:space="preserve">средно силна връзка, </w:t>
      </w:r>
      <w:r w:rsidRPr="00B45B4F">
        <w:rPr>
          <w:rFonts w:ascii="Wingdings 2" w:eastAsia="Times New Roman" w:hAnsi="Wingdings 2"/>
          <w:color w:val="0070C0"/>
          <w:sz w:val="26"/>
          <w:szCs w:val="26"/>
          <w:lang w:val="bg-BG"/>
        </w:rPr>
        <w:t></w:t>
      </w:r>
      <w:r w:rsidRPr="00B45B4F">
        <w:rPr>
          <w:rFonts w:ascii="Wingdings 2" w:eastAsia="Times New Roman" w:hAnsi="Wingdings 2"/>
          <w:color w:val="0070C0"/>
          <w:sz w:val="26"/>
          <w:szCs w:val="26"/>
          <w:lang w:val="bg-BG"/>
        </w:rPr>
        <w:t></w:t>
      </w:r>
      <w:r w:rsidRPr="00B45B4F">
        <w:rPr>
          <w:rFonts w:ascii="Wingdings 2" w:eastAsia="Times New Roman" w:hAnsi="Wingdings 2"/>
          <w:color w:val="0070C0"/>
          <w:sz w:val="26"/>
          <w:szCs w:val="26"/>
          <w:lang w:val="bg-BG"/>
        </w:rPr>
        <w:t></w:t>
      </w:r>
      <w:r w:rsidRPr="00B45B4F">
        <w:rPr>
          <w:rFonts w:ascii="Verdana" w:eastAsia="Times New Roman" w:hAnsi="Verdana"/>
          <w:i/>
          <w:sz w:val="18"/>
          <w:szCs w:val="18"/>
          <w:lang w:val="bg-BG"/>
        </w:rPr>
        <w:t xml:space="preserve"> - силна връзка</w:t>
      </w:r>
    </w:p>
    <w:p w:rsidR="0088514D" w:rsidRPr="00B45B4F" w:rsidRDefault="0088514D" w:rsidP="0088514D">
      <w:pPr>
        <w:keepNext/>
        <w:spacing w:before="240" w:after="120"/>
        <w:rPr>
          <w:rFonts w:ascii="Verdana" w:hAnsi="Verdana"/>
          <w:b/>
          <w:color w:val="548DD4" w:themeColor="text2" w:themeTint="99"/>
          <w:sz w:val="20"/>
          <w:szCs w:val="20"/>
          <w:lang w:val="bg-BG"/>
        </w:rPr>
      </w:pPr>
      <w:bookmarkStart w:id="70" w:name="_Toc395612570"/>
      <w:r w:rsidRPr="00B45B4F">
        <w:rPr>
          <w:rFonts w:ascii="Verdana" w:hAnsi="Verdana"/>
          <w:b/>
          <w:color w:val="548DD4" w:themeColor="text2" w:themeTint="99"/>
          <w:sz w:val="20"/>
          <w:szCs w:val="20"/>
          <w:lang w:val="bg-BG"/>
        </w:rPr>
        <w:t xml:space="preserve">Таблица </w:t>
      </w:r>
      <w:r w:rsidR="00BF1936" w:rsidRPr="00B45B4F">
        <w:rPr>
          <w:rFonts w:ascii="Verdana" w:hAnsi="Verdana"/>
          <w:b/>
          <w:color w:val="548DD4" w:themeColor="text2" w:themeTint="99"/>
          <w:sz w:val="20"/>
          <w:szCs w:val="20"/>
          <w:lang w:val="bg-BG"/>
        </w:rPr>
        <w:fldChar w:fldCharType="begin"/>
      </w:r>
      <w:r w:rsidRPr="00B45B4F">
        <w:rPr>
          <w:rFonts w:ascii="Verdana" w:hAnsi="Verdana"/>
          <w:b/>
          <w:color w:val="548DD4" w:themeColor="text2" w:themeTint="99"/>
          <w:sz w:val="20"/>
          <w:szCs w:val="20"/>
          <w:lang w:val="bg-BG"/>
        </w:rPr>
        <w:instrText>SEQ таблица \* ARABIC</w:instrText>
      </w:r>
      <w:r w:rsidR="00BF1936" w:rsidRPr="00B45B4F">
        <w:rPr>
          <w:rFonts w:ascii="Verdana" w:hAnsi="Verdana"/>
          <w:b/>
          <w:color w:val="548DD4" w:themeColor="text2" w:themeTint="99"/>
          <w:sz w:val="20"/>
          <w:szCs w:val="20"/>
          <w:lang w:val="bg-BG"/>
        </w:rPr>
        <w:fldChar w:fldCharType="separate"/>
      </w:r>
      <w:r w:rsidR="001361E0">
        <w:rPr>
          <w:rFonts w:ascii="Verdana" w:hAnsi="Verdana"/>
          <w:b/>
          <w:noProof/>
          <w:color w:val="548DD4" w:themeColor="text2" w:themeTint="99"/>
          <w:sz w:val="20"/>
          <w:szCs w:val="20"/>
          <w:lang w:val="bg-BG"/>
        </w:rPr>
        <w:t>14</w:t>
      </w:r>
      <w:r w:rsidR="00BF1936" w:rsidRPr="00B45B4F">
        <w:rPr>
          <w:rFonts w:ascii="Verdana" w:hAnsi="Verdana"/>
          <w:b/>
          <w:color w:val="548DD4" w:themeColor="text2" w:themeTint="99"/>
          <w:sz w:val="20"/>
          <w:szCs w:val="20"/>
          <w:lang w:val="bg-BG"/>
        </w:rPr>
        <w:fldChar w:fldCharType="end"/>
      </w:r>
      <w:r w:rsidRPr="00B45B4F">
        <w:rPr>
          <w:rFonts w:ascii="Verdana" w:hAnsi="Verdana"/>
          <w:b/>
          <w:color w:val="548DD4" w:themeColor="text2" w:themeTint="99"/>
          <w:sz w:val="20"/>
          <w:szCs w:val="20"/>
          <w:lang w:val="bg-BG"/>
        </w:rPr>
        <w:t>. Допълване и разграничаване между ОПНОИР и ПРСР</w:t>
      </w:r>
      <w:bookmarkEnd w:id="70"/>
    </w:p>
    <w:tbl>
      <w:tblPr>
        <w:tblW w:w="0" w:type="auto"/>
        <w:tblInd w:w="108" w:type="dxa"/>
        <w:tblBorders>
          <w:top w:val="single" w:sz="4" w:space="0" w:color="17365D" w:themeColor="text2" w:themeShade="BF"/>
          <w:left w:val="single" w:sz="4" w:space="0" w:color="17365D" w:themeColor="text2" w:themeShade="BF"/>
          <w:bottom w:val="single" w:sz="4" w:space="0" w:color="17365D" w:themeColor="text2" w:themeShade="BF"/>
          <w:right w:val="single" w:sz="4" w:space="0" w:color="17365D" w:themeColor="text2" w:themeShade="BF"/>
          <w:insideH w:val="single" w:sz="4" w:space="0" w:color="17365D" w:themeColor="text2" w:themeShade="BF"/>
          <w:insideV w:val="single" w:sz="4" w:space="0" w:color="17365D" w:themeColor="text2" w:themeShade="BF"/>
        </w:tblBorders>
        <w:tblLook w:val="0000" w:firstRow="0" w:lastRow="0" w:firstColumn="0" w:lastColumn="0" w:noHBand="0" w:noVBand="0"/>
      </w:tblPr>
      <w:tblGrid>
        <w:gridCol w:w="1883"/>
        <w:gridCol w:w="7315"/>
      </w:tblGrid>
      <w:tr w:rsidR="0088514D" w:rsidRPr="00B45B4F" w:rsidTr="00AF6F4A">
        <w:tc>
          <w:tcPr>
            <w:tcW w:w="1717" w:type="dxa"/>
            <w:shd w:val="clear" w:color="auto" w:fill="548DD4" w:themeFill="text2" w:themeFillTint="99"/>
          </w:tcPr>
          <w:p w:rsidR="0088514D" w:rsidRPr="00B45B4F" w:rsidRDefault="0088514D" w:rsidP="0088514D">
            <w:pPr>
              <w:spacing w:after="0"/>
              <w:rPr>
                <w:rFonts w:ascii="Verdana" w:hAnsi="Verdana"/>
                <w:sz w:val="20"/>
                <w:szCs w:val="20"/>
                <w:lang w:val="bg-BG" w:eastAsia="cs-CZ"/>
              </w:rPr>
            </w:pPr>
            <w:r w:rsidRPr="00B45B4F">
              <w:rPr>
                <w:rFonts w:ascii="Verdana" w:hAnsi="Verdana"/>
                <w:color w:val="FFFFFF" w:themeColor="background1"/>
                <w:sz w:val="20"/>
                <w:szCs w:val="20"/>
                <w:lang w:val="bg-BG"/>
              </w:rPr>
              <w:t>Допълване / Разграничаване в текста на ОПНОИР</w:t>
            </w:r>
          </w:p>
        </w:tc>
        <w:tc>
          <w:tcPr>
            <w:tcW w:w="7380" w:type="dxa"/>
          </w:tcPr>
          <w:p w:rsidR="005B7069" w:rsidRPr="00B45B4F" w:rsidRDefault="0088514D" w:rsidP="00890623">
            <w:pPr>
              <w:spacing w:after="120"/>
              <w:jc w:val="both"/>
              <w:rPr>
                <w:rFonts w:ascii="Verdana" w:hAnsi="Verdana"/>
                <w:sz w:val="20"/>
                <w:szCs w:val="20"/>
                <w:lang w:val="bg-BG"/>
              </w:rPr>
            </w:pPr>
            <w:r w:rsidRPr="00B45B4F">
              <w:rPr>
                <w:rFonts w:ascii="Verdana" w:hAnsi="Verdana"/>
                <w:b/>
                <w:sz w:val="20"/>
                <w:szCs w:val="20"/>
                <w:lang w:val="bg-BG" w:eastAsia="cs-CZ"/>
              </w:rPr>
              <w:t>Допълване:</w:t>
            </w:r>
            <w:r w:rsidR="002D4C3A">
              <w:rPr>
                <w:rFonts w:ascii="Verdana" w:hAnsi="Verdana"/>
                <w:b/>
                <w:sz w:val="20"/>
                <w:szCs w:val="20"/>
                <w:lang w:val="bg-BG" w:eastAsia="cs-CZ"/>
              </w:rPr>
              <w:t xml:space="preserve"> </w:t>
            </w:r>
            <w:r w:rsidR="00EC3269" w:rsidRPr="00B45B4F">
              <w:rPr>
                <w:rFonts w:ascii="Verdana" w:hAnsi="Verdana"/>
                <w:sz w:val="20"/>
                <w:szCs w:val="20"/>
                <w:lang w:val="bg-BG" w:eastAsia="cs-CZ"/>
              </w:rPr>
              <w:t>Посочено е, че п</w:t>
            </w:r>
            <w:r w:rsidR="00272600" w:rsidRPr="00B45B4F">
              <w:rPr>
                <w:rFonts w:ascii="Verdana" w:hAnsi="Verdana"/>
                <w:sz w:val="20"/>
                <w:szCs w:val="20"/>
                <w:lang w:val="bg-BG"/>
              </w:rPr>
              <w:t xml:space="preserve">о ПРСР се предвиждат мерки, свързани с образователната инфраструктура </w:t>
            </w:r>
            <w:r w:rsidR="001157AD" w:rsidRPr="00B45B4F">
              <w:rPr>
                <w:rFonts w:ascii="Verdana" w:hAnsi="Verdana"/>
                <w:sz w:val="20"/>
                <w:szCs w:val="20"/>
                <w:lang w:val="bg-BG"/>
              </w:rPr>
              <w:t>в селските райони</w:t>
            </w:r>
            <w:r w:rsidR="00272600" w:rsidRPr="00B45B4F">
              <w:rPr>
                <w:rFonts w:ascii="Verdana" w:hAnsi="Verdana"/>
                <w:sz w:val="20"/>
                <w:szCs w:val="20"/>
                <w:lang w:val="bg-BG"/>
              </w:rPr>
              <w:t xml:space="preserve">, които ще допълнят </w:t>
            </w:r>
            <w:r w:rsidR="001157AD" w:rsidRPr="00B45B4F">
              <w:rPr>
                <w:rFonts w:ascii="Verdana" w:hAnsi="Verdana"/>
                <w:sz w:val="20"/>
                <w:szCs w:val="20"/>
                <w:lang w:val="bg-BG"/>
              </w:rPr>
              <w:t>подкрепата за инфраструктура по ОПРР</w:t>
            </w:r>
            <w:r w:rsidR="00687BCB" w:rsidRPr="00B45B4F">
              <w:rPr>
                <w:rFonts w:ascii="Verdana" w:hAnsi="Verdana"/>
                <w:sz w:val="20"/>
                <w:szCs w:val="20"/>
                <w:lang w:val="bg-BG"/>
              </w:rPr>
              <w:t xml:space="preserve"> в градските райони</w:t>
            </w:r>
            <w:r w:rsidR="008F56C7" w:rsidRPr="00B45B4F">
              <w:rPr>
                <w:rFonts w:ascii="Verdana" w:hAnsi="Verdana"/>
                <w:sz w:val="20"/>
                <w:szCs w:val="20"/>
                <w:lang w:val="bg-BG"/>
              </w:rPr>
              <w:t xml:space="preserve">. </w:t>
            </w:r>
            <w:r w:rsidR="00AB021B" w:rsidRPr="00B45B4F">
              <w:rPr>
                <w:rFonts w:ascii="Verdana" w:hAnsi="Verdana"/>
                <w:sz w:val="20"/>
                <w:szCs w:val="20"/>
                <w:lang w:val="bg-BG"/>
              </w:rPr>
              <w:t xml:space="preserve">В същото време по </w:t>
            </w:r>
            <w:r w:rsidR="001157AD" w:rsidRPr="00B45B4F">
              <w:rPr>
                <w:rFonts w:ascii="Verdana" w:hAnsi="Verdana"/>
                <w:sz w:val="20"/>
                <w:szCs w:val="20"/>
                <w:lang w:val="bg-BG"/>
              </w:rPr>
              <w:t xml:space="preserve">ОПНОИР </w:t>
            </w:r>
            <w:r w:rsidR="00AB021B" w:rsidRPr="00B45B4F">
              <w:rPr>
                <w:rFonts w:ascii="Verdana" w:hAnsi="Verdana"/>
                <w:sz w:val="20"/>
                <w:szCs w:val="20"/>
                <w:lang w:val="bg-BG"/>
              </w:rPr>
              <w:t xml:space="preserve">са предвидени </w:t>
            </w:r>
            <w:r w:rsidR="001157AD" w:rsidRPr="00B45B4F">
              <w:rPr>
                <w:rFonts w:ascii="Verdana" w:hAnsi="Verdana"/>
                <w:sz w:val="20"/>
                <w:szCs w:val="20"/>
                <w:lang w:val="bg-BG"/>
              </w:rPr>
              <w:t xml:space="preserve">възможности </w:t>
            </w:r>
            <w:r w:rsidR="00AB021B" w:rsidRPr="00B45B4F">
              <w:rPr>
                <w:rFonts w:ascii="Verdana" w:hAnsi="Verdana"/>
                <w:sz w:val="20"/>
                <w:szCs w:val="20"/>
                <w:lang w:val="bg-BG"/>
              </w:rPr>
              <w:t>за инвестиции в</w:t>
            </w:r>
            <w:r w:rsidR="002D4C3A">
              <w:rPr>
                <w:rFonts w:ascii="Verdana" w:hAnsi="Verdana"/>
                <w:sz w:val="20"/>
                <w:szCs w:val="20"/>
                <w:lang w:val="bg-BG"/>
              </w:rPr>
              <w:t xml:space="preserve"> </w:t>
            </w:r>
            <w:r w:rsidR="007065E8" w:rsidRPr="00B45B4F">
              <w:rPr>
                <w:rFonts w:ascii="Verdana" w:hAnsi="Verdana"/>
                <w:sz w:val="20"/>
                <w:szCs w:val="20"/>
                <w:lang w:val="bg-BG"/>
              </w:rPr>
              <w:t>оборудване</w:t>
            </w:r>
            <w:r w:rsidR="00687BCB" w:rsidRPr="00B45B4F">
              <w:rPr>
                <w:rFonts w:ascii="Verdana" w:hAnsi="Verdana"/>
                <w:sz w:val="20"/>
                <w:szCs w:val="20"/>
                <w:lang w:val="bg-BG"/>
              </w:rPr>
              <w:t xml:space="preserve">, свързано с учебния процес и главно с ИКТ. </w:t>
            </w:r>
          </w:p>
          <w:p w:rsidR="00EC3269" w:rsidRPr="00B45B4F" w:rsidRDefault="00B800F2" w:rsidP="00890623">
            <w:pPr>
              <w:spacing w:after="120"/>
              <w:jc w:val="both"/>
              <w:rPr>
                <w:rFonts w:ascii="Verdana" w:hAnsi="Verdana"/>
                <w:b/>
                <w:sz w:val="20"/>
                <w:szCs w:val="20"/>
                <w:lang w:val="bg-BG" w:eastAsia="cs-CZ"/>
              </w:rPr>
            </w:pPr>
            <w:r w:rsidRPr="00B45B4F">
              <w:rPr>
                <w:rFonts w:ascii="Verdana" w:hAnsi="Verdana"/>
                <w:sz w:val="20"/>
                <w:szCs w:val="20"/>
                <w:lang w:val="bg-BG"/>
              </w:rPr>
              <w:t xml:space="preserve">Текстът в раздел 8 на ОПНОИР </w:t>
            </w:r>
            <w:r w:rsidR="00EC3269" w:rsidRPr="00B45B4F">
              <w:rPr>
                <w:rFonts w:ascii="Verdana" w:hAnsi="Verdana"/>
                <w:sz w:val="20"/>
                <w:szCs w:val="20"/>
                <w:lang w:val="bg-BG"/>
              </w:rPr>
              <w:t xml:space="preserve">посочва възможно допълване </w:t>
            </w:r>
            <w:r w:rsidRPr="00B45B4F">
              <w:rPr>
                <w:rFonts w:ascii="Verdana" w:hAnsi="Verdana"/>
                <w:sz w:val="20"/>
                <w:szCs w:val="20"/>
                <w:lang w:val="bg-BG"/>
              </w:rPr>
              <w:t xml:space="preserve">по отношение на </w:t>
            </w:r>
            <w:r w:rsidR="007065E8" w:rsidRPr="00B45B4F">
              <w:rPr>
                <w:rFonts w:ascii="Verdana" w:hAnsi="Verdana"/>
                <w:sz w:val="20"/>
                <w:szCs w:val="20"/>
                <w:lang w:val="bg-BG"/>
              </w:rPr>
              <w:t>„</w:t>
            </w:r>
            <w:r w:rsidRPr="00B45B4F">
              <w:rPr>
                <w:rFonts w:ascii="Verdana" w:hAnsi="Verdana"/>
                <w:i/>
                <w:sz w:val="20"/>
                <w:szCs w:val="20"/>
                <w:lang w:val="bg-BG"/>
              </w:rPr>
              <w:t>поощряване трансфера на знания и иновации в селското и горското стопанство и селските райони</w:t>
            </w:r>
            <w:r w:rsidR="007065E8" w:rsidRPr="00B45B4F">
              <w:rPr>
                <w:rFonts w:ascii="Verdana" w:hAnsi="Verdana"/>
                <w:sz w:val="20"/>
                <w:szCs w:val="20"/>
                <w:lang w:val="bg-BG"/>
              </w:rPr>
              <w:t>“</w:t>
            </w:r>
            <w:r w:rsidRPr="00B45B4F">
              <w:rPr>
                <w:rFonts w:ascii="Verdana" w:hAnsi="Verdana"/>
                <w:sz w:val="20"/>
                <w:szCs w:val="20"/>
                <w:lang w:val="bg-BG"/>
              </w:rPr>
              <w:t xml:space="preserve"> чрез оптимизиране на системата за обучение в Селскостопанската академия и свързаните с нея структури. Последната мярка не е разписана във версията на ОПНОИР от </w:t>
            </w:r>
            <w:r w:rsidR="00E60F3E">
              <w:rPr>
                <w:rFonts w:ascii="Verdana" w:hAnsi="Verdana"/>
                <w:sz w:val="20"/>
                <w:szCs w:val="20"/>
                <w:lang w:val="bg-BG"/>
              </w:rPr>
              <w:t>май</w:t>
            </w:r>
            <w:r w:rsidR="00E60F3E" w:rsidRPr="00B45B4F">
              <w:rPr>
                <w:rFonts w:ascii="Verdana" w:hAnsi="Verdana"/>
                <w:sz w:val="20"/>
                <w:szCs w:val="20"/>
                <w:lang w:val="bg-BG"/>
              </w:rPr>
              <w:t xml:space="preserve"> </w:t>
            </w:r>
            <w:r w:rsidRPr="00B45B4F">
              <w:rPr>
                <w:rFonts w:ascii="Verdana" w:hAnsi="Verdana"/>
                <w:sz w:val="20"/>
                <w:szCs w:val="20"/>
                <w:lang w:val="bg-BG"/>
              </w:rPr>
              <w:t xml:space="preserve">2014 и поради това следва текста да се редактира. </w:t>
            </w:r>
          </w:p>
          <w:p w:rsidR="0088514D" w:rsidRPr="00B45B4F" w:rsidRDefault="0088514D" w:rsidP="00890623">
            <w:pPr>
              <w:spacing w:after="120"/>
              <w:jc w:val="both"/>
              <w:rPr>
                <w:rFonts w:ascii="Verdana" w:hAnsi="Verdana"/>
                <w:sz w:val="20"/>
                <w:szCs w:val="20"/>
                <w:lang w:val="bg-BG" w:eastAsia="cs-CZ"/>
              </w:rPr>
            </w:pPr>
            <w:r w:rsidRPr="00B45B4F">
              <w:rPr>
                <w:rFonts w:ascii="Verdana" w:hAnsi="Verdana"/>
                <w:b/>
                <w:sz w:val="20"/>
                <w:szCs w:val="20"/>
                <w:lang w:val="bg-BG" w:eastAsia="cs-CZ"/>
              </w:rPr>
              <w:t>Разграничаване:</w:t>
            </w:r>
            <w:r w:rsidR="002D4C3A">
              <w:rPr>
                <w:rFonts w:ascii="Verdana" w:hAnsi="Verdana"/>
                <w:b/>
                <w:sz w:val="20"/>
                <w:szCs w:val="20"/>
                <w:lang w:val="bg-BG" w:eastAsia="cs-CZ"/>
              </w:rPr>
              <w:t xml:space="preserve"> </w:t>
            </w:r>
            <w:r w:rsidR="00B800F2" w:rsidRPr="00B45B4F">
              <w:rPr>
                <w:rFonts w:ascii="Verdana" w:hAnsi="Verdana"/>
                <w:sz w:val="20"/>
                <w:szCs w:val="20"/>
                <w:lang w:val="bg-BG" w:eastAsia="cs-CZ"/>
              </w:rPr>
              <w:t xml:space="preserve">По отношение на предоставяне на обучение, е посочено, че обучението но ПРСР не включва курсове за инструктиране или обучение, които са част от стандартни програми или системи за обучение за средни или висши училища. </w:t>
            </w:r>
            <w:r w:rsidR="005D2C2D" w:rsidRPr="00B45B4F">
              <w:rPr>
                <w:rFonts w:ascii="Verdana" w:hAnsi="Verdana"/>
                <w:sz w:val="20"/>
                <w:szCs w:val="20"/>
                <w:lang w:val="bg-BG" w:eastAsia="cs-CZ"/>
              </w:rPr>
              <w:t xml:space="preserve"> Текстовете по отношение на чл.35 от </w:t>
            </w:r>
            <w:r w:rsidR="007065E8" w:rsidRPr="00B45B4F">
              <w:rPr>
                <w:rFonts w:ascii="Verdana" w:hAnsi="Verdana"/>
                <w:sz w:val="20"/>
                <w:szCs w:val="20"/>
                <w:lang w:val="bg-BG" w:eastAsia="cs-CZ"/>
              </w:rPr>
              <w:t xml:space="preserve">Регламент </w:t>
            </w:r>
            <w:r w:rsidR="005D2C2D" w:rsidRPr="00B45B4F">
              <w:rPr>
                <w:rFonts w:ascii="Verdana" w:hAnsi="Verdana"/>
                <w:sz w:val="20"/>
                <w:szCs w:val="20"/>
                <w:lang w:val="bg-BG" w:eastAsia="cs-CZ"/>
              </w:rPr>
              <w:t>1305/2013 са неясни.</w:t>
            </w:r>
          </w:p>
        </w:tc>
      </w:tr>
      <w:tr w:rsidR="0088514D" w:rsidRPr="00B45B4F" w:rsidTr="00AF6F4A">
        <w:tc>
          <w:tcPr>
            <w:tcW w:w="1717" w:type="dxa"/>
            <w:shd w:val="clear" w:color="auto" w:fill="548DD4" w:themeFill="text2" w:themeFillTint="99"/>
          </w:tcPr>
          <w:p w:rsidR="0088514D" w:rsidRPr="00B45B4F" w:rsidRDefault="0088514D" w:rsidP="0088514D">
            <w:pPr>
              <w:spacing w:after="0"/>
              <w:rPr>
                <w:rFonts w:ascii="Verdana" w:hAnsi="Verdana"/>
                <w:color w:val="FFFFFF" w:themeColor="background1"/>
                <w:sz w:val="20"/>
                <w:szCs w:val="20"/>
                <w:lang w:val="bg-BG"/>
              </w:rPr>
            </w:pPr>
            <w:r w:rsidRPr="00B45B4F">
              <w:rPr>
                <w:rFonts w:ascii="Verdana" w:hAnsi="Verdana"/>
                <w:color w:val="FFFFFF" w:themeColor="background1"/>
                <w:sz w:val="20"/>
                <w:szCs w:val="20"/>
                <w:lang w:val="bg-BG"/>
              </w:rPr>
              <w:t>Коментар</w:t>
            </w:r>
          </w:p>
        </w:tc>
        <w:tc>
          <w:tcPr>
            <w:tcW w:w="7380" w:type="dxa"/>
          </w:tcPr>
          <w:p w:rsidR="00561D57" w:rsidRPr="00B45B4F" w:rsidRDefault="00561D57" w:rsidP="00890623">
            <w:pPr>
              <w:spacing w:after="120"/>
              <w:jc w:val="both"/>
              <w:rPr>
                <w:rFonts w:ascii="Verdana" w:hAnsi="Verdana"/>
                <w:sz w:val="20"/>
                <w:szCs w:val="20"/>
                <w:lang w:val="bg-BG" w:eastAsia="cs-CZ"/>
              </w:rPr>
            </w:pPr>
            <w:r w:rsidRPr="00B45B4F">
              <w:rPr>
                <w:rFonts w:ascii="Verdana" w:hAnsi="Verdana"/>
                <w:sz w:val="20"/>
                <w:szCs w:val="20"/>
                <w:lang w:val="bg-BG" w:eastAsia="cs-CZ"/>
              </w:rPr>
              <w:t xml:space="preserve">Реализацията на целите по </w:t>
            </w:r>
            <w:proofErr w:type="spellStart"/>
            <w:r w:rsidRPr="00B45B4F">
              <w:rPr>
                <w:rFonts w:ascii="Verdana" w:hAnsi="Verdana"/>
                <w:sz w:val="20"/>
                <w:szCs w:val="20"/>
                <w:lang w:val="bg-BG" w:eastAsia="cs-CZ"/>
              </w:rPr>
              <w:t>ПО</w:t>
            </w:r>
            <w:proofErr w:type="spellEnd"/>
            <w:r w:rsidRPr="00B45B4F">
              <w:rPr>
                <w:rFonts w:ascii="Verdana" w:hAnsi="Verdana"/>
                <w:sz w:val="20"/>
                <w:szCs w:val="20"/>
                <w:lang w:val="bg-BG" w:eastAsia="cs-CZ"/>
              </w:rPr>
              <w:t xml:space="preserve"> 1 и ПО 2 на ОПНОИР ще бъд</w:t>
            </w:r>
            <w:r w:rsidR="00555A50" w:rsidRPr="00B45B4F">
              <w:rPr>
                <w:rFonts w:ascii="Verdana" w:hAnsi="Verdana"/>
                <w:sz w:val="20"/>
                <w:szCs w:val="20"/>
                <w:lang w:val="bg-BG" w:eastAsia="cs-CZ"/>
              </w:rPr>
              <w:t>е</w:t>
            </w:r>
            <w:r w:rsidRPr="00B45B4F">
              <w:rPr>
                <w:rFonts w:ascii="Verdana" w:hAnsi="Verdana"/>
                <w:sz w:val="20"/>
                <w:szCs w:val="20"/>
                <w:lang w:val="bg-BG" w:eastAsia="cs-CZ"/>
              </w:rPr>
              <w:t xml:space="preserve"> допълнен</w:t>
            </w:r>
            <w:r w:rsidR="00555A50" w:rsidRPr="00B45B4F">
              <w:rPr>
                <w:rFonts w:ascii="Verdana" w:hAnsi="Verdana"/>
                <w:sz w:val="20"/>
                <w:szCs w:val="20"/>
                <w:lang w:val="bg-BG" w:eastAsia="cs-CZ"/>
              </w:rPr>
              <w:t>а</w:t>
            </w:r>
            <w:r w:rsidRPr="00B45B4F">
              <w:rPr>
                <w:rFonts w:ascii="Verdana" w:hAnsi="Verdana"/>
                <w:sz w:val="20"/>
                <w:szCs w:val="20"/>
                <w:lang w:val="bg-BG" w:eastAsia="cs-CZ"/>
              </w:rPr>
              <w:t xml:space="preserve"> от ПРСР чрез </w:t>
            </w:r>
            <w:proofErr w:type="spellStart"/>
            <w:r w:rsidRPr="00B45B4F">
              <w:rPr>
                <w:rFonts w:ascii="Verdana" w:hAnsi="Verdana"/>
                <w:sz w:val="20"/>
                <w:szCs w:val="20"/>
                <w:lang w:val="bg-BG" w:eastAsia="cs-CZ"/>
              </w:rPr>
              <w:t>подмерки</w:t>
            </w:r>
            <w:proofErr w:type="spellEnd"/>
            <w:r w:rsidRPr="00B45B4F">
              <w:rPr>
                <w:rFonts w:ascii="Verdana" w:hAnsi="Verdana"/>
                <w:sz w:val="20"/>
                <w:szCs w:val="20"/>
                <w:lang w:val="bg-BG" w:eastAsia="cs-CZ"/>
              </w:rPr>
              <w:t xml:space="preserve"> 1.1 “Професионално об</w:t>
            </w:r>
            <w:r w:rsidR="001219F5" w:rsidRPr="00B45B4F">
              <w:rPr>
                <w:rFonts w:ascii="Verdana" w:hAnsi="Verdana"/>
                <w:sz w:val="20"/>
                <w:szCs w:val="20"/>
                <w:lang w:val="bg-BG" w:eastAsia="cs-CZ"/>
              </w:rPr>
              <w:t xml:space="preserve">учение и придобиване на умения” (с принос към приоритетни области 2А; 2Б; 3А; 3Б; 4А; 4В; 5А; 5Б; 5В; 5Г; 5Д) </w:t>
            </w:r>
            <w:r w:rsidRPr="00B45B4F">
              <w:rPr>
                <w:rFonts w:ascii="Verdana" w:hAnsi="Verdana"/>
                <w:sz w:val="20"/>
                <w:szCs w:val="20"/>
                <w:lang w:val="bg-BG" w:eastAsia="cs-CZ"/>
              </w:rPr>
              <w:t>и 1.2 “Демонстрационни дейности и действия по осведомяване”</w:t>
            </w:r>
            <w:r w:rsidR="001219F5" w:rsidRPr="00B45B4F">
              <w:rPr>
                <w:rFonts w:ascii="Verdana" w:hAnsi="Verdana"/>
                <w:sz w:val="20"/>
                <w:szCs w:val="20"/>
                <w:lang w:val="bg-BG" w:eastAsia="cs-CZ"/>
              </w:rPr>
              <w:t xml:space="preserve"> (с принос към приоритетни области 2А; 4Б; 4В; 5А; 5Б; 5Г; 5Д)</w:t>
            </w:r>
            <w:r w:rsidR="00555A50" w:rsidRPr="00B45B4F">
              <w:rPr>
                <w:rFonts w:ascii="Verdana" w:hAnsi="Verdana"/>
                <w:sz w:val="20"/>
                <w:szCs w:val="20"/>
                <w:lang w:val="bg-BG" w:eastAsia="cs-CZ"/>
              </w:rPr>
              <w:t>. Същевременно, същест</w:t>
            </w:r>
            <w:r w:rsidR="00AB021B" w:rsidRPr="00B45B4F">
              <w:rPr>
                <w:rFonts w:ascii="Verdana" w:hAnsi="Verdana"/>
                <w:sz w:val="20"/>
                <w:szCs w:val="20"/>
                <w:lang w:val="bg-BG" w:eastAsia="cs-CZ"/>
              </w:rPr>
              <w:t xml:space="preserve">вува потенциална възможност за </w:t>
            </w:r>
            <w:r w:rsidR="00555A50" w:rsidRPr="00B45B4F">
              <w:rPr>
                <w:rFonts w:ascii="Verdana" w:hAnsi="Verdana"/>
                <w:sz w:val="20"/>
                <w:szCs w:val="20"/>
                <w:lang w:val="bg-BG" w:eastAsia="cs-CZ"/>
              </w:rPr>
              <w:t xml:space="preserve">дублиране на финансиране към </w:t>
            </w:r>
            <w:r w:rsidR="00555A50" w:rsidRPr="00B45B4F">
              <w:rPr>
                <w:rFonts w:ascii="Verdana" w:hAnsi="Verdana"/>
                <w:sz w:val="20"/>
                <w:szCs w:val="20"/>
                <w:lang w:val="bg-BG" w:eastAsia="cs-CZ"/>
              </w:rPr>
              <w:lastRenderedPageBreak/>
              <w:t xml:space="preserve">бенефициенти тъй като </w:t>
            </w:r>
            <w:proofErr w:type="spellStart"/>
            <w:r w:rsidR="00555A50" w:rsidRPr="00B45B4F">
              <w:rPr>
                <w:rFonts w:ascii="Verdana" w:hAnsi="Verdana"/>
                <w:sz w:val="20"/>
                <w:szCs w:val="20"/>
                <w:lang w:val="bg-BG" w:eastAsia="cs-CZ"/>
              </w:rPr>
              <w:t>подмярка</w:t>
            </w:r>
            <w:proofErr w:type="spellEnd"/>
            <w:r w:rsidR="00555A50" w:rsidRPr="00B45B4F">
              <w:rPr>
                <w:rFonts w:ascii="Verdana" w:hAnsi="Verdana"/>
                <w:sz w:val="20"/>
                <w:szCs w:val="20"/>
                <w:lang w:val="bg-BG" w:eastAsia="cs-CZ"/>
              </w:rPr>
              <w:t xml:space="preserve"> 1.1 на ПРСР предвижда </w:t>
            </w:r>
            <w:r w:rsidR="007065E8" w:rsidRPr="00B45B4F">
              <w:rPr>
                <w:rFonts w:ascii="Verdana" w:hAnsi="Verdana"/>
                <w:sz w:val="20"/>
                <w:szCs w:val="20"/>
                <w:lang w:val="bg-BG" w:eastAsia="cs-CZ"/>
              </w:rPr>
              <w:t>„</w:t>
            </w:r>
            <w:r w:rsidRPr="00B45B4F">
              <w:rPr>
                <w:rFonts w:ascii="Verdana" w:hAnsi="Verdana"/>
                <w:sz w:val="20"/>
                <w:szCs w:val="20"/>
                <w:lang w:val="bg-BG" w:eastAsia="cs-CZ"/>
              </w:rPr>
              <w:t>закупуването или вземането на лизинг на нови машини и оборудване за демонстрационни дейности, осъществени в демонстрационен обект, който може да бъде опитно поле или учебно-опитно поле или лаборатория на научен институт, висше училище или професионална гимназия, които обучават или извършват научно-изследователска дейност в областта на селското стопанство, храните или горското стопанство”</w:t>
            </w:r>
            <w:r w:rsidR="00555A50" w:rsidRPr="00B45B4F">
              <w:rPr>
                <w:rFonts w:ascii="Verdana" w:hAnsi="Verdana"/>
                <w:sz w:val="20"/>
                <w:szCs w:val="20"/>
                <w:lang w:val="bg-BG" w:eastAsia="cs-CZ"/>
              </w:rPr>
              <w:t>, което донякъде припокрива примерни дейности посочени в ПО 1</w:t>
            </w:r>
            <w:r w:rsidR="00B800F2" w:rsidRPr="00B45B4F">
              <w:rPr>
                <w:rFonts w:ascii="Verdana" w:hAnsi="Verdana"/>
                <w:sz w:val="20"/>
                <w:szCs w:val="20"/>
                <w:lang w:val="bg-BG" w:eastAsia="cs-CZ"/>
              </w:rPr>
              <w:t>, ИП2</w:t>
            </w:r>
            <w:r w:rsidR="00555A50" w:rsidRPr="00B45B4F">
              <w:rPr>
                <w:rFonts w:ascii="Verdana" w:hAnsi="Verdana"/>
                <w:sz w:val="20"/>
                <w:szCs w:val="20"/>
                <w:lang w:val="bg-BG" w:eastAsia="cs-CZ"/>
              </w:rPr>
              <w:t xml:space="preserve"> на ОПНОИР.</w:t>
            </w:r>
          </w:p>
          <w:p w:rsidR="00185872" w:rsidRPr="00B45B4F" w:rsidRDefault="00563BE4" w:rsidP="00890623">
            <w:pPr>
              <w:spacing w:after="120"/>
              <w:jc w:val="both"/>
              <w:rPr>
                <w:rFonts w:ascii="Verdana" w:hAnsi="Verdana"/>
                <w:sz w:val="20"/>
                <w:szCs w:val="20"/>
                <w:lang w:val="bg-BG" w:eastAsia="cs-CZ"/>
              </w:rPr>
            </w:pPr>
            <w:r w:rsidRPr="00B45B4F">
              <w:rPr>
                <w:rFonts w:ascii="Verdana" w:hAnsi="Verdana"/>
                <w:sz w:val="20"/>
                <w:szCs w:val="20"/>
                <w:lang w:val="bg-BG"/>
              </w:rPr>
              <w:t xml:space="preserve">Допълване между програмите </w:t>
            </w:r>
            <w:r w:rsidR="00AB021B" w:rsidRPr="00B45B4F">
              <w:rPr>
                <w:rFonts w:ascii="Verdana" w:hAnsi="Verdana"/>
                <w:sz w:val="20"/>
                <w:szCs w:val="20"/>
                <w:lang w:val="bg-BG" w:eastAsia="cs-CZ"/>
              </w:rPr>
              <w:t>съществува</w:t>
            </w:r>
            <w:r w:rsidR="002D4C3A">
              <w:rPr>
                <w:rFonts w:ascii="Verdana" w:hAnsi="Verdana"/>
                <w:sz w:val="20"/>
                <w:szCs w:val="20"/>
                <w:lang w:val="bg-BG" w:eastAsia="cs-CZ"/>
              </w:rPr>
              <w:t xml:space="preserve"> </w:t>
            </w:r>
            <w:r w:rsidR="00561D57" w:rsidRPr="00B45B4F">
              <w:rPr>
                <w:rFonts w:ascii="Verdana" w:hAnsi="Verdana"/>
                <w:sz w:val="20"/>
                <w:szCs w:val="20"/>
                <w:lang w:val="bg-BG"/>
              </w:rPr>
              <w:t xml:space="preserve">по линия на образователната инфраструктура, дотолкова, доколкото по ПРСР ще се предоставя </w:t>
            </w:r>
            <w:r w:rsidR="00FB0336" w:rsidRPr="00B45B4F">
              <w:rPr>
                <w:rFonts w:ascii="Verdana" w:hAnsi="Verdana"/>
                <w:sz w:val="20"/>
                <w:szCs w:val="20"/>
                <w:lang w:val="bg-BG"/>
              </w:rPr>
              <w:t>финансиране за реконструкция, ремонт, оборудване и/или обзавеждане на образователна инфраструктура с местно значение в селските райони (</w:t>
            </w:r>
            <w:proofErr w:type="spellStart"/>
            <w:r w:rsidR="008F56C7" w:rsidRPr="00B45B4F">
              <w:rPr>
                <w:rFonts w:ascii="Verdana" w:hAnsi="Verdana"/>
                <w:sz w:val="20"/>
                <w:szCs w:val="20"/>
                <w:lang w:val="bg-BG"/>
              </w:rPr>
              <w:t>Подмярка</w:t>
            </w:r>
            <w:proofErr w:type="spellEnd"/>
            <w:r w:rsidR="008F56C7" w:rsidRPr="00B45B4F">
              <w:rPr>
                <w:rFonts w:ascii="Verdana" w:hAnsi="Verdana"/>
                <w:sz w:val="20"/>
                <w:szCs w:val="20"/>
                <w:lang w:val="bg-BG"/>
              </w:rPr>
              <w:t xml:space="preserve"> 7.2</w:t>
            </w:r>
            <w:r w:rsidR="00561D57" w:rsidRPr="00B45B4F">
              <w:rPr>
                <w:rFonts w:ascii="Verdana" w:hAnsi="Verdana"/>
                <w:sz w:val="20"/>
                <w:szCs w:val="20"/>
                <w:lang w:val="bg-BG"/>
              </w:rPr>
              <w:t xml:space="preserve"> от ПРСР</w:t>
            </w:r>
            <w:r w:rsidR="008F56C7" w:rsidRPr="00B45B4F">
              <w:rPr>
                <w:rFonts w:ascii="Verdana" w:hAnsi="Verdana"/>
                <w:sz w:val="20"/>
                <w:szCs w:val="20"/>
                <w:lang w:val="bg-BG"/>
              </w:rPr>
              <w:t>, с принос към</w:t>
            </w:r>
            <w:r w:rsidR="002D4C3A">
              <w:rPr>
                <w:rFonts w:ascii="Verdana" w:hAnsi="Verdana"/>
                <w:sz w:val="20"/>
                <w:szCs w:val="20"/>
                <w:lang w:val="bg-BG"/>
              </w:rPr>
              <w:t xml:space="preserve"> </w:t>
            </w:r>
            <w:r w:rsidR="008F56C7" w:rsidRPr="00B45B4F">
              <w:rPr>
                <w:rFonts w:ascii="Verdana" w:hAnsi="Verdana"/>
                <w:sz w:val="20"/>
                <w:szCs w:val="20"/>
                <w:lang w:val="bg-BG"/>
              </w:rPr>
              <w:t>Приоритетни области 3А, 5Б и 6Б</w:t>
            </w:r>
            <w:r w:rsidR="00FB0336" w:rsidRPr="00B45B4F">
              <w:rPr>
                <w:rFonts w:ascii="Verdana" w:hAnsi="Verdana"/>
                <w:sz w:val="20"/>
                <w:szCs w:val="20"/>
                <w:lang w:val="bg-BG"/>
              </w:rPr>
              <w:t xml:space="preserve">), а </w:t>
            </w:r>
            <w:r w:rsidR="00FB0336" w:rsidRPr="00B45B4F">
              <w:rPr>
                <w:rFonts w:ascii="Verdana" w:hAnsi="Verdana"/>
                <w:bCs/>
                <w:sz w:val="20"/>
                <w:szCs w:val="20"/>
                <w:lang w:val="bg-BG"/>
              </w:rPr>
              <w:t xml:space="preserve">ОП НОИР ще осигури финансиране чрез </w:t>
            </w:r>
            <w:r w:rsidR="00FB0336" w:rsidRPr="00B45B4F">
              <w:rPr>
                <w:rFonts w:ascii="Verdana" w:hAnsi="Verdana"/>
                <w:sz w:val="20"/>
                <w:szCs w:val="20"/>
                <w:lang w:val="bg-BG"/>
              </w:rPr>
              <w:t>„меки мерки“ на обекти от образователната инфраструктура (ПО 2, ИП 1)</w:t>
            </w:r>
            <w:r w:rsidR="00FB0336" w:rsidRPr="00B45B4F">
              <w:rPr>
                <w:rFonts w:ascii="Verdana" w:hAnsi="Verdana"/>
                <w:sz w:val="20"/>
                <w:szCs w:val="20"/>
                <w:lang w:val="bg-BG" w:eastAsia="cs-CZ"/>
              </w:rPr>
              <w:t>.</w:t>
            </w:r>
            <w:r w:rsidR="00142DF1" w:rsidRPr="00B45B4F">
              <w:rPr>
                <w:rFonts w:ascii="Verdana" w:hAnsi="Verdana"/>
                <w:sz w:val="20"/>
                <w:szCs w:val="20"/>
                <w:lang w:val="bg-BG" w:eastAsia="cs-CZ"/>
              </w:rPr>
              <w:t xml:space="preserve">Допълване </w:t>
            </w:r>
            <w:r w:rsidR="00555A50" w:rsidRPr="00B45B4F">
              <w:rPr>
                <w:rFonts w:ascii="Verdana" w:hAnsi="Verdana"/>
                <w:sz w:val="20"/>
                <w:szCs w:val="20"/>
                <w:lang w:val="bg-BG"/>
              </w:rPr>
              <w:t>може да се търси</w:t>
            </w:r>
            <w:r w:rsidR="002D4C3A">
              <w:rPr>
                <w:rFonts w:ascii="Verdana" w:hAnsi="Verdana"/>
                <w:sz w:val="20"/>
                <w:szCs w:val="20"/>
                <w:lang w:val="bg-BG"/>
              </w:rPr>
              <w:t xml:space="preserve"> </w:t>
            </w:r>
            <w:r w:rsidR="00142DF1" w:rsidRPr="00B45B4F">
              <w:rPr>
                <w:rFonts w:ascii="Verdana" w:hAnsi="Verdana"/>
                <w:sz w:val="20"/>
                <w:szCs w:val="20"/>
                <w:lang w:val="bg-BG" w:eastAsia="cs-CZ"/>
              </w:rPr>
              <w:t>и по отношение на осигуряване</w:t>
            </w:r>
            <w:r w:rsidR="00185872" w:rsidRPr="00B45B4F">
              <w:rPr>
                <w:rFonts w:ascii="Verdana" w:hAnsi="Verdana"/>
                <w:sz w:val="20"/>
                <w:szCs w:val="20"/>
                <w:lang w:val="bg-BG" w:eastAsia="cs-CZ"/>
              </w:rPr>
              <w:t>то</w:t>
            </w:r>
            <w:r w:rsidR="00142DF1" w:rsidRPr="00B45B4F">
              <w:rPr>
                <w:rFonts w:ascii="Verdana" w:hAnsi="Verdana"/>
                <w:sz w:val="20"/>
                <w:szCs w:val="20"/>
                <w:lang w:val="bg-BG" w:eastAsia="cs-CZ"/>
              </w:rPr>
              <w:t xml:space="preserve"> на достъп до информационни технологии </w:t>
            </w:r>
            <w:r w:rsidRPr="00B45B4F">
              <w:rPr>
                <w:rFonts w:ascii="Verdana" w:hAnsi="Verdana"/>
                <w:sz w:val="20"/>
                <w:szCs w:val="20"/>
                <w:lang w:val="bg-BG" w:eastAsia="cs-CZ"/>
              </w:rPr>
              <w:t xml:space="preserve">– </w:t>
            </w:r>
            <w:r w:rsidR="00142DF1" w:rsidRPr="00B45B4F">
              <w:rPr>
                <w:rFonts w:ascii="Verdana" w:hAnsi="Verdana"/>
                <w:sz w:val="20"/>
                <w:szCs w:val="20"/>
                <w:lang w:val="bg-BG" w:eastAsia="cs-CZ"/>
              </w:rPr>
              <w:t xml:space="preserve">по ПРСР (Мярка 7.3) са предвидени инвестиции за създаване на широколентова инфраструктура, докато по </w:t>
            </w:r>
            <w:proofErr w:type="spellStart"/>
            <w:r w:rsidR="00142DF1" w:rsidRPr="00B45B4F">
              <w:rPr>
                <w:rFonts w:ascii="Verdana" w:hAnsi="Verdana"/>
                <w:sz w:val="20"/>
                <w:szCs w:val="20"/>
                <w:lang w:val="bg-BG" w:eastAsia="cs-CZ"/>
              </w:rPr>
              <w:t>ПО</w:t>
            </w:r>
            <w:proofErr w:type="spellEnd"/>
            <w:r w:rsidR="00142DF1" w:rsidRPr="00B45B4F">
              <w:rPr>
                <w:rFonts w:ascii="Verdana" w:hAnsi="Verdana"/>
                <w:sz w:val="20"/>
                <w:szCs w:val="20"/>
                <w:lang w:val="bg-BG" w:eastAsia="cs-CZ"/>
              </w:rPr>
              <w:t xml:space="preserve"> 2, ИП 1 на ОПНОИР са </w:t>
            </w:r>
            <w:r w:rsidRPr="00B45B4F">
              <w:rPr>
                <w:rFonts w:ascii="Verdana" w:hAnsi="Verdana"/>
                <w:sz w:val="20"/>
                <w:szCs w:val="20"/>
                <w:lang w:val="bg-BG" w:eastAsia="cs-CZ"/>
              </w:rPr>
              <w:t>предвидени дейности за внедряване на ИКТ в училищата.</w:t>
            </w:r>
          </w:p>
          <w:p w:rsidR="00142DF1" w:rsidRPr="00B45B4F" w:rsidRDefault="00561D57" w:rsidP="00890623">
            <w:pPr>
              <w:spacing w:after="120"/>
              <w:jc w:val="both"/>
              <w:rPr>
                <w:rFonts w:ascii="Verdana" w:hAnsi="Verdana"/>
                <w:sz w:val="20"/>
                <w:szCs w:val="20"/>
                <w:lang w:val="bg-BG" w:eastAsia="cs-CZ"/>
              </w:rPr>
            </w:pPr>
            <w:r w:rsidRPr="00B45B4F">
              <w:rPr>
                <w:rFonts w:ascii="Verdana" w:hAnsi="Verdana"/>
                <w:sz w:val="20"/>
                <w:szCs w:val="20"/>
                <w:lang w:val="bg-BG" w:eastAsia="cs-CZ"/>
              </w:rPr>
              <w:t xml:space="preserve">Наред с </w:t>
            </w:r>
            <w:r w:rsidR="00555A50" w:rsidRPr="00B45B4F">
              <w:rPr>
                <w:rFonts w:ascii="Verdana" w:hAnsi="Verdana"/>
                <w:sz w:val="20"/>
                <w:szCs w:val="20"/>
                <w:lang w:val="bg-BG" w:eastAsia="cs-CZ"/>
              </w:rPr>
              <w:t>посочените области на допълване между програмите</w:t>
            </w:r>
            <w:r w:rsidRPr="00B45B4F">
              <w:rPr>
                <w:rFonts w:ascii="Verdana" w:hAnsi="Verdana"/>
                <w:sz w:val="20"/>
                <w:szCs w:val="20"/>
                <w:lang w:val="bg-BG" w:eastAsia="cs-CZ"/>
              </w:rPr>
              <w:t xml:space="preserve">, </w:t>
            </w:r>
            <w:r w:rsidR="00555A50" w:rsidRPr="00B45B4F">
              <w:rPr>
                <w:rFonts w:ascii="Verdana" w:hAnsi="Verdana"/>
                <w:sz w:val="20"/>
                <w:szCs w:val="20"/>
                <w:lang w:val="bg-BG" w:eastAsia="cs-CZ"/>
              </w:rPr>
              <w:t xml:space="preserve">следва да се отчете, че </w:t>
            </w:r>
            <w:r w:rsidRPr="00B45B4F">
              <w:rPr>
                <w:rFonts w:ascii="Verdana" w:hAnsi="Verdana"/>
                <w:sz w:val="20"/>
                <w:szCs w:val="20"/>
                <w:lang w:val="bg-BG" w:eastAsia="cs-CZ"/>
              </w:rPr>
              <w:t>съществува възможност и за потенциално дублиране на инвестиции, тъй като ОПНОИР също предвижда възможности за инвестиране в оборудване за училища, включително в селските райони, главно ИКТ (ПО2, ИП1).</w:t>
            </w:r>
          </w:p>
          <w:p w:rsidR="00B800F2" w:rsidRPr="00B45B4F" w:rsidRDefault="00B800F2" w:rsidP="00890623">
            <w:pPr>
              <w:spacing w:after="120"/>
              <w:jc w:val="both"/>
              <w:rPr>
                <w:rFonts w:ascii="Verdana" w:hAnsi="Verdana"/>
                <w:sz w:val="20"/>
                <w:szCs w:val="20"/>
                <w:lang w:val="bg-BG" w:eastAsia="cs-CZ"/>
              </w:rPr>
            </w:pPr>
            <w:r w:rsidRPr="00B45B4F">
              <w:rPr>
                <w:rFonts w:ascii="Verdana" w:hAnsi="Verdana"/>
                <w:sz w:val="20"/>
                <w:szCs w:val="20"/>
                <w:lang w:val="bg-BG"/>
              </w:rPr>
              <w:t>В областта на трансфера на зна</w:t>
            </w:r>
            <w:r w:rsidR="005D2C2D" w:rsidRPr="00B45B4F">
              <w:rPr>
                <w:rFonts w:ascii="Verdana" w:hAnsi="Verdana"/>
                <w:sz w:val="20"/>
                <w:szCs w:val="20"/>
                <w:lang w:val="bg-BG"/>
              </w:rPr>
              <w:t>н</w:t>
            </w:r>
            <w:r w:rsidRPr="00B45B4F">
              <w:rPr>
                <w:rFonts w:ascii="Verdana" w:hAnsi="Verdana"/>
                <w:sz w:val="20"/>
                <w:szCs w:val="20"/>
                <w:lang w:val="bg-BG"/>
              </w:rPr>
              <w:t>ия и иновации ПРСР предвижда „финансиране на иновативни инвестиционни проекти в рамките на стратегиите за местно развитие (проекти, които са свързани директно с въвеждане на нови технологии)“. Тази подкрепа ще допълва дейностите по ОПНОИР, предвиждащи подкрепа за приложни изследвания (ПО1, ИП2)</w:t>
            </w:r>
          </w:p>
        </w:tc>
      </w:tr>
      <w:tr w:rsidR="0088514D" w:rsidRPr="00B45B4F" w:rsidTr="00AF6F4A">
        <w:tc>
          <w:tcPr>
            <w:tcW w:w="1717" w:type="dxa"/>
            <w:shd w:val="clear" w:color="auto" w:fill="548DD4" w:themeFill="text2" w:themeFillTint="99"/>
          </w:tcPr>
          <w:p w:rsidR="0088514D" w:rsidRPr="00B45B4F" w:rsidRDefault="0088514D" w:rsidP="0088514D">
            <w:pPr>
              <w:spacing w:after="0"/>
              <w:rPr>
                <w:rFonts w:ascii="Verdana" w:hAnsi="Verdana"/>
                <w:color w:val="FFFFFF" w:themeColor="background1"/>
                <w:sz w:val="20"/>
                <w:szCs w:val="20"/>
                <w:lang w:val="bg-BG"/>
              </w:rPr>
            </w:pPr>
            <w:r w:rsidRPr="00B45B4F">
              <w:rPr>
                <w:rFonts w:ascii="Verdana" w:hAnsi="Verdana"/>
                <w:color w:val="FFFFFF" w:themeColor="background1"/>
                <w:sz w:val="20"/>
                <w:szCs w:val="20"/>
                <w:lang w:val="bg-BG" w:eastAsia="cs-CZ"/>
              </w:rPr>
              <w:lastRenderedPageBreak/>
              <w:t>Препоръка</w:t>
            </w:r>
          </w:p>
        </w:tc>
        <w:tc>
          <w:tcPr>
            <w:tcW w:w="7380" w:type="dxa"/>
          </w:tcPr>
          <w:p w:rsidR="0088514D" w:rsidRPr="00B45B4F" w:rsidRDefault="00462A1D" w:rsidP="00890623">
            <w:pPr>
              <w:spacing w:after="120"/>
              <w:jc w:val="both"/>
              <w:rPr>
                <w:rFonts w:ascii="Verdana" w:hAnsi="Verdana"/>
                <w:sz w:val="20"/>
                <w:szCs w:val="20"/>
                <w:lang w:val="bg-BG"/>
              </w:rPr>
            </w:pPr>
            <w:r w:rsidRPr="00B45B4F">
              <w:rPr>
                <w:rFonts w:ascii="Verdana" w:hAnsi="Verdana"/>
                <w:sz w:val="20"/>
                <w:szCs w:val="20"/>
                <w:lang w:val="bg-BG"/>
              </w:rPr>
              <w:t>Необходимо е по-ясно разграничение между програмите по отношение на дейностите</w:t>
            </w:r>
            <w:r w:rsidR="00EC3269" w:rsidRPr="00B45B4F">
              <w:rPr>
                <w:rFonts w:ascii="Verdana" w:hAnsi="Verdana"/>
                <w:sz w:val="20"/>
                <w:szCs w:val="20"/>
                <w:lang w:val="bg-BG"/>
              </w:rPr>
              <w:t>,</w:t>
            </w:r>
            <w:r w:rsidRPr="00B45B4F">
              <w:rPr>
                <w:rFonts w:ascii="Verdana" w:hAnsi="Verdana"/>
                <w:sz w:val="20"/>
                <w:szCs w:val="20"/>
                <w:lang w:val="bg-BG"/>
              </w:rPr>
              <w:t xml:space="preserve"> насочени към инвестиции в образователна инфраструктура</w:t>
            </w:r>
            <w:r w:rsidR="001060B7" w:rsidRPr="00B45B4F">
              <w:rPr>
                <w:rFonts w:ascii="Verdana" w:hAnsi="Verdana"/>
                <w:sz w:val="20"/>
                <w:szCs w:val="20"/>
                <w:lang w:val="bg-BG"/>
              </w:rPr>
              <w:t xml:space="preserve"> и по отношение на възможностите за закупуване на машини и оборудване от страна на научни институти/висши училища.</w:t>
            </w:r>
          </w:p>
          <w:p w:rsidR="005D2C2D" w:rsidRPr="00B45B4F" w:rsidRDefault="001060B7" w:rsidP="00890623">
            <w:pPr>
              <w:spacing w:after="120"/>
              <w:jc w:val="both"/>
              <w:rPr>
                <w:rFonts w:ascii="Verdana" w:hAnsi="Verdana"/>
                <w:sz w:val="20"/>
                <w:szCs w:val="20"/>
                <w:lang w:val="bg-BG" w:eastAsia="cs-CZ"/>
              </w:rPr>
            </w:pPr>
            <w:r w:rsidRPr="00B45B4F">
              <w:rPr>
                <w:rFonts w:ascii="Verdana" w:hAnsi="Verdana"/>
                <w:sz w:val="20"/>
                <w:szCs w:val="20"/>
                <w:lang w:val="bg-BG"/>
              </w:rPr>
              <w:t xml:space="preserve">Необходимо </w:t>
            </w:r>
            <w:r w:rsidR="00185872" w:rsidRPr="00B45B4F">
              <w:rPr>
                <w:rFonts w:ascii="Verdana" w:hAnsi="Verdana"/>
                <w:sz w:val="20"/>
                <w:szCs w:val="20"/>
                <w:lang w:val="bg-BG"/>
              </w:rPr>
              <w:t xml:space="preserve">е, също така, </w:t>
            </w:r>
            <w:r w:rsidRPr="00B45B4F">
              <w:rPr>
                <w:rFonts w:ascii="Verdana" w:hAnsi="Verdana"/>
                <w:sz w:val="20"/>
                <w:szCs w:val="20"/>
                <w:lang w:val="bg-BG"/>
              </w:rPr>
              <w:t>да се опише д</w:t>
            </w:r>
            <w:r w:rsidR="005D2C2D" w:rsidRPr="00B45B4F">
              <w:rPr>
                <w:rFonts w:ascii="Verdana" w:hAnsi="Verdana"/>
                <w:sz w:val="20"/>
                <w:szCs w:val="20"/>
                <w:lang w:val="bg-BG"/>
              </w:rPr>
              <w:t>опълването по отношение на научни</w:t>
            </w:r>
            <w:r w:rsidR="00185872" w:rsidRPr="00B45B4F">
              <w:rPr>
                <w:rFonts w:ascii="Verdana" w:hAnsi="Verdana"/>
                <w:sz w:val="20"/>
                <w:szCs w:val="20"/>
                <w:lang w:val="bg-BG"/>
              </w:rPr>
              <w:t>те</w:t>
            </w:r>
            <w:r w:rsidR="005D2C2D" w:rsidRPr="00B45B4F">
              <w:rPr>
                <w:rFonts w:ascii="Verdana" w:hAnsi="Verdana"/>
                <w:sz w:val="20"/>
                <w:szCs w:val="20"/>
                <w:lang w:val="bg-BG"/>
              </w:rPr>
              <w:t xml:space="preserve"> изследвания и сътрудничество</w:t>
            </w:r>
            <w:r w:rsidR="00185872" w:rsidRPr="00B45B4F">
              <w:rPr>
                <w:rFonts w:ascii="Verdana" w:hAnsi="Verdana"/>
                <w:sz w:val="20"/>
                <w:szCs w:val="20"/>
                <w:lang w:val="bg-BG"/>
              </w:rPr>
              <w:t>то</w:t>
            </w:r>
            <w:r w:rsidR="005D2C2D" w:rsidRPr="00B45B4F">
              <w:rPr>
                <w:rFonts w:ascii="Verdana" w:hAnsi="Verdana"/>
                <w:sz w:val="20"/>
                <w:szCs w:val="20"/>
                <w:lang w:val="bg-BG"/>
              </w:rPr>
              <w:t xml:space="preserve"> с бизнеса в областта на селското стопанство</w:t>
            </w:r>
            <w:r w:rsidRPr="00B45B4F">
              <w:rPr>
                <w:rFonts w:ascii="Verdana" w:hAnsi="Verdana"/>
                <w:sz w:val="20"/>
                <w:szCs w:val="20"/>
                <w:lang w:val="bg-BG"/>
              </w:rPr>
              <w:t>, както и да се търсят по-големи възможности за допълване в този аспект.</w:t>
            </w:r>
          </w:p>
        </w:tc>
      </w:tr>
    </w:tbl>
    <w:p w:rsidR="0088514D" w:rsidRPr="00B45B4F" w:rsidRDefault="0088514D" w:rsidP="0088514D">
      <w:pPr>
        <w:ind w:left="360"/>
        <w:rPr>
          <w:rFonts w:ascii="Verdana" w:hAnsi="Verdana"/>
          <w:b/>
          <w:sz w:val="20"/>
          <w:szCs w:val="20"/>
          <w:lang w:val="bg-BG" w:eastAsia="cs-CZ"/>
        </w:rPr>
      </w:pPr>
    </w:p>
    <w:p w:rsidR="00DF1209" w:rsidRPr="00B45B4F" w:rsidRDefault="00DF1209" w:rsidP="00416243">
      <w:pPr>
        <w:keepNext/>
        <w:pBdr>
          <w:bottom w:val="single" w:sz="4" w:space="1" w:color="0070C0"/>
        </w:pBdr>
        <w:spacing w:before="360" w:after="120"/>
        <w:jc w:val="both"/>
        <w:rPr>
          <w:rFonts w:ascii="Verdana" w:hAnsi="Verdana"/>
          <w:color w:val="0070C0"/>
          <w:sz w:val="20"/>
          <w:szCs w:val="20"/>
          <w:lang w:val="bg-BG" w:eastAsia="cs-CZ"/>
        </w:rPr>
      </w:pPr>
      <w:r w:rsidRPr="00B45B4F">
        <w:rPr>
          <w:rFonts w:ascii="Verdana" w:hAnsi="Verdana"/>
          <w:color w:val="0070C0"/>
          <w:sz w:val="20"/>
          <w:szCs w:val="20"/>
          <w:lang w:val="bg-BG" w:eastAsia="cs-CZ"/>
        </w:rPr>
        <w:lastRenderedPageBreak/>
        <w:t xml:space="preserve">Програма за морско дело и рибарство (ПМДР) </w:t>
      </w:r>
      <w:r w:rsidR="005106CE" w:rsidRPr="00B45B4F">
        <w:rPr>
          <w:rFonts w:ascii="Verdana" w:hAnsi="Verdana"/>
          <w:color w:val="0070C0"/>
          <w:sz w:val="20"/>
          <w:szCs w:val="20"/>
          <w:lang w:val="bg-BG" w:eastAsia="cs-CZ"/>
        </w:rPr>
        <w:t>2014–2020</w:t>
      </w:r>
      <w:r w:rsidRPr="00B45B4F">
        <w:rPr>
          <w:rFonts w:ascii="Verdana" w:hAnsi="Verdana"/>
          <w:color w:val="0070C0"/>
          <w:sz w:val="20"/>
          <w:szCs w:val="20"/>
          <w:lang w:val="bg-BG" w:eastAsia="cs-CZ"/>
        </w:rPr>
        <w:t xml:space="preserve"> г.</w:t>
      </w:r>
    </w:p>
    <w:p w:rsidR="002E0D02" w:rsidRPr="00B45B4F" w:rsidRDefault="002E0D02" w:rsidP="002E0D02">
      <w:pPr>
        <w:pStyle w:val="Caption"/>
        <w:jc w:val="center"/>
        <w:rPr>
          <w:rFonts w:ascii="Verdana" w:hAnsi="Verdana"/>
          <w:color w:val="006CB6"/>
        </w:rPr>
      </w:pPr>
    </w:p>
    <w:tbl>
      <w:tblPr>
        <w:tblW w:w="9103" w:type="dxa"/>
        <w:tblInd w:w="95" w:type="dxa"/>
        <w:shd w:val="clear" w:color="auto" w:fill="DBE5F1" w:themeFill="accent1" w:themeFillTint="33"/>
        <w:tblLook w:val="04A0" w:firstRow="1" w:lastRow="0" w:firstColumn="1" w:lastColumn="0" w:noHBand="0" w:noVBand="1"/>
      </w:tblPr>
      <w:tblGrid>
        <w:gridCol w:w="9103"/>
      </w:tblGrid>
      <w:tr w:rsidR="002E0D02" w:rsidRPr="00B45B4F" w:rsidTr="00D01E8E">
        <w:trPr>
          <w:trHeight w:val="300"/>
        </w:trPr>
        <w:tc>
          <w:tcPr>
            <w:tcW w:w="9103" w:type="dxa"/>
            <w:tcBorders>
              <w:top w:val="single" w:sz="4" w:space="0" w:color="auto"/>
              <w:bottom w:val="single" w:sz="4" w:space="0" w:color="auto"/>
            </w:tcBorders>
            <w:shd w:val="clear" w:color="auto" w:fill="548DD4" w:themeFill="text2" w:themeFillTint="99"/>
            <w:hideMark/>
          </w:tcPr>
          <w:p w:rsidR="002E0D02" w:rsidRPr="00B45B4F" w:rsidRDefault="002E0D02" w:rsidP="002E0D02">
            <w:pPr>
              <w:spacing w:after="0" w:line="240" w:lineRule="auto"/>
              <w:jc w:val="both"/>
              <w:rPr>
                <w:rFonts w:ascii="Verdana" w:eastAsia="Times New Roman" w:hAnsi="Verdana"/>
                <w:bCs/>
                <w:color w:val="FFFFFF"/>
                <w:sz w:val="20"/>
                <w:szCs w:val="20"/>
                <w:lang w:val="bg-BG"/>
              </w:rPr>
            </w:pPr>
            <w:r w:rsidRPr="00B45B4F">
              <w:rPr>
                <w:rFonts w:ascii="Verdana" w:eastAsia="Times New Roman" w:hAnsi="Verdana"/>
                <w:bCs/>
                <w:color w:val="FFFFFF"/>
                <w:sz w:val="20"/>
                <w:szCs w:val="20"/>
                <w:lang w:val="bg-BG"/>
              </w:rPr>
              <w:t>Глава I: Устойчиво развитие на рибарството</w:t>
            </w:r>
          </w:p>
        </w:tc>
      </w:tr>
      <w:tr w:rsidR="002E0D02" w:rsidRPr="00B45B4F" w:rsidTr="00F629E3">
        <w:trPr>
          <w:trHeight w:val="300"/>
        </w:trPr>
        <w:tc>
          <w:tcPr>
            <w:tcW w:w="9103" w:type="dxa"/>
            <w:tcBorders>
              <w:top w:val="single" w:sz="4" w:space="0" w:color="auto"/>
            </w:tcBorders>
            <w:shd w:val="clear" w:color="auto" w:fill="auto"/>
            <w:hideMark/>
          </w:tcPr>
          <w:p w:rsidR="002E0D02" w:rsidRPr="00B45B4F" w:rsidRDefault="002E0D02" w:rsidP="002E0D02">
            <w:pPr>
              <w:spacing w:after="0" w:line="240" w:lineRule="auto"/>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 xml:space="preserve">1. Иновации в рибарството </w:t>
            </w:r>
          </w:p>
        </w:tc>
      </w:tr>
      <w:tr w:rsidR="002E0D02" w:rsidRPr="00B45B4F" w:rsidTr="00F629E3">
        <w:trPr>
          <w:trHeight w:val="300"/>
        </w:trPr>
        <w:tc>
          <w:tcPr>
            <w:tcW w:w="9103" w:type="dxa"/>
            <w:shd w:val="clear" w:color="auto" w:fill="auto"/>
            <w:hideMark/>
          </w:tcPr>
          <w:p w:rsidR="002E0D02" w:rsidRPr="00B45B4F" w:rsidRDefault="002E0D02" w:rsidP="002E0D02">
            <w:pPr>
              <w:spacing w:after="0" w:line="240" w:lineRule="auto"/>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2. Нови форми на доход, диверсификация и създаване на работни места в рибарството</w:t>
            </w:r>
          </w:p>
        </w:tc>
      </w:tr>
      <w:tr w:rsidR="002E0D02" w:rsidRPr="00B45B4F" w:rsidTr="00F629E3">
        <w:trPr>
          <w:trHeight w:val="300"/>
        </w:trPr>
        <w:tc>
          <w:tcPr>
            <w:tcW w:w="9103" w:type="dxa"/>
            <w:shd w:val="clear" w:color="auto" w:fill="auto"/>
            <w:hideMark/>
          </w:tcPr>
          <w:p w:rsidR="002E0D02" w:rsidRPr="00B45B4F" w:rsidRDefault="002E0D02" w:rsidP="002E0D02">
            <w:pPr>
              <w:spacing w:after="0" w:line="240" w:lineRule="auto"/>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3. Инвестиции на борда</w:t>
            </w:r>
          </w:p>
        </w:tc>
      </w:tr>
      <w:tr w:rsidR="002E0D02" w:rsidRPr="00B45B4F" w:rsidTr="00F629E3">
        <w:trPr>
          <w:trHeight w:val="300"/>
        </w:trPr>
        <w:tc>
          <w:tcPr>
            <w:tcW w:w="9103" w:type="dxa"/>
            <w:shd w:val="clear" w:color="auto" w:fill="auto"/>
            <w:hideMark/>
          </w:tcPr>
          <w:p w:rsidR="002E0D02" w:rsidRPr="00B45B4F" w:rsidRDefault="002E0D02" w:rsidP="002E0D02">
            <w:pPr>
              <w:spacing w:after="0" w:line="240" w:lineRule="auto"/>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4. Окончателно преустановяване на риболовните дейности</w:t>
            </w:r>
          </w:p>
        </w:tc>
      </w:tr>
      <w:tr w:rsidR="002E0D02" w:rsidRPr="00B45B4F" w:rsidTr="00F629E3">
        <w:trPr>
          <w:trHeight w:val="300"/>
        </w:trPr>
        <w:tc>
          <w:tcPr>
            <w:tcW w:w="9103" w:type="dxa"/>
            <w:shd w:val="clear" w:color="auto" w:fill="auto"/>
            <w:hideMark/>
          </w:tcPr>
          <w:p w:rsidR="002E0D02" w:rsidRPr="00B45B4F" w:rsidRDefault="002E0D02" w:rsidP="002E0D02">
            <w:pPr>
              <w:spacing w:after="0" w:line="240" w:lineRule="auto"/>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5. Опазване и възстановяване на морското биологично разнообразие и екосистеми</w:t>
            </w:r>
          </w:p>
        </w:tc>
      </w:tr>
      <w:tr w:rsidR="002E0D02" w:rsidRPr="00B45B4F" w:rsidTr="00F629E3">
        <w:trPr>
          <w:trHeight w:val="300"/>
        </w:trPr>
        <w:tc>
          <w:tcPr>
            <w:tcW w:w="9103" w:type="dxa"/>
            <w:shd w:val="clear" w:color="auto" w:fill="auto"/>
            <w:hideMark/>
          </w:tcPr>
          <w:p w:rsidR="002E0D02" w:rsidRPr="00B45B4F" w:rsidRDefault="002E0D02" w:rsidP="002E0D02">
            <w:pPr>
              <w:spacing w:after="0" w:line="240" w:lineRule="auto"/>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6. Добавена стойност и качество на продуктите от риболов</w:t>
            </w:r>
          </w:p>
        </w:tc>
      </w:tr>
      <w:tr w:rsidR="002E0D02" w:rsidRPr="00B45B4F" w:rsidTr="00F629E3">
        <w:trPr>
          <w:trHeight w:val="300"/>
        </w:trPr>
        <w:tc>
          <w:tcPr>
            <w:tcW w:w="9103" w:type="dxa"/>
            <w:tcBorders>
              <w:bottom w:val="single" w:sz="4" w:space="0" w:color="auto"/>
            </w:tcBorders>
            <w:shd w:val="clear" w:color="auto" w:fill="auto"/>
            <w:hideMark/>
          </w:tcPr>
          <w:p w:rsidR="002E0D02" w:rsidRPr="00B45B4F" w:rsidRDefault="002E0D02" w:rsidP="002E0D02">
            <w:pPr>
              <w:spacing w:after="0" w:line="240" w:lineRule="auto"/>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 xml:space="preserve">7. Рибарски пристанища, кейове за разтоварване и покрити </w:t>
            </w:r>
            <w:proofErr w:type="spellStart"/>
            <w:r w:rsidRPr="00B45B4F">
              <w:rPr>
                <w:rFonts w:ascii="Verdana" w:eastAsia="Times New Roman" w:hAnsi="Verdana"/>
                <w:color w:val="000000"/>
                <w:sz w:val="20"/>
                <w:szCs w:val="20"/>
                <w:lang w:val="bg-BG"/>
              </w:rPr>
              <w:t>лодкостоянки</w:t>
            </w:r>
            <w:proofErr w:type="spellEnd"/>
          </w:p>
        </w:tc>
      </w:tr>
      <w:tr w:rsidR="002E0D02" w:rsidRPr="00B45B4F" w:rsidTr="00D01E8E">
        <w:trPr>
          <w:trHeight w:val="300"/>
        </w:trPr>
        <w:tc>
          <w:tcPr>
            <w:tcW w:w="9103" w:type="dxa"/>
            <w:tcBorders>
              <w:top w:val="single" w:sz="4" w:space="0" w:color="auto"/>
              <w:bottom w:val="single" w:sz="4" w:space="0" w:color="auto"/>
            </w:tcBorders>
            <w:shd w:val="clear" w:color="auto" w:fill="548DD4" w:themeFill="text2" w:themeFillTint="99"/>
            <w:hideMark/>
          </w:tcPr>
          <w:p w:rsidR="002E0D02" w:rsidRPr="00B45B4F" w:rsidRDefault="002E0D02" w:rsidP="002E0D02">
            <w:pPr>
              <w:spacing w:after="0" w:line="240" w:lineRule="auto"/>
              <w:jc w:val="both"/>
              <w:rPr>
                <w:rFonts w:ascii="Verdana" w:eastAsia="Times New Roman" w:hAnsi="Verdana"/>
                <w:bCs/>
                <w:color w:val="FFFFFF"/>
                <w:sz w:val="20"/>
                <w:szCs w:val="20"/>
                <w:lang w:val="bg-BG"/>
              </w:rPr>
            </w:pPr>
            <w:r w:rsidRPr="00B45B4F">
              <w:rPr>
                <w:rFonts w:ascii="Verdana" w:eastAsia="Times New Roman" w:hAnsi="Verdana"/>
                <w:bCs/>
                <w:color w:val="FFFFFF"/>
                <w:sz w:val="20"/>
                <w:szCs w:val="20"/>
                <w:lang w:val="bg-BG"/>
              </w:rPr>
              <w:t xml:space="preserve">Глава II: Устойчиво развитие на </w:t>
            </w:r>
            <w:proofErr w:type="spellStart"/>
            <w:r w:rsidRPr="00B45B4F">
              <w:rPr>
                <w:rFonts w:ascii="Verdana" w:eastAsia="Times New Roman" w:hAnsi="Verdana"/>
                <w:bCs/>
                <w:color w:val="FFFFFF"/>
                <w:sz w:val="20"/>
                <w:szCs w:val="20"/>
                <w:lang w:val="bg-BG"/>
              </w:rPr>
              <w:t>аквакултурите</w:t>
            </w:r>
            <w:proofErr w:type="spellEnd"/>
          </w:p>
        </w:tc>
      </w:tr>
      <w:tr w:rsidR="002E0D02" w:rsidRPr="00B45B4F" w:rsidTr="00F629E3">
        <w:trPr>
          <w:trHeight w:val="300"/>
        </w:trPr>
        <w:tc>
          <w:tcPr>
            <w:tcW w:w="9103" w:type="dxa"/>
            <w:tcBorders>
              <w:top w:val="single" w:sz="4" w:space="0" w:color="auto"/>
            </w:tcBorders>
            <w:shd w:val="clear" w:color="auto" w:fill="auto"/>
            <w:hideMark/>
          </w:tcPr>
          <w:p w:rsidR="002E0D02" w:rsidRPr="00B45B4F" w:rsidRDefault="002E0D02" w:rsidP="002E0D02">
            <w:pPr>
              <w:spacing w:after="0" w:line="240" w:lineRule="auto"/>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 xml:space="preserve">8. Иновации в </w:t>
            </w:r>
            <w:proofErr w:type="spellStart"/>
            <w:r w:rsidRPr="00B45B4F">
              <w:rPr>
                <w:rFonts w:ascii="Verdana" w:eastAsia="Times New Roman" w:hAnsi="Verdana"/>
                <w:color w:val="000000"/>
                <w:sz w:val="20"/>
                <w:szCs w:val="20"/>
                <w:lang w:val="bg-BG"/>
              </w:rPr>
              <w:t>аквакултурата</w:t>
            </w:r>
            <w:proofErr w:type="spellEnd"/>
          </w:p>
        </w:tc>
      </w:tr>
      <w:tr w:rsidR="002E0D02" w:rsidRPr="00B45B4F" w:rsidTr="00F629E3">
        <w:trPr>
          <w:trHeight w:val="300"/>
        </w:trPr>
        <w:tc>
          <w:tcPr>
            <w:tcW w:w="9103" w:type="dxa"/>
            <w:shd w:val="clear" w:color="auto" w:fill="auto"/>
            <w:hideMark/>
          </w:tcPr>
          <w:p w:rsidR="002E0D02" w:rsidRPr="00B45B4F" w:rsidRDefault="002E0D02" w:rsidP="002E0D02">
            <w:pPr>
              <w:spacing w:after="0" w:line="240" w:lineRule="auto"/>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 xml:space="preserve">9. Производствени инвестиции в </w:t>
            </w:r>
            <w:proofErr w:type="spellStart"/>
            <w:r w:rsidRPr="00B45B4F">
              <w:rPr>
                <w:rFonts w:ascii="Verdana" w:eastAsia="Times New Roman" w:hAnsi="Verdana"/>
                <w:color w:val="000000"/>
                <w:sz w:val="20"/>
                <w:szCs w:val="20"/>
                <w:lang w:val="bg-BG"/>
              </w:rPr>
              <w:t>аквакултурите</w:t>
            </w:r>
            <w:proofErr w:type="spellEnd"/>
          </w:p>
        </w:tc>
      </w:tr>
      <w:tr w:rsidR="002E0D02" w:rsidRPr="00B45B4F" w:rsidTr="00F629E3">
        <w:trPr>
          <w:trHeight w:val="300"/>
        </w:trPr>
        <w:tc>
          <w:tcPr>
            <w:tcW w:w="9103" w:type="dxa"/>
            <w:shd w:val="clear" w:color="auto" w:fill="auto"/>
            <w:hideMark/>
          </w:tcPr>
          <w:p w:rsidR="002E0D02" w:rsidRPr="00B45B4F" w:rsidRDefault="002E0D02" w:rsidP="002E0D02">
            <w:pPr>
              <w:spacing w:after="0" w:line="240" w:lineRule="auto"/>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 xml:space="preserve">10. Нови форми на доход и добавена стойност в </w:t>
            </w:r>
            <w:proofErr w:type="spellStart"/>
            <w:r w:rsidRPr="00B45B4F">
              <w:rPr>
                <w:rFonts w:ascii="Verdana" w:eastAsia="Times New Roman" w:hAnsi="Verdana"/>
                <w:color w:val="000000"/>
                <w:sz w:val="20"/>
                <w:szCs w:val="20"/>
                <w:lang w:val="bg-BG"/>
              </w:rPr>
              <w:t>аквакултурата</w:t>
            </w:r>
            <w:proofErr w:type="spellEnd"/>
          </w:p>
        </w:tc>
      </w:tr>
      <w:tr w:rsidR="002E0D02" w:rsidRPr="00B45B4F" w:rsidTr="00F629E3">
        <w:trPr>
          <w:trHeight w:val="300"/>
        </w:trPr>
        <w:tc>
          <w:tcPr>
            <w:tcW w:w="9103" w:type="dxa"/>
            <w:shd w:val="clear" w:color="auto" w:fill="auto"/>
            <w:hideMark/>
          </w:tcPr>
          <w:p w:rsidR="002E0D02" w:rsidRPr="00B45B4F" w:rsidRDefault="002E0D02" w:rsidP="002E0D02">
            <w:pPr>
              <w:spacing w:after="0" w:line="240" w:lineRule="auto"/>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 xml:space="preserve">11. Услуги за околната среда и биологично производство </w:t>
            </w:r>
          </w:p>
        </w:tc>
      </w:tr>
      <w:tr w:rsidR="002E0D02" w:rsidRPr="00B45B4F" w:rsidTr="00F629E3">
        <w:trPr>
          <w:trHeight w:val="300"/>
        </w:trPr>
        <w:tc>
          <w:tcPr>
            <w:tcW w:w="9103" w:type="dxa"/>
            <w:tcBorders>
              <w:bottom w:val="single" w:sz="4" w:space="0" w:color="auto"/>
            </w:tcBorders>
            <w:shd w:val="clear" w:color="auto" w:fill="auto"/>
            <w:hideMark/>
          </w:tcPr>
          <w:p w:rsidR="002E0D02" w:rsidRPr="00B45B4F" w:rsidRDefault="002E0D02" w:rsidP="002E0D02">
            <w:pPr>
              <w:spacing w:after="0" w:line="240" w:lineRule="auto"/>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 xml:space="preserve">12. Застраховане на продукцията от </w:t>
            </w:r>
            <w:proofErr w:type="spellStart"/>
            <w:r w:rsidRPr="00B45B4F">
              <w:rPr>
                <w:rFonts w:ascii="Verdana" w:eastAsia="Times New Roman" w:hAnsi="Verdana"/>
                <w:color w:val="000000"/>
                <w:sz w:val="20"/>
                <w:szCs w:val="20"/>
                <w:lang w:val="bg-BG"/>
              </w:rPr>
              <w:t>аквакултури</w:t>
            </w:r>
            <w:proofErr w:type="spellEnd"/>
          </w:p>
        </w:tc>
      </w:tr>
      <w:tr w:rsidR="002E0D02" w:rsidRPr="00B45B4F" w:rsidTr="00D01E8E">
        <w:trPr>
          <w:trHeight w:val="300"/>
        </w:trPr>
        <w:tc>
          <w:tcPr>
            <w:tcW w:w="9103" w:type="dxa"/>
            <w:tcBorders>
              <w:top w:val="single" w:sz="4" w:space="0" w:color="auto"/>
              <w:bottom w:val="single" w:sz="4" w:space="0" w:color="auto"/>
            </w:tcBorders>
            <w:shd w:val="clear" w:color="auto" w:fill="548DD4" w:themeFill="text2" w:themeFillTint="99"/>
            <w:hideMark/>
          </w:tcPr>
          <w:p w:rsidR="002E0D02" w:rsidRPr="00B45B4F" w:rsidRDefault="002E0D02" w:rsidP="002E0D02">
            <w:pPr>
              <w:spacing w:after="0" w:line="240" w:lineRule="auto"/>
              <w:jc w:val="both"/>
              <w:rPr>
                <w:rFonts w:ascii="Verdana" w:eastAsia="Times New Roman" w:hAnsi="Verdana"/>
                <w:bCs/>
                <w:color w:val="FFFFFF"/>
                <w:sz w:val="20"/>
                <w:szCs w:val="20"/>
                <w:lang w:val="bg-BG"/>
              </w:rPr>
            </w:pPr>
            <w:r w:rsidRPr="00B45B4F">
              <w:rPr>
                <w:rFonts w:ascii="Verdana" w:eastAsia="Times New Roman" w:hAnsi="Verdana"/>
                <w:bCs/>
                <w:color w:val="FFFFFF"/>
                <w:sz w:val="20"/>
                <w:szCs w:val="20"/>
                <w:lang w:val="bg-BG"/>
              </w:rPr>
              <w:t>Глава III: Устойчиво развитие на рибарските райони</w:t>
            </w:r>
          </w:p>
        </w:tc>
      </w:tr>
      <w:tr w:rsidR="002E0D02" w:rsidRPr="00B45B4F" w:rsidTr="00D01E8E">
        <w:trPr>
          <w:trHeight w:val="89"/>
        </w:trPr>
        <w:tc>
          <w:tcPr>
            <w:tcW w:w="9103" w:type="dxa"/>
            <w:tcBorders>
              <w:top w:val="single" w:sz="4" w:space="0" w:color="auto"/>
              <w:bottom w:val="single" w:sz="4" w:space="0" w:color="auto"/>
            </w:tcBorders>
            <w:shd w:val="clear" w:color="auto" w:fill="DBE5F1" w:themeFill="accent1" w:themeFillTint="33"/>
            <w:hideMark/>
          </w:tcPr>
          <w:p w:rsidR="002E0D02" w:rsidRPr="00B45B4F" w:rsidRDefault="002E0D02" w:rsidP="002E0D02">
            <w:pPr>
              <w:spacing w:after="0" w:line="240" w:lineRule="auto"/>
              <w:jc w:val="both"/>
              <w:rPr>
                <w:rFonts w:ascii="Verdana" w:eastAsia="Times New Roman" w:hAnsi="Verdana"/>
                <w:b/>
                <w:bCs/>
                <w:color w:val="FFFFFF"/>
                <w:sz w:val="20"/>
                <w:szCs w:val="20"/>
                <w:lang w:val="bg-BG"/>
              </w:rPr>
            </w:pPr>
          </w:p>
        </w:tc>
      </w:tr>
      <w:tr w:rsidR="002E0D02" w:rsidRPr="00B45B4F" w:rsidTr="00D01E8E">
        <w:trPr>
          <w:trHeight w:val="300"/>
        </w:trPr>
        <w:tc>
          <w:tcPr>
            <w:tcW w:w="9103" w:type="dxa"/>
            <w:tcBorders>
              <w:top w:val="single" w:sz="4" w:space="0" w:color="auto"/>
              <w:bottom w:val="single" w:sz="4" w:space="0" w:color="auto"/>
            </w:tcBorders>
            <w:shd w:val="clear" w:color="auto" w:fill="548DD4" w:themeFill="text2" w:themeFillTint="99"/>
            <w:hideMark/>
          </w:tcPr>
          <w:p w:rsidR="002E0D02" w:rsidRPr="00B45B4F" w:rsidRDefault="002E0D02" w:rsidP="002E0D02">
            <w:pPr>
              <w:spacing w:after="0" w:line="240" w:lineRule="auto"/>
              <w:jc w:val="both"/>
              <w:rPr>
                <w:rFonts w:ascii="Verdana" w:eastAsia="Times New Roman" w:hAnsi="Verdana"/>
                <w:bCs/>
                <w:color w:val="FFFFFF"/>
                <w:sz w:val="20"/>
                <w:szCs w:val="20"/>
                <w:lang w:val="bg-BG"/>
              </w:rPr>
            </w:pPr>
            <w:r w:rsidRPr="00B45B4F">
              <w:rPr>
                <w:rFonts w:ascii="Verdana" w:eastAsia="Times New Roman" w:hAnsi="Verdana"/>
                <w:bCs/>
                <w:color w:val="FFFFFF"/>
                <w:sz w:val="20"/>
                <w:szCs w:val="20"/>
                <w:lang w:val="bg-BG"/>
              </w:rPr>
              <w:t>Глава IV: Мерки, свързани с предлагането на пазара и преработването</w:t>
            </w:r>
          </w:p>
        </w:tc>
      </w:tr>
      <w:tr w:rsidR="002E0D02" w:rsidRPr="00B45B4F" w:rsidTr="00F629E3">
        <w:trPr>
          <w:trHeight w:val="300"/>
        </w:trPr>
        <w:tc>
          <w:tcPr>
            <w:tcW w:w="9103" w:type="dxa"/>
            <w:tcBorders>
              <w:top w:val="single" w:sz="4" w:space="0" w:color="auto"/>
            </w:tcBorders>
            <w:shd w:val="clear" w:color="auto" w:fill="auto"/>
            <w:hideMark/>
          </w:tcPr>
          <w:p w:rsidR="002E0D02" w:rsidRPr="00B45B4F" w:rsidRDefault="002E0D02" w:rsidP="002E0D02">
            <w:pPr>
              <w:spacing w:after="0" w:line="240" w:lineRule="auto"/>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13. Мерки за предлагане на пазара</w:t>
            </w:r>
          </w:p>
        </w:tc>
      </w:tr>
      <w:tr w:rsidR="002E0D02" w:rsidRPr="00B45B4F" w:rsidTr="00F629E3">
        <w:trPr>
          <w:trHeight w:val="300"/>
        </w:trPr>
        <w:tc>
          <w:tcPr>
            <w:tcW w:w="9103" w:type="dxa"/>
            <w:shd w:val="clear" w:color="auto" w:fill="auto"/>
            <w:hideMark/>
          </w:tcPr>
          <w:p w:rsidR="002E0D02" w:rsidRPr="00B45B4F" w:rsidRDefault="002E0D02" w:rsidP="002E0D02">
            <w:pPr>
              <w:spacing w:after="0" w:line="240" w:lineRule="auto"/>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 xml:space="preserve">14. Преработване на продуктите на риболова и </w:t>
            </w:r>
            <w:proofErr w:type="spellStart"/>
            <w:r w:rsidRPr="00B45B4F">
              <w:rPr>
                <w:rFonts w:ascii="Verdana" w:eastAsia="Times New Roman" w:hAnsi="Verdana"/>
                <w:color w:val="000000"/>
                <w:sz w:val="20"/>
                <w:szCs w:val="20"/>
                <w:lang w:val="bg-BG"/>
              </w:rPr>
              <w:t>аквакултурите</w:t>
            </w:r>
            <w:proofErr w:type="spellEnd"/>
          </w:p>
        </w:tc>
      </w:tr>
      <w:tr w:rsidR="002E0D02" w:rsidRPr="00B45B4F" w:rsidTr="00F629E3">
        <w:trPr>
          <w:trHeight w:val="300"/>
        </w:trPr>
        <w:tc>
          <w:tcPr>
            <w:tcW w:w="9103" w:type="dxa"/>
            <w:tcBorders>
              <w:bottom w:val="single" w:sz="4" w:space="0" w:color="auto"/>
            </w:tcBorders>
            <w:shd w:val="clear" w:color="auto" w:fill="auto"/>
            <w:hideMark/>
          </w:tcPr>
          <w:p w:rsidR="002E0D02" w:rsidRPr="00B45B4F" w:rsidRDefault="002E0D02" w:rsidP="002E0D02">
            <w:pPr>
              <w:spacing w:after="0" w:line="240" w:lineRule="auto"/>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 xml:space="preserve">15. Контрол и събиране на данни </w:t>
            </w:r>
          </w:p>
        </w:tc>
      </w:tr>
      <w:tr w:rsidR="002E0D02" w:rsidRPr="00B45B4F" w:rsidTr="00D01E8E">
        <w:trPr>
          <w:trHeight w:val="450"/>
        </w:trPr>
        <w:tc>
          <w:tcPr>
            <w:tcW w:w="9103" w:type="dxa"/>
            <w:tcBorders>
              <w:top w:val="single" w:sz="4" w:space="0" w:color="auto"/>
              <w:bottom w:val="single" w:sz="4" w:space="0" w:color="auto"/>
            </w:tcBorders>
            <w:shd w:val="clear" w:color="auto" w:fill="548DD4" w:themeFill="text2" w:themeFillTint="99"/>
            <w:hideMark/>
          </w:tcPr>
          <w:p w:rsidR="002E0D02" w:rsidRPr="00B45B4F" w:rsidRDefault="002E0D02" w:rsidP="002E0D02">
            <w:pPr>
              <w:spacing w:after="0" w:line="240" w:lineRule="auto"/>
              <w:jc w:val="both"/>
              <w:rPr>
                <w:rFonts w:ascii="Verdana" w:eastAsia="Times New Roman" w:hAnsi="Verdana"/>
                <w:bCs/>
                <w:color w:val="FFFFFF"/>
                <w:sz w:val="20"/>
                <w:szCs w:val="20"/>
                <w:lang w:val="bg-BG"/>
              </w:rPr>
            </w:pPr>
            <w:r w:rsidRPr="00B45B4F">
              <w:rPr>
                <w:rFonts w:ascii="Verdana" w:eastAsia="Times New Roman" w:hAnsi="Verdana"/>
                <w:bCs/>
                <w:color w:val="FFFFFF"/>
                <w:sz w:val="20"/>
                <w:szCs w:val="20"/>
                <w:lang w:val="bg-BG"/>
              </w:rPr>
              <w:t>Глава VI: Съпътстващи мерки за обща политика в областта на рибарството при споделено управление</w:t>
            </w:r>
          </w:p>
        </w:tc>
      </w:tr>
      <w:tr w:rsidR="002E0D02" w:rsidRPr="00B45B4F" w:rsidTr="00F629E3">
        <w:trPr>
          <w:trHeight w:val="85"/>
        </w:trPr>
        <w:tc>
          <w:tcPr>
            <w:tcW w:w="9103" w:type="dxa"/>
            <w:tcBorders>
              <w:top w:val="single" w:sz="4" w:space="0" w:color="auto"/>
            </w:tcBorders>
            <w:shd w:val="clear" w:color="auto" w:fill="DBE5F1" w:themeFill="accent1" w:themeFillTint="33"/>
            <w:hideMark/>
          </w:tcPr>
          <w:p w:rsidR="002E0D02" w:rsidRPr="00B45B4F" w:rsidRDefault="002E0D02" w:rsidP="002E0D02">
            <w:pPr>
              <w:spacing w:after="0" w:line="240" w:lineRule="auto"/>
              <w:jc w:val="both"/>
              <w:rPr>
                <w:rFonts w:ascii="Verdana" w:eastAsia="Times New Roman" w:hAnsi="Verdana"/>
                <w:b/>
                <w:bCs/>
                <w:color w:val="FFFFFF"/>
                <w:sz w:val="20"/>
                <w:szCs w:val="20"/>
                <w:lang w:val="bg-BG"/>
              </w:rPr>
            </w:pPr>
          </w:p>
        </w:tc>
      </w:tr>
      <w:tr w:rsidR="002E0D02" w:rsidRPr="00B45B4F" w:rsidTr="00F629E3">
        <w:trPr>
          <w:trHeight w:val="300"/>
        </w:trPr>
        <w:tc>
          <w:tcPr>
            <w:tcW w:w="9103" w:type="dxa"/>
            <w:shd w:val="clear" w:color="auto" w:fill="auto"/>
            <w:hideMark/>
          </w:tcPr>
          <w:p w:rsidR="002E0D02" w:rsidRPr="00B45B4F" w:rsidRDefault="002E0D02" w:rsidP="002E0D02">
            <w:pPr>
              <w:spacing w:after="0" w:line="240" w:lineRule="auto"/>
              <w:jc w:val="both"/>
              <w:rPr>
                <w:rFonts w:ascii="Verdana" w:eastAsia="Times New Roman" w:hAnsi="Verdana"/>
                <w:sz w:val="20"/>
                <w:szCs w:val="20"/>
                <w:lang w:val="bg-BG"/>
              </w:rPr>
            </w:pPr>
            <w:r w:rsidRPr="00B45B4F">
              <w:rPr>
                <w:rFonts w:ascii="Verdana" w:eastAsia="Times New Roman" w:hAnsi="Verdana"/>
                <w:sz w:val="20"/>
                <w:szCs w:val="20"/>
                <w:lang w:val="bg-BG"/>
              </w:rPr>
              <w:t>Изпълнение на стратегиите за местно развитие</w:t>
            </w:r>
          </w:p>
        </w:tc>
      </w:tr>
      <w:tr w:rsidR="002E0D02" w:rsidRPr="00B45B4F" w:rsidTr="00F629E3">
        <w:trPr>
          <w:trHeight w:val="300"/>
        </w:trPr>
        <w:tc>
          <w:tcPr>
            <w:tcW w:w="9103" w:type="dxa"/>
            <w:shd w:val="clear" w:color="auto" w:fill="auto"/>
            <w:hideMark/>
          </w:tcPr>
          <w:p w:rsidR="002E0D02" w:rsidRPr="00B45B4F" w:rsidRDefault="002E0D02" w:rsidP="002E0D02">
            <w:pPr>
              <w:spacing w:after="0" w:line="240" w:lineRule="auto"/>
              <w:jc w:val="both"/>
              <w:rPr>
                <w:rFonts w:ascii="Verdana" w:eastAsia="Times New Roman" w:hAnsi="Verdana"/>
                <w:sz w:val="20"/>
                <w:szCs w:val="20"/>
                <w:lang w:val="bg-BG"/>
              </w:rPr>
            </w:pPr>
            <w:r w:rsidRPr="00B45B4F">
              <w:rPr>
                <w:rFonts w:ascii="Verdana" w:eastAsia="Times New Roman" w:hAnsi="Verdana"/>
                <w:sz w:val="20"/>
                <w:szCs w:val="20"/>
                <w:lang w:val="bg-BG"/>
              </w:rPr>
              <w:t>Техническа помощ</w:t>
            </w:r>
          </w:p>
        </w:tc>
      </w:tr>
    </w:tbl>
    <w:p w:rsidR="002E0D02" w:rsidRPr="00B45B4F" w:rsidRDefault="002E0D02" w:rsidP="002E0D02">
      <w:pPr>
        <w:pStyle w:val="Caption"/>
        <w:jc w:val="center"/>
        <w:rPr>
          <w:rFonts w:ascii="Verdana" w:hAnsi="Verdana"/>
          <w:color w:val="006CB6"/>
        </w:rPr>
      </w:pPr>
    </w:p>
    <w:p w:rsidR="002E0D02" w:rsidRPr="00B45B4F" w:rsidRDefault="002E0D02" w:rsidP="00D01E8E">
      <w:pPr>
        <w:keepNext/>
        <w:spacing w:before="240" w:after="120"/>
        <w:rPr>
          <w:rFonts w:ascii="Verdana" w:hAnsi="Verdana"/>
          <w:b/>
          <w:color w:val="548DD4" w:themeColor="text2" w:themeTint="99"/>
          <w:sz w:val="20"/>
          <w:szCs w:val="20"/>
          <w:lang w:val="bg-BG"/>
        </w:rPr>
      </w:pPr>
      <w:bookmarkStart w:id="71" w:name="_Toc395612571"/>
      <w:r w:rsidRPr="00B45B4F">
        <w:rPr>
          <w:rFonts w:ascii="Verdana" w:hAnsi="Verdana"/>
          <w:b/>
          <w:color w:val="548DD4" w:themeColor="text2" w:themeTint="99"/>
          <w:sz w:val="20"/>
          <w:szCs w:val="20"/>
          <w:lang w:val="bg-BG"/>
        </w:rPr>
        <w:t xml:space="preserve">Таблица </w:t>
      </w:r>
      <w:r w:rsidR="00BF1936" w:rsidRPr="00B45B4F">
        <w:rPr>
          <w:rFonts w:ascii="Verdana" w:hAnsi="Verdana"/>
          <w:b/>
          <w:color w:val="548DD4" w:themeColor="text2" w:themeTint="99"/>
          <w:sz w:val="20"/>
          <w:szCs w:val="20"/>
          <w:lang w:val="bg-BG"/>
        </w:rPr>
        <w:fldChar w:fldCharType="begin"/>
      </w:r>
      <w:r w:rsidRPr="00B45B4F">
        <w:rPr>
          <w:rFonts w:ascii="Verdana" w:hAnsi="Verdana"/>
          <w:b/>
          <w:color w:val="548DD4" w:themeColor="text2" w:themeTint="99"/>
          <w:sz w:val="20"/>
          <w:szCs w:val="20"/>
          <w:lang w:val="bg-BG"/>
        </w:rPr>
        <w:instrText xml:space="preserve"> SEQ Таблица \* ARABIC </w:instrText>
      </w:r>
      <w:r w:rsidR="00BF1936" w:rsidRPr="00B45B4F">
        <w:rPr>
          <w:rFonts w:ascii="Verdana" w:hAnsi="Verdana"/>
          <w:b/>
          <w:color w:val="548DD4" w:themeColor="text2" w:themeTint="99"/>
          <w:sz w:val="20"/>
          <w:szCs w:val="20"/>
          <w:lang w:val="bg-BG"/>
        </w:rPr>
        <w:fldChar w:fldCharType="separate"/>
      </w:r>
      <w:r w:rsidR="001361E0">
        <w:rPr>
          <w:rFonts w:ascii="Verdana" w:hAnsi="Verdana"/>
          <w:b/>
          <w:noProof/>
          <w:color w:val="548DD4" w:themeColor="text2" w:themeTint="99"/>
          <w:sz w:val="20"/>
          <w:szCs w:val="20"/>
          <w:lang w:val="bg-BG"/>
        </w:rPr>
        <w:t>15</w:t>
      </w:r>
      <w:r w:rsidR="00BF1936" w:rsidRPr="00B45B4F">
        <w:rPr>
          <w:rFonts w:ascii="Verdana" w:hAnsi="Verdana"/>
          <w:b/>
          <w:color w:val="548DD4" w:themeColor="text2" w:themeTint="99"/>
          <w:sz w:val="20"/>
          <w:szCs w:val="20"/>
          <w:lang w:val="bg-BG"/>
        </w:rPr>
        <w:fldChar w:fldCharType="end"/>
      </w:r>
      <w:r w:rsidRPr="00B45B4F">
        <w:rPr>
          <w:rFonts w:ascii="Verdana" w:hAnsi="Verdana"/>
          <w:b/>
          <w:color w:val="548DD4" w:themeColor="text2" w:themeTint="99"/>
          <w:sz w:val="20"/>
          <w:szCs w:val="20"/>
          <w:lang w:val="bg-BG"/>
        </w:rPr>
        <w:t>: Връзки между приоритетите на ОПНОИР и ПМДР</w:t>
      </w:r>
      <w:bookmarkEnd w:id="71"/>
    </w:p>
    <w:tbl>
      <w:tblPr>
        <w:tblW w:w="9090" w:type="dxa"/>
        <w:tblInd w:w="108" w:type="dxa"/>
        <w:tblBorders>
          <w:top w:val="single" w:sz="4" w:space="0" w:color="17365D" w:themeColor="text2" w:themeShade="BF"/>
          <w:left w:val="single" w:sz="4" w:space="0" w:color="17365D" w:themeColor="text2" w:themeShade="BF"/>
          <w:bottom w:val="single" w:sz="4" w:space="0" w:color="17365D" w:themeColor="text2" w:themeShade="BF"/>
          <w:right w:val="single" w:sz="4" w:space="0" w:color="17365D" w:themeColor="text2" w:themeShade="BF"/>
          <w:insideH w:val="single" w:sz="4" w:space="0" w:color="17365D" w:themeColor="text2" w:themeShade="BF"/>
          <w:insideV w:val="single" w:sz="4" w:space="0" w:color="17365D" w:themeColor="text2" w:themeShade="BF"/>
        </w:tblBorders>
        <w:tblLayout w:type="fixed"/>
        <w:tblLook w:val="04A0" w:firstRow="1" w:lastRow="0" w:firstColumn="1" w:lastColumn="0" w:noHBand="0" w:noVBand="1"/>
      </w:tblPr>
      <w:tblGrid>
        <w:gridCol w:w="1980"/>
        <w:gridCol w:w="1350"/>
        <w:gridCol w:w="772"/>
        <w:gridCol w:w="848"/>
        <w:gridCol w:w="720"/>
        <w:gridCol w:w="720"/>
        <w:gridCol w:w="720"/>
        <w:gridCol w:w="990"/>
        <w:gridCol w:w="990"/>
      </w:tblGrid>
      <w:tr w:rsidR="002E0D02" w:rsidRPr="00B45B4F" w:rsidTr="00AF6F4A">
        <w:trPr>
          <w:trHeight w:val="510"/>
        </w:trPr>
        <w:tc>
          <w:tcPr>
            <w:tcW w:w="1980" w:type="dxa"/>
            <w:shd w:val="clear" w:color="000000" w:fill="548DD4"/>
            <w:vAlign w:val="center"/>
            <w:hideMark/>
          </w:tcPr>
          <w:p w:rsidR="002E0D02" w:rsidRPr="00B45B4F" w:rsidRDefault="002E0D02" w:rsidP="002E0D02">
            <w:pPr>
              <w:spacing w:after="0" w:line="240" w:lineRule="auto"/>
              <w:ind w:left="-108" w:right="-124"/>
              <w:jc w:val="center"/>
              <w:rPr>
                <w:rFonts w:ascii="Verdana" w:eastAsia="Times New Roman" w:hAnsi="Verdana"/>
                <w:bCs/>
                <w:color w:val="FFFFFF"/>
                <w:sz w:val="18"/>
                <w:szCs w:val="18"/>
                <w:lang w:val="bg-BG"/>
              </w:rPr>
            </w:pPr>
            <w:r w:rsidRPr="00B45B4F">
              <w:rPr>
                <w:rFonts w:ascii="Verdana" w:eastAsia="Times New Roman" w:hAnsi="Verdana"/>
                <w:bCs/>
                <w:color w:val="FFFFFF"/>
                <w:sz w:val="18"/>
                <w:szCs w:val="18"/>
                <w:lang w:val="bg-BG"/>
              </w:rPr>
              <w:t>Оперативна програма / приоритетна ос</w:t>
            </w:r>
          </w:p>
        </w:tc>
        <w:tc>
          <w:tcPr>
            <w:tcW w:w="1350" w:type="dxa"/>
            <w:shd w:val="clear" w:color="000000" w:fill="548DD4"/>
            <w:vAlign w:val="center"/>
            <w:hideMark/>
          </w:tcPr>
          <w:p w:rsidR="002E0D02" w:rsidRPr="00B45B4F" w:rsidRDefault="002E0D02" w:rsidP="002E0D02">
            <w:pPr>
              <w:spacing w:after="0" w:line="240" w:lineRule="auto"/>
              <w:jc w:val="center"/>
              <w:rPr>
                <w:rFonts w:ascii="Verdana" w:eastAsia="Times New Roman" w:hAnsi="Verdana"/>
                <w:bCs/>
                <w:color w:val="FFFFFF"/>
                <w:sz w:val="18"/>
                <w:szCs w:val="18"/>
                <w:lang w:val="bg-BG"/>
              </w:rPr>
            </w:pPr>
            <w:r w:rsidRPr="00B45B4F">
              <w:rPr>
                <w:rFonts w:ascii="Verdana" w:eastAsia="Times New Roman" w:hAnsi="Verdana"/>
                <w:bCs/>
                <w:color w:val="FFFFFF"/>
                <w:sz w:val="18"/>
                <w:szCs w:val="18"/>
                <w:lang w:val="bg-BG"/>
              </w:rPr>
              <w:t>ОПНОИР</w:t>
            </w:r>
          </w:p>
        </w:tc>
        <w:tc>
          <w:tcPr>
            <w:tcW w:w="1620" w:type="dxa"/>
            <w:gridSpan w:val="2"/>
            <w:shd w:val="clear" w:color="000000" w:fill="548DD4"/>
            <w:vAlign w:val="center"/>
            <w:hideMark/>
          </w:tcPr>
          <w:p w:rsidR="002E0D02" w:rsidRPr="00B45B4F" w:rsidRDefault="002E0D02" w:rsidP="00E55E63">
            <w:pPr>
              <w:spacing w:after="0" w:line="240" w:lineRule="auto"/>
              <w:ind w:left="-108" w:right="-108"/>
              <w:jc w:val="center"/>
              <w:rPr>
                <w:rFonts w:ascii="Verdana" w:eastAsia="Times New Roman" w:hAnsi="Verdana"/>
                <w:color w:val="FFFFFF"/>
                <w:sz w:val="18"/>
                <w:szCs w:val="18"/>
                <w:lang w:val="bg-BG"/>
              </w:rPr>
            </w:pPr>
            <w:r w:rsidRPr="00B45B4F">
              <w:rPr>
                <w:rFonts w:ascii="Verdana" w:eastAsia="Times New Roman" w:hAnsi="Verdana"/>
                <w:color w:val="FFFFFF"/>
                <w:sz w:val="18"/>
                <w:szCs w:val="18"/>
                <w:lang w:val="bg-BG"/>
              </w:rPr>
              <w:t>ПО 1: Научни изследвания и техн. развитие</w:t>
            </w:r>
          </w:p>
        </w:tc>
        <w:tc>
          <w:tcPr>
            <w:tcW w:w="2160" w:type="dxa"/>
            <w:gridSpan w:val="3"/>
            <w:shd w:val="clear" w:color="000000" w:fill="548DD4"/>
            <w:vAlign w:val="center"/>
            <w:hideMark/>
          </w:tcPr>
          <w:p w:rsidR="002E0D02" w:rsidRPr="00B45B4F" w:rsidRDefault="002E0D02" w:rsidP="002E0D02">
            <w:pPr>
              <w:spacing w:after="0" w:line="240" w:lineRule="auto"/>
              <w:jc w:val="center"/>
              <w:rPr>
                <w:rFonts w:ascii="Verdana" w:eastAsia="Times New Roman" w:hAnsi="Verdana"/>
                <w:color w:val="FFFFFF"/>
                <w:sz w:val="18"/>
                <w:szCs w:val="18"/>
                <w:lang w:val="bg-BG"/>
              </w:rPr>
            </w:pPr>
            <w:r w:rsidRPr="00B45B4F">
              <w:rPr>
                <w:rFonts w:ascii="Verdana" w:eastAsia="Times New Roman" w:hAnsi="Verdana"/>
                <w:color w:val="FFFFFF"/>
                <w:sz w:val="18"/>
                <w:szCs w:val="18"/>
                <w:lang w:val="bg-BG"/>
              </w:rPr>
              <w:t>ПО 2: Образование и учене през целия живот</w:t>
            </w:r>
          </w:p>
        </w:tc>
        <w:tc>
          <w:tcPr>
            <w:tcW w:w="1980" w:type="dxa"/>
            <w:gridSpan w:val="2"/>
            <w:shd w:val="clear" w:color="000000" w:fill="548DD4"/>
            <w:vAlign w:val="center"/>
            <w:hideMark/>
          </w:tcPr>
          <w:p w:rsidR="002E0D02" w:rsidRPr="00B45B4F" w:rsidRDefault="002E0D02" w:rsidP="002E0D02">
            <w:pPr>
              <w:spacing w:after="0" w:line="240" w:lineRule="auto"/>
              <w:jc w:val="center"/>
              <w:rPr>
                <w:rFonts w:ascii="Verdana" w:eastAsia="Times New Roman" w:hAnsi="Verdana"/>
                <w:color w:val="FFFFFF"/>
                <w:sz w:val="18"/>
                <w:szCs w:val="18"/>
                <w:lang w:val="bg-BG"/>
              </w:rPr>
            </w:pPr>
            <w:r w:rsidRPr="00B45B4F">
              <w:rPr>
                <w:rFonts w:ascii="Verdana" w:eastAsia="Times New Roman" w:hAnsi="Verdana"/>
                <w:color w:val="FFFFFF"/>
                <w:sz w:val="18"/>
                <w:szCs w:val="18"/>
                <w:lang w:val="bg-BG"/>
              </w:rPr>
              <w:t xml:space="preserve">ПО 3: </w:t>
            </w:r>
            <w:proofErr w:type="spellStart"/>
            <w:r w:rsidRPr="00B45B4F">
              <w:rPr>
                <w:rFonts w:ascii="Verdana" w:eastAsia="Times New Roman" w:hAnsi="Verdana"/>
                <w:color w:val="FFFFFF"/>
                <w:sz w:val="18"/>
                <w:szCs w:val="18"/>
                <w:lang w:val="bg-BG"/>
              </w:rPr>
              <w:t>Образов</w:t>
            </w:r>
            <w:proofErr w:type="spellEnd"/>
            <w:r w:rsidRPr="00B45B4F">
              <w:rPr>
                <w:rFonts w:ascii="Verdana" w:eastAsia="Times New Roman" w:hAnsi="Verdana"/>
                <w:color w:val="FFFFFF"/>
                <w:sz w:val="18"/>
                <w:szCs w:val="18"/>
                <w:lang w:val="bg-BG"/>
              </w:rPr>
              <w:t>. среда за акт. соц. приобщаване</w:t>
            </w:r>
          </w:p>
        </w:tc>
      </w:tr>
      <w:tr w:rsidR="002E0D02" w:rsidRPr="00B45B4F" w:rsidTr="00AF6F4A">
        <w:trPr>
          <w:trHeight w:val="300"/>
        </w:trPr>
        <w:tc>
          <w:tcPr>
            <w:tcW w:w="1980" w:type="dxa"/>
            <w:shd w:val="clear" w:color="auto" w:fill="548DD4" w:themeFill="text2" w:themeFillTint="99"/>
            <w:vAlign w:val="center"/>
            <w:hideMark/>
          </w:tcPr>
          <w:p w:rsidR="002E0D02" w:rsidRPr="00B45B4F" w:rsidRDefault="002E0D02" w:rsidP="002E0D02">
            <w:pPr>
              <w:spacing w:after="0" w:line="240" w:lineRule="auto"/>
              <w:jc w:val="center"/>
              <w:rPr>
                <w:rFonts w:ascii="Verdana" w:eastAsia="Times New Roman" w:hAnsi="Verdana"/>
                <w:bCs/>
                <w:color w:val="FFFFFF"/>
                <w:sz w:val="18"/>
                <w:szCs w:val="18"/>
                <w:lang w:val="bg-BG"/>
              </w:rPr>
            </w:pPr>
            <w:r w:rsidRPr="00B45B4F">
              <w:rPr>
                <w:rFonts w:ascii="Verdana" w:eastAsia="Times New Roman" w:hAnsi="Verdana"/>
                <w:bCs/>
                <w:color w:val="FFFFFF"/>
                <w:sz w:val="18"/>
                <w:szCs w:val="18"/>
                <w:lang w:val="bg-BG"/>
              </w:rPr>
              <w:t>ПМДР</w:t>
            </w:r>
          </w:p>
        </w:tc>
        <w:tc>
          <w:tcPr>
            <w:tcW w:w="1350" w:type="dxa"/>
            <w:shd w:val="clear" w:color="000000" w:fill="C6D9F1"/>
            <w:vAlign w:val="bottom"/>
            <w:hideMark/>
          </w:tcPr>
          <w:p w:rsidR="002E0D02" w:rsidRPr="00B45B4F" w:rsidRDefault="002E0D02" w:rsidP="002E0D02">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Приоритет</w:t>
            </w:r>
          </w:p>
        </w:tc>
        <w:tc>
          <w:tcPr>
            <w:tcW w:w="772" w:type="dxa"/>
            <w:shd w:val="clear" w:color="000000" w:fill="C6D9F1"/>
            <w:vAlign w:val="center"/>
            <w:hideMark/>
          </w:tcPr>
          <w:p w:rsidR="002E0D02" w:rsidRPr="00B45B4F" w:rsidRDefault="002E0D02" w:rsidP="002E0D02">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1.1</w:t>
            </w:r>
          </w:p>
        </w:tc>
        <w:tc>
          <w:tcPr>
            <w:tcW w:w="848" w:type="dxa"/>
            <w:shd w:val="clear" w:color="000000" w:fill="C6D9F1"/>
            <w:vAlign w:val="center"/>
            <w:hideMark/>
          </w:tcPr>
          <w:p w:rsidR="002E0D02" w:rsidRPr="00B45B4F" w:rsidRDefault="002E0D02" w:rsidP="002E0D02">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1.2</w:t>
            </w:r>
          </w:p>
        </w:tc>
        <w:tc>
          <w:tcPr>
            <w:tcW w:w="720" w:type="dxa"/>
            <w:shd w:val="clear" w:color="000000" w:fill="C6D9F1"/>
            <w:vAlign w:val="center"/>
            <w:hideMark/>
          </w:tcPr>
          <w:p w:rsidR="002E0D02" w:rsidRPr="00B45B4F" w:rsidRDefault="002E0D02" w:rsidP="002E0D02">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2.1</w:t>
            </w:r>
          </w:p>
        </w:tc>
        <w:tc>
          <w:tcPr>
            <w:tcW w:w="720" w:type="dxa"/>
            <w:shd w:val="clear" w:color="000000" w:fill="C6D9F1"/>
            <w:vAlign w:val="center"/>
            <w:hideMark/>
          </w:tcPr>
          <w:p w:rsidR="002E0D02" w:rsidRPr="00B45B4F" w:rsidRDefault="002E0D02" w:rsidP="002E0D02">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2.2</w:t>
            </w:r>
          </w:p>
        </w:tc>
        <w:tc>
          <w:tcPr>
            <w:tcW w:w="720" w:type="dxa"/>
            <w:shd w:val="clear" w:color="000000" w:fill="C6D9F1"/>
            <w:vAlign w:val="center"/>
            <w:hideMark/>
          </w:tcPr>
          <w:p w:rsidR="002E0D02" w:rsidRPr="00B45B4F" w:rsidRDefault="002E0D02" w:rsidP="002E0D02">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2.3</w:t>
            </w:r>
          </w:p>
        </w:tc>
        <w:tc>
          <w:tcPr>
            <w:tcW w:w="990" w:type="dxa"/>
            <w:shd w:val="clear" w:color="000000" w:fill="C6D9F1"/>
            <w:vAlign w:val="center"/>
            <w:hideMark/>
          </w:tcPr>
          <w:p w:rsidR="002E0D02" w:rsidRPr="00B45B4F" w:rsidRDefault="002E0D02" w:rsidP="002E0D02">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3.1</w:t>
            </w:r>
          </w:p>
        </w:tc>
        <w:tc>
          <w:tcPr>
            <w:tcW w:w="990" w:type="dxa"/>
            <w:shd w:val="clear" w:color="000000" w:fill="C6D9F1"/>
            <w:vAlign w:val="center"/>
            <w:hideMark/>
          </w:tcPr>
          <w:p w:rsidR="002E0D02" w:rsidRPr="00B45B4F" w:rsidRDefault="002E0D02" w:rsidP="002E0D02">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3.2</w:t>
            </w:r>
          </w:p>
        </w:tc>
      </w:tr>
      <w:tr w:rsidR="002E0D02" w:rsidRPr="00B45B4F" w:rsidTr="00AF6F4A">
        <w:trPr>
          <w:trHeight w:val="330"/>
        </w:trPr>
        <w:tc>
          <w:tcPr>
            <w:tcW w:w="1980" w:type="dxa"/>
            <w:vMerge w:val="restart"/>
            <w:shd w:val="clear" w:color="auto" w:fill="548DD4" w:themeFill="text2" w:themeFillTint="99"/>
            <w:vAlign w:val="center"/>
            <w:hideMark/>
          </w:tcPr>
          <w:p w:rsidR="002E0D02" w:rsidRPr="00B45B4F" w:rsidRDefault="002E0D02" w:rsidP="002E0D02">
            <w:pPr>
              <w:spacing w:after="0" w:line="240" w:lineRule="auto"/>
              <w:jc w:val="center"/>
              <w:rPr>
                <w:rFonts w:ascii="Verdana" w:eastAsia="Times New Roman" w:hAnsi="Verdana"/>
                <w:color w:val="FFFFFF"/>
                <w:sz w:val="18"/>
                <w:szCs w:val="18"/>
                <w:lang w:val="bg-BG"/>
              </w:rPr>
            </w:pPr>
            <w:r w:rsidRPr="00B45B4F">
              <w:rPr>
                <w:rFonts w:ascii="Verdana" w:eastAsia="Times New Roman" w:hAnsi="Verdana"/>
                <w:color w:val="FFFFFF"/>
                <w:sz w:val="18"/>
                <w:szCs w:val="18"/>
                <w:lang w:val="bg-BG"/>
              </w:rPr>
              <w:t>Глава I: Устойчиво развитие на рибарството</w:t>
            </w:r>
          </w:p>
        </w:tc>
        <w:tc>
          <w:tcPr>
            <w:tcW w:w="1350" w:type="dxa"/>
            <w:shd w:val="clear" w:color="000000" w:fill="C6D9F1"/>
            <w:vAlign w:val="center"/>
            <w:hideMark/>
          </w:tcPr>
          <w:p w:rsidR="002E0D02" w:rsidRPr="00B45B4F" w:rsidRDefault="002E0D02" w:rsidP="00191491">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1</w:t>
            </w:r>
          </w:p>
        </w:tc>
        <w:tc>
          <w:tcPr>
            <w:tcW w:w="772" w:type="dxa"/>
            <w:shd w:val="clear" w:color="auto" w:fill="auto"/>
            <w:vAlign w:val="center"/>
            <w:hideMark/>
          </w:tcPr>
          <w:p w:rsidR="002E0D02" w:rsidRPr="00B45B4F" w:rsidRDefault="00AB021B" w:rsidP="002E0D02">
            <w:pPr>
              <w:spacing w:after="0" w:line="240" w:lineRule="auto"/>
              <w:jc w:val="center"/>
              <w:rPr>
                <w:rFonts w:ascii="Verdana" w:eastAsia="Times New Roman" w:hAnsi="Verdana"/>
                <w:color w:val="0070C0"/>
                <w:sz w:val="18"/>
                <w:szCs w:val="18"/>
                <w:lang w:val="bg-BG"/>
              </w:rPr>
            </w:pPr>
            <w:r w:rsidRPr="00B45B4F">
              <w:rPr>
                <w:rFonts w:ascii="Wingdings 2" w:eastAsia="Times New Roman" w:hAnsi="Wingdings 2"/>
                <w:color w:val="0070C0"/>
                <w:sz w:val="26"/>
                <w:szCs w:val="26"/>
                <w:lang w:val="bg-BG"/>
              </w:rPr>
              <w:t></w:t>
            </w:r>
          </w:p>
        </w:tc>
        <w:tc>
          <w:tcPr>
            <w:tcW w:w="848" w:type="dxa"/>
            <w:shd w:val="clear" w:color="auto" w:fill="auto"/>
            <w:vAlign w:val="center"/>
            <w:hideMark/>
          </w:tcPr>
          <w:p w:rsidR="002E0D02" w:rsidRPr="00B45B4F" w:rsidRDefault="00AB021B" w:rsidP="002E0D02">
            <w:pPr>
              <w:spacing w:after="0" w:line="240" w:lineRule="auto"/>
              <w:jc w:val="center"/>
              <w:rPr>
                <w:rFonts w:ascii="Verdana" w:eastAsia="Times New Roman" w:hAnsi="Verdana"/>
                <w:color w:val="0070C0"/>
                <w:sz w:val="18"/>
                <w:szCs w:val="18"/>
                <w:lang w:val="bg-BG"/>
              </w:rPr>
            </w:pPr>
            <w:r w:rsidRPr="00B45B4F">
              <w:rPr>
                <w:rFonts w:ascii="Wingdings 2" w:eastAsia="Times New Roman" w:hAnsi="Wingdings 2"/>
                <w:color w:val="0070C0"/>
                <w:sz w:val="26"/>
                <w:szCs w:val="26"/>
                <w:lang w:val="bg-BG"/>
              </w:rPr>
              <w:t></w:t>
            </w: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AB021B" w:rsidP="002E0D02">
            <w:pPr>
              <w:spacing w:after="0" w:line="240" w:lineRule="auto"/>
              <w:jc w:val="center"/>
              <w:rPr>
                <w:rFonts w:ascii="Verdana" w:eastAsia="Times New Roman" w:hAnsi="Verdana"/>
                <w:color w:val="0070C0"/>
                <w:sz w:val="18"/>
                <w:szCs w:val="18"/>
                <w:lang w:val="bg-BG"/>
              </w:rPr>
            </w:pPr>
            <w:r w:rsidRPr="00B45B4F">
              <w:rPr>
                <w:rFonts w:ascii="Wingdings 2" w:eastAsia="Times New Roman" w:hAnsi="Wingdings 2"/>
                <w:color w:val="0070C0"/>
                <w:sz w:val="26"/>
                <w:szCs w:val="26"/>
                <w:lang w:val="bg-BG"/>
              </w:rPr>
              <w:t></w:t>
            </w:r>
            <w:r w:rsidRPr="00B45B4F">
              <w:rPr>
                <w:rFonts w:ascii="Wingdings 2" w:eastAsia="Times New Roman" w:hAnsi="Wingdings 2"/>
                <w:color w:val="0070C0"/>
                <w:sz w:val="26"/>
                <w:szCs w:val="26"/>
                <w:lang w:val="bg-BG"/>
              </w:rPr>
              <w:t></w:t>
            </w:r>
          </w:p>
        </w:tc>
        <w:tc>
          <w:tcPr>
            <w:tcW w:w="99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99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0000"/>
                <w:sz w:val="18"/>
                <w:szCs w:val="18"/>
                <w:lang w:val="bg-BG"/>
              </w:rPr>
            </w:pPr>
          </w:p>
        </w:tc>
      </w:tr>
      <w:tr w:rsidR="002E0D02" w:rsidRPr="00B45B4F" w:rsidTr="00AF6F4A">
        <w:trPr>
          <w:trHeight w:val="330"/>
        </w:trPr>
        <w:tc>
          <w:tcPr>
            <w:tcW w:w="1980" w:type="dxa"/>
            <w:vMerge/>
            <w:shd w:val="clear" w:color="auto" w:fill="548DD4" w:themeFill="text2" w:themeFillTint="99"/>
            <w:vAlign w:val="center"/>
            <w:hideMark/>
          </w:tcPr>
          <w:p w:rsidR="002E0D02" w:rsidRPr="00B45B4F" w:rsidRDefault="002E0D02" w:rsidP="002E0D02">
            <w:pPr>
              <w:spacing w:after="0" w:line="240" w:lineRule="auto"/>
              <w:rPr>
                <w:rFonts w:ascii="Verdana" w:eastAsia="Times New Roman" w:hAnsi="Verdana"/>
                <w:color w:val="FFFFFF"/>
                <w:sz w:val="18"/>
                <w:szCs w:val="18"/>
                <w:lang w:val="bg-BG"/>
              </w:rPr>
            </w:pPr>
          </w:p>
        </w:tc>
        <w:tc>
          <w:tcPr>
            <w:tcW w:w="1350" w:type="dxa"/>
            <w:shd w:val="clear" w:color="000000" w:fill="C6D9F1"/>
            <w:vAlign w:val="center"/>
            <w:hideMark/>
          </w:tcPr>
          <w:p w:rsidR="002E0D02" w:rsidRPr="00B45B4F" w:rsidRDefault="002E0D02" w:rsidP="00191491">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2</w:t>
            </w:r>
          </w:p>
        </w:tc>
        <w:tc>
          <w:tcPr>
            <w:tcW w:w="772"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848"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99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99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0000"/>
                <w:sz w:val="18"/>
                <w:szCs w:val="18"/>
                <w:lang w:val="bg-BG"/>
              </w:rPr>
            </w:pPr>
          </w:p>
        </w:tc>
      </w:tr>
      <w:tr w:rsidR="002E0D02" w:rsidRPr="00B45B4F" w:rsidTr="00AF6F4A">
        <w:trPr>
          <w:trHeight w:val="330"/>
        </w:trPr>
        <w:tc>
          <w:tcPr>
            <w:tcW w:w="1980" w:type="dxa"/>
            <w:vMerge/>
            <w:shd w:val="clear" w:color="auto" w:fill="548DD4" w:themeFill="text2" w:themeFillTint="99"/>
            <w:vAlign w:val="center"/>
            <w:hideMark/>
          </w:tcPr>
          <w:p w:rsidR="002E0D02" w:rsidRPr="00B45B4F" w:rsidRDefault="002E0D02" w:rsidP="002E0D02">
            <w:pPr>
              <w:spacing w:after="0" w:line="240" w:lineRule="auto"/>
              <w:rPr>
                <w:rFonts w:ascii="Verdana" w:eastAsia="Times New Roman" w:hAnsi="Verdana"/>
                <w:color w:val="FFFFFF"/>
                <w:sz w:val="18"/>
                <w:szCs w:val="18"/>
                <w:lang w:val="bg-BG"/>
              </w:rPr>
            </w:pPr>
          </w:p>
        </w:tc>
        <w:tc>
          <w:tcPr>
            <w:tcW w:w="1350" w:type="dxa"/>
            <w:shd w:val="clear" w:color="000000" w:fill="C6D9F1"/>
            <w:vAlign w:val="center"/>
            <w:hideMark/>
          </w:tcPr>
          <w:p w:rsidR="002E0D02" w:rsidRPr="00B45B4F" w:rsidRDefault="002E0D02" w:rsidP="00191491">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3</w:t>
            </w:r>
          </w:p>
        </w:tc>
        <w:tc>
          <w:tcPr>
            <w:tcW w:w="772"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848"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99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99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r>
      <w:tr w:rsidR="002E0D02" w:rsidRPr="00B45B4F" w:rsidTr="00AF6F4A">
        <w:trPr>
          <w:trHeight w:val="330"/>
        </w:trPr>
        <w:tc>
          <w:tcPr>
            <w:tcW w:w="1980" w:type="dxa"/>
            <w:vMerge/>
            <w:shd w:val="clear" w:color="auto" w:fill="548DD4" w:themeFill="text2" w:themeFillTint="99"/>
            <w:vAlign w:val="center"/>
            <w:hideMark/>
          </w:tcPr>
          <w:p w:rsidR="002E0D02" w:rsidRPr="00B45B4F" w:rsidRDefault="002E0D02" w:rsidP="002E0D02">
            <w:pPr>
              <w:spacing w:after="0" w:line="240" w:lineRule="auto"/>
              <w:rPr>
                <w:rFonts w:ascii="Verdana" w:eastAsia="Times New Roman" w:hAnsi="Verdana"/>
                <w:color w:val="FFFFFF"/>
                <w:sz w:val="18"/>
                <w:szCs w:val="18"/>
                <w:lang w:val="bg-BG"/>
              </w:rPr>
            </w:pPr>
          </w:p>
        </w:tc>
        <w:tc>
          <w:tcPr>
            <w:tcW w:w="1350" w:type="dxa"/>
            <w:shd w:val="clear" w:color="000000" w:fill="C6D9F1"/>
            <w:vAlign w:val="center"/>
            <w:hideMark/>
          </w:tcPr>
          <w:p w:rsidR="002E0D02" w:rsidRPr="00B45B4F" w:rsidRDefault="002E0D02" w:rsidP="00191491">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4</w:t>
            </w:r>
          </w:p>
        </w:tc>
        <w:tc>
          <w:tcPr>
            <w:tcW w:w="772"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848"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99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99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r>
      <w:tr w:rsidR="002E0D02" w:rsidRPr="00B45B4F" w:rsidTr="00AF6F4A">
        <w:trPr>
          <w:trHeight w:val="330"/>
        </w:trPr>
        <w:tc>
          <w:tcPr>
            <w:tcW w:w="1980" w:type="dxa"/>
            <w:vMerge/>
            <w:shd w:val="clear" w:color="auto" w:fill="548DD4" w:themeFill="text2" w:themeFillTint="99"/>
            <w:vAlign w:val="center"/>
            <w:hideMark/>
          </w:tcPr>
          <w:p w:rsidR="002E0D02" w:rsidRPr="00B45B4F" w:rsidRDefault="002E0D02" w:rsidP="002E0D02">
            <w:pPr>
              <w:spacing w:after="0" w:line="240" w:lineRule="auto"/>
              <w:rPr>
                <w:rFonts w:ascii="Verdana" w:eastAsia="Times New Roman" w:hAnsi="Verdana"/>
                <w:color w:val="FFFFFF"/>
                <w:sz w:val="18"/>
                <w:szCs w:val="18"/>
                <w:lang w:val="bg-BG"/>
              </w:rPr>
            </w:pPr>
          </w:p>
        </w:tc>
        <w:tc>
          <w:tcPr>
            <w:tcW w:w="1350" w:type="dxa"/>
            <w:shd w:val="clear" w:color="000000" w:fill="C6D9F1"/>
            <w:vAlign w:val="center"/>
            <w:hideMark/>
          </w:tcPr>
          <w:p w:rsidR="002E0D02" w:rsidRPr="00B45B4F" w:rsidRDefault="002E0D02" w:rsidP="00191491">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5</w:t>
            </w:r>
          </w:p>
        </w:tc>
        <w:tc>
          <w:tcPr>
            <w:tcW w:w="772"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848"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99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99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r>
      <w:tr w:rsidR="002E0D02" w:rsidRPr="00B45B4F" w:rsidTr="00AF6F4A">
        <w:trPr>
          <w:trHeight w:val="330"/>
        </w:trPr>
        <w:tc>
          <w:tcPr>
            <w:tcW w:w="1980" w:type="dxa"/>
            <w:vMerge/>
            <w:shd w:val="clear" w:color="auto" w:fill="548DD4" w:themeFill="text2" w:themeFillTint="99"/>
            <w:vAlign w:val="center"/>
            <w:hideMark/>
          </w:tcPr>
          <w:p w:rsidR="002E0D02" w:rsidRPr="00B45B4F" w:rsidRDefault="002E0D02" w:rsidP="002E0D02">
            <w:pPr>
              <w:spacing w:after="0" w:line="240" w:lineRule="auto"/>
              <w:rPr>
                <w:rFonts w:ascii="Verdana" w:eastAsia="Times New Roman" w:hAnsi="Verdana"/>
                <w:color w:val="FFFFFF"/>
                <w:sz w:val="18"/>
                <w:szCs w:val="18"/>
                <w:lang w:val="bg-BG"/>
              </w:rPr>
            </w:pPr>
          </w:p>
        </w:tc>
        <w:tc>
          <w:tcPr>
            <w:tcW w:w="1350" w:type="dxa"/>
            <w:shd w:val="clear" w:color="000000" w:fill="C6D9F1"/>
            <w:vAlign w:val="center"/>
            <w:hideMark/>
          </w:tcPr>
          <w:p w:rsidR="002E0D02" w:rsidRPr="00B45B4F" w:rsidRDefault="002E0D02" w:rsidP="00191491">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6</w:t>
            </w:r>
          </w:p>
        </w:tc>
        <w:tc>
          <w:tcPr>
            <w:tcW w:w="772"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848"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99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99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r>
      <w:tr w:rsidR="002E0D02" w:rsidRPr="00B45B4F" w:rsidTr="00AF6F4A">
        <w:trPr>
          <w:trHeight w:val="330"/>
        </w:trPr>
        <w:tc>
          <w:tcPr>
            <w:tcW w:w="1980" w:type="dxa"/>
            <w:vMerge/>
            <w:shd w:val="clear" w:color="auto" w:fill="548DD4" w:themeFill="text2" w:themeFillTint="99"/>
            <w:vAlign w:val="center"/>
            <w:hideMark/>
          </w:tcPr>
          <w:p w:rsidR="002E0D02" w:rsidRPr="00B45B4F" w:rsidRDefault="002E0D02" w:rsidP="002E0D02">
            <w:pPr>
              <w:spacing w:after="0" w:line="240" w:lineRule="auto"/>
              <w:rPr>
                <w:rFonts w:ascii="Verdana" w:eastAsia="Times New Roman" w:hAnsi="Verdana"/>
                <w:color w:val="FFFFFF"/>
                <w:sz w:val="18"/>
                <w:szCs w:val="18"/>
                <w:lang w:val="bg-BG"/>
              </w:rPr>
            </w:pPr>
          </w:p>
        </w:tc>
        <w:tc>
          <w:tcPr>
            <w:tcW w:w="1350" w:type="dxa"/>
            <w:shd w:val="clear" w:color="000000" w:fill="C6D9F1"/>
            <w:vAlign w:val="center"/>
            <w:hideMark/>
          </w:tcPr>
          <w:p w:rsidR="002E0D02" w:rsidRPr="00B45B4F" w:rsidRDefault="002E0D02" w:rsidP="00191491">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7</w:t>
            </w:r>
          </w:p>
        </w:tc>
        <w:tc>
          <w:tcPr>
            <w:tcW w:w="772"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848"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99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99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r>
      <w:tr w:rsidR="002E0D02" w:rsidRPr="00B45B4F" w:rsidTr="00AF6F4A">
        <w:trPr>
          <w:trHeight w:val="330"/>
        </w:trPr>
        <w:tc>
          <w:tcPr>
            <w:tcW w:w="1980" w:type="dxa"/>
            <w:vMerge w:val="restart"/>
            <w:shd w:val="clear" w:color="auto" w:fill="548DD4" w:themeFill="text2" w:themeFillTint="99"/>
            <w:vAlign w:val="center"/>
            <w:hideMark/>
          </w:tcPr>
          <w:p w:rsidR="002E0D02" w:rsidRPr="00B45B4F" w:rsidRDefault="002E0D02" w:rsidP="002E0D02">
            <w:pPr>
              <w:spacing w:after="0" w:line="240" w:lineRule="auto"/>
              <w:jc w:val="center"/>
              <w:rPr>
                <w:rFonts w:ascii="Verdana" w:eastAsia="Times New Roman" w:hAnsi="Verdana"/>
                <w:color w:val="FFFFFF"/>
                <w:sz w:val="18"/>
                <w:szCs w:val="18"/>
                <w:lang w:val="bg-BG"/>
              </w:rPr>
            </w:pPr>
            <w:r w:rsidRPr="00B45B4F">
              <w:rPr>
                <w:rFonts w:ascii="Verdana" w:eastAsia="Times New Roman" w:hAnsi="Verdana"/>
                <w:color w:val="FFFFFF"/>
                <w:sz w:val="18"/>
                <w:szCs w:val="18"/>
                <w:lang w:val="bg-BG"/>
              </w:rPr>
              <w:t xml:space="preserve">Глава II: </w:t>
            </w:r>
            <w:r w:rsidRPr="00B45B4F">
              <w:rPr>
                <w:rFonts w:ascii="Verdana" w:eastAsia="Times New Roman" w:hAnsi="Verdana"/>
                <w:color w:val="FFFFFF"/>
                <w:sz w:val="18"/>
                <w:szCs w:val="18"/>
                <w:lang w:val="bg-BG"/>
              </w:rPr>
              <w:lastRenderedPageBreak/>
              <w:t xml:space="preserve">Устойчиво развитие на </w:t>
            </w:r>
            <w:proofErr w:type="spellStart"/>
            <w:r w:rsidRPr="00B45B4F">
              <w:rPr>
                <w:rFonts w:ascii="Verdana" w:eastAsia="Times New Roman" w:hAnsi="Verdana"/>
                <w:color w:val="FFFFFF"/>
                <w:sz w:val="18"/>
                <w:szCs w:val="18"/>
                <w:lang w:val="bg-BG"/>
              </w:rPr>
              <w:t>аквакултурите</w:t>
            </w:r>
            <w:proofErr w:type="spellEnd"/>
          </w:p>
        </w:tc>
        <w:tc>
          <w:tcPr>
            <w:tcW w:w="1350" w:type="dxa"/>
            <w:shd w:val="clear" w:color="000000" w:fill="C6D9F1"/>
            <w:vAlign w:val="center"/>
            <w:hideMark/>
          </w:tcPr>
          <w:p w:rsidR="002E0D02" w:rsidRPr="00B45B4F" w:rsidRDefault="002E0D02" w:rsidP="00191491">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lastRenderedPageBreak/>
              <w:t>8</w:t>
            </w:r>
          </w:p>
        </w:tc>
        <w:tc>
          <w:tcPr>
            <w:tcW w:w="772" w:type="dxa"/>
            <w:shd w:val="clear" w:color="auto" w:fill="auto"/>
            <w:vAlign w:val="center"/>
            <w:hideMark/>
          </w:tcPr>
          <w:p w:rsidR="002E0D02" w:rsidRPr="00B45B4F" w:rsidRDefault="00AB021B" w:rsidP="002E0D02">
            <w:pPr>
              <w:spacing w:after="0" w:line="240" w:lineRule="auto"/>
              <w:jc w:val="center"/>
              <w:rPr>
                <w:rFonts w:ascii="Verdana" w:eastAsia="Times New Roman" w:hAnsi="Verdana"/>
                <w:color w:val="0070C0"/>
                <w:sz w:val="18"/>
                <w:szCs w:val="18"/>
                <w:lang w:val="bg-BG"/>
              </w:rPr>
            </w:pPr>
            <w:r w:rsidRPr="00B45B4F">
              <w:rPr>
                <w:rFonts w:ascii="Wingdings 2" w:eastAsia="Times New Roman" w:hAnsi="Wingdings 2"/>
                <w:color w:val="0070C0"/>
                <w:sz w:val="26"/>
                <w:szCs w:val="26"/>
                <w:lang w:val="bg-BG"/>
              </w:rPr>
              <w:t></w:t>
            </w:r>
          </w:p>
        </w:tc>
        <w:tc>
          <w:tcPr>
            <w:tcW w:w="848" w:type="dxa"/>
            <w:shd w:val="clear" w:color="auto" w:fill="auto"/>
            <w:vAlign w:val="center"/>
            <w:hideMark/>
          </w:tcPr>
          <w:p w:rsidR="002E0D02" w:rsidRPr="00B45B4F" w:rsidRDefault="00AB021B" w:rsidP="002E0D02">
            <w:pPr>
              <w:spacing w:after="0" w:line="240" w:lineRule="auto"/>
              <w:jc w:val="center"/>
              <w:rPr>
                <w:rFonts w:ascii="Verdana" w:eastAsia="Times New Roman" w:hAnsi="Verdana"/>
                <w:color w:val="0070C0"/>
                <w:sz w:val="18"/>
                <w:szCs w:val="18"/>
                <w:lang w:val="bg-BG"/>
              </w:rPr>
            </w:pPr>
            <w:r w:rsidRPr="00B45B4F">
              <w:rPr>
                <w:rFonts w:ascii="Wingdings 2" w:eastAsia="Times New Roman" w:hAnsi="Wingdings 2"/>
                <w:color w:val="0070C0"/>
                <w:sz w:val="26"/>
                <w:szCs w:val="26"/>
                <w:lang w:val="bg-BG"/>
              </w:rPr>
              <w:t></w:t>
            </w: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AB021B" w:rsidP="002E0D02">
            <w:pPr>
              <w:spacing w:after="0" w:line="240" w:lineRule="auto"/>
              <w:jc w:val="center"/>
              <w:rPr>
                <w:rFonts w:ascii="Verdana" w:eastAsia="Times New Roman" w:hAnsi="Verdana"/>
                <w:color w:val="0070C0"/>
                <w:sz w:val="18"/>
                <w:szCs w:val="18"/>
                <w:lang w:val="bg-BG"/>
              </w:rPr>
            </w:pPr>
            <w:r w:rsidRPr="00B45B4F">
              <w:rPr>
                <w:rFonts w:ascii="Wingdings 2" w:eastAsia="Times New Roman" w:hAnsi="Wingdings 2"/>
                <w:color w:val="0070C0"/>
                <w:sz w:val="26"/>
                <w:szCs w:val="26"/>
                <w:lang w:val="bg-BG"/>
              </w:rPr>
              <w:t></w:t>
            </w:r>
            <w:r w:rsidRPr="00B45B4F">
              <w:rPr>
                <w:rFonts w:ascii="Wingdings 2" w:eastAsia="Times New Roman" w:hAnsi="Wingdings 2"/>
                <w:color w:val="0070C0"/>
                <w:sz w:val="26"/>
                <w:szCs w:val="26"/>
                <w:lang w:val="bg-BG"/>
              </w:rPr>
              <w:t></w:t>
            </w:r>
          </w:p>
        </w:tc>
        <w:tc>
          <w:tcPr>
            <w:tcW w:w="99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99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r>
      <w:tr w:rsidR="002E0D02" w:rsidRPr="00B45B4F" w:rsidTr="00AF6F4A">
        <w:trPr>
          <w:trHeight w:val="330"/>
        </w:trPr>
        <w:tc>
          <w:tcPr>
            <w:tcW w:w="1980" w:type="dxa"/>
            <w:vMerge/>
            <w:shd w:val="clear" w:color="auto" w:fill="548DD4" w:themeFill="text2" w:themeFillTint="99"/>
            <w:vAlign w:val="center"/>
            <w:hideMark/>
          </w:tcPr>
          <w:p w:rsidR="002E0D02" w:rsidRPr="00B45B4F" w:rsidRDefault="002E0D02" w:rsidP="002E0D02">
            <w:pPr>
              <w:spacing w:after="0" w:line="240" w:lineRule="auto"/>
              <w:rPr>
                <w:rFonts w:ascii="Verdana" w:eastAsia="Times New Roman" w:hAnsi="Verdana"/>
                <w:color w:val="FFFFFF"/>
                <w:sz w:val="18"/>
                <w:szCs w:val="18"/>
                <w:lang w:val="bg-BG"/>
              </w:rPr>
            </w:pPr>
          </w:p>
        </w:tc>
        <w:tc>
          <w:tcPr>
            <w:tcW w:w="1350" w:type="dxa"/>
            <w:shd w:val="clear" w:color="000000" w:fill="C6D9F1"/>
            <w:vAlign w:val="center"/>
            <w:hideMark/>
          </w:tcPr>
          <w:p w:rsidR="002E0D02" w:rsidRPr="00B45B4F" w:rsidRDefault="002E0D02" w:rsidP="00191491">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9</w:t>
            </w:r>
          </w:p>
        </w:tc>
        <w:tc>
          <w:tcPr>
            <w:tcW w:w="772"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848"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99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99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r>
      <w:tr w:rsidR="002E0D02" w:rsidRPr="00B45B4F" w:rsidTr="00AF6F4A">
        <w:trPr>
          <w:trHeight w:val="330"/>
        </w:trPr>
        <w:tc>
          <w:tcPr>
            <w:tcW w:w="1980" w:type="dxa"/>
            <w:vMerge/>
            <w:shd w:val="clear" w:color="auto" w:fill="548DD4" w:themeFill="text2" w:themeFillTint="99"/>
            <w:vAlign w:val="center"/>
            <w:hideMark/>
          </w:tcPr>
          <w:p w:rsidR="002E0D02" w:rsidRPr="00B45B4F" w:rsidRDefault="002E0D02" w:rsidP="002E0D02">
            <w:pPr>
              <w:spacing w:after="0" w:line="240" w:lineRule="auto"/>
              <w:rPr>
                <w:rFonts w:ascii="Verdana" w:eastAsia="Times New Roman" w:hAnsi="Verdana"/>
                <w:color w:val="FFFFFF"/>
                <w:sz w:val="18"/>
                <w:szCs w:val="18"/>
                <w:lang w:val="bg-BG"/>
              </w:rPr>
            </w:pPr>
          </w:p>
        </w:tc>
        <w:tc>
          <w:tcPr>
            <w:tcW w:w="1350" w:type="dxa"/>
            <w:shd w:val="clear" w:color="000000" w:fill="C6D9F1"/>
            <w:vAlign w:val="center"/>
            <w:hideMark/>
          </w:tcPr>
          <w:p w:rsidR="002E0D02" w:rsidRPr="00B45B4F" w:rsidRDefault="002E0D02" w:rsidP="00191491">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10</w:t>
            </w:r>
          </w:p>
        </w:tc>
        <w:tc>
          <w:tcPr>
            <w:tcW w:w="772"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848"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99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99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r>
      <w:tr w:rsidR="002E0D02" w:rsidRPr="00B45B4F" w:rsidTr="00AF6F4A">
        <w:trPr>
          <w:trHeight w:val="330"/>
        </w:trPr>
        <w:tc>
          <w:tcPr>
            <w:tcW w:w="1980" w:type="dxa"/>
            <w:vMerge/>
            <w:shd w:val="clear" w:color="auto" w:fill="548DD4" w:themeFill="text2" w:themeFillTint="99"/>
            <w:vAlign w:val="center"/>
            <w:hideMark/>
          </w:tcPr>
          <w:p w:rsidR="002E0D02" w:rsidRPr="00B45B4F" w:rsidRDefault="002E0D02" w:rsidP="002E0D02">
            <w:pPr>
              <w:spacing w:after="0" w:line="240" w:lineRule="auto"/>
              <w:rPr>
                <w:rFonts w:ascii="Verdana" w:eastAsia="Times New Roman" w:hAnsi="Verdana"/>
                <w:color w:val="FFFFFF"/>
                <w:sz w:val="18"/>
                <w:szCs w:val="18"/>
                <w:lang w:val="bg-BG"/>
              </w:rPr>
            </w:pPr>
          </w:p>
        </w:tc>
        <w:tc>
          <w:tcPr>
            <w:tcW w:w="1350" w:type="dxa"/>
            <w:shd w:val="clear" w:color="000000" w:fill="C6D9F1"/>
            <w:vAlign w:val="center"/>
            <w:hideMark/>
          </w:tcPr>
          <w:p w:rsidR="002E0D02" w:rsidRPr="00B45B4F" w:rsidRDefault="002E0D02" w:rsidP="00191491">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11</w:t>
            </w:r>
          </w:p>
        </w:tc>
        <w:tc>
          <w:tcPr>
            <w:tcW w:w="772"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848"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99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99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r>
      <w:tr w:rsidR="002E0D02" w:rsidRPr="00B45B4F" w:rsidTr="00AF6F4A">
        <w:trPr>
          <w:trHeight w:val="330"/>
        </w:trPr>
        <w:tc>
          <w:tcPr>
            <w:tcW w:w="1980" w:type="dxa"/>
            <w:vMerge/>
            <w:shd w:val="clear" w:color="auto" w:fill="548DD4" w:themeFill="text2" w:themeFillTint="99"/>
            <w:vAlign w:val="center"/>
            <w:hideMark/>
          </w:tcPr>
          <w:p w:rsidR="002E0D02" w:rsidRPr="00B45B4F" w:rsidRDefault="002E0D02" w:rsidP="002E0D02">
            <w:pPr>
              <w:spacing w:after="0" w:line="240" w:lineRule="auto"/>
              <w:rPr>
                <w:rFonts w:ascii="Verdana" w:eastAsia="Times New Roman" w:hAnsi="Verdana"/>
                <w:color w:val="FFFFFF"/>
                <w:sz w:val="18"/>
                <w:szCs w:val="18"/>
                <w:lang w:val="bg-BG"/>
              </w:rPr>
            </w:pPr>
          </w:p>
        </w:tc>
        <w:tc>
          <w:tcPr>
            <w:tcW w:w="1350" w:type="dxa"/>
            <w:shd w:val="clear" w:color="000000" w:fill="C6D9F1"/>
            <w:vAlign w:val="center"/>
            <w:hideMark/>
          </w:tcPr>
          <w:p w:rsidR="002E0D02" w:rsidRPr="00B45B4F" w:rsidRDefault="002E0D02" w:rsidP="00191491">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12</w:t>
            </w:r>
          </w:p>
        </w:tc>
        <w:tc>
          <w:tcPr>
            <w:tcW w:w="772"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848"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99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99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r>
      <w:tr w:rsidR="002E0D02" w:rsidRPr="00B45B4F" w:rsidTr="00AF6F4A">
        <w:trPr>
          <w:trHeight w:val="510"/>
        </w:trPr>
        <w:tc>
          <w:tcPr>
            <w:tcW w:w="1980" w:type="dxa"/>
            <w:shd w:val="clear" w:color="auto" w:fill="548DD4" w:themeFill="text2" w:themeFillTint="99"/>
            <w:vAlign w:val="center"/>
            <w:hideMark/>
          </w:tcPr>
          <w:p w:rsidR="002E0D02" w:rsidRPr="00B45B4F" w:rsidRDefault="002E0D02" w:rsidP="006A27F9">
            <w:pPr>
              <w:spacing w:after="0" w:line="240" w:lineRule="auto"/>
              <w:ind w:left="-108" w:right="-108"/>
              <w:jc w:val="center"/>
              <w:rPr>
                <w:rFonts w:ascii="Verdana" w:eastAsia="Times New Roman" w:hAnsi="Verdana"/>
                <w:color w:val="FFFFFF"/>
                <w:sz w:val="18"/>
                <w:szCs w:val="18"/>
                <w:lang w:val="bg-BG"/>
              </w:rPr>
            </w:pPr>
            <w:r w:rsidRPr="00B45B4F">
              <w:rPr>
                <w:rFonts w:ascii="Verdana" w:eastAsia="Times New Roman" w:hAnsi="Verdana"/>
                <w:color w:val="FFFFFF"/>
                <w:sz w:val="18"/>
                <w:szCs w:val="18"/>
                <w:lang w:val="bg-BG"/>
              </w:rPr>
              <w:t>Глава III: Устойчиво развитие на риб</w:t>
            </w:r>
            <w:r w:rsidR="006A27F9">
              <w:rPr>
                <w:rFonts w:ascii="Verdana" w:eastAsia="Times New Roman" w:hAnsi="Verdana"/>
                <w:color w:val="FFFFFF"/>
                <w:sz w:val="18"/>
                <w:szCs w:val="18"/>
                <w:lang w:val="bg-BG"/>
              </w:rPr>
              <w:t>арските</w:t>
            </w:r>
            <w:r w:rsidRPr="00B45B4F">
              <w:rPr>
                <w:rFonts w:ascii="Verdana" w:eastAsia="Times New Roman" w:hAnsi="Verdana"/>
                <w:color w:val="FFFFFF"/>
                <w:sz w:val="18"/>
                <w:szCs w:val="18"/>
                <w:lang w:val="bg-BG"/>
              </w:rPr>
              <w:t xml:space="preserve"> райони</w:t>
            </w:r>
          </w:p>
        </w:tc>
        <w:tc>
          <w:tcPr>
            <w:tcW w:w="1350" w:type="dxa"/>
            <w:shd w:val="clear" w:color="000000" w:fill="C6D9F1"/>
            <w:vAlign w:val="center"/>
            <w:hideMark/>
          </w:tcPr>
          <w:p w:rsidR="002E0D02" w:rsidRPr="00B45B4F" w:rsidRDefault="002E0D02" w:rsidP="00191491">
            <w:pPr>
              <w:spacing w:after="0" w:line="240" w:lineRule="auto"/>
              <w:jc w:val="center"/>
              <w:rPr>
                <w:rFonts w:ascii="Verdana" w:eastAsia="Times New Roman" w:hAnsi="Verdana"/>
                <w:color w:val="000000"/>
                <w:sz w:val="18"/>
                <w:szCs w:val="18"/>
                <w:lang w:val="bg-BG"/>
              </w:rPr>
            </w:pPr>
          </w:p>
        </w:tc>
        <w:tc>
          <w:tcPr>
            <w:tcW w:w="772"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848"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99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99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r>
      <w:tr w:rsidR="002E0D02" w:rsidRPr="00B45B4F" w:rsidTr="00AF6F4A">
        <w:trPr>
          <w:trHeight w:val="395"/>
        </w:trPr>
        <w:tc>
          <w:tcPr>
            <w:tcW w:w="1980" w:type="dxa"/>
            <w:vMerge w:val="restart"/>
            <w:shd w:val="clear" w:color="auto" w:fill="548DD4" w:themeFill="text2" w:themeFillTint="99"/>
            <w:vAlign w:val="center"/>
            <w:hideMark/>
          </w:tcPr>
          <w:p w:rsidR="002E0D02" w:rsidRPr="00B45B4F" w:rsidRDefault="002E0D02" w:rsidP="00191491">
            <w:pPr>
              <w:spacing w:after="0" w:line="240" w:lineRule="auto"/>
              <w:ind w:left="-108" w:right="-108"/>
              <w:jc w:val="center"/>
              <w:rPr>
                <w:rFonts w:ascii="Verdana" w:eastAsia="Times New Roman" w:hAnsi="Verdana"/>
                <w:color w:val="FFFFFF"/>
                <w:sz w:val="18"/>
                <w:szCs w:val="18"/>
                <w:lang w:val="bg-BG"/>
              </w:rPr>
            </w:pPr>
            <w:r w:rsidRPr="00B45B4F">
              <w:rPr>
                <w:rFonts w:ascii="Verdana" w:eastAsia="Times New Roman" w:hAnsi="Verdana"/>
                <w:color w:val="FFFFFF"/>
                <w:sz w:val="18"/>
                <w:szCs w:val="18"/>
                <w:lang w:val="bg-BG"/>
              </w:rPr>
              <w:t xml:space="preserve">Глава IV: Мерки свързани с предлагането на пазара и преработването </w:t>
            </w:r>
          </w:p>
        </w:tc>
        <w:tc>
          <w:tcPr>
            <w:tcW w:w="1350" w:type="dxa"/>
            <w:shd w:val="clear" w:color="000000" w:fill="C6D9F1"/>
            <w:vAlign w:val="center"/>
            <w:hideMark/>
          </w:tcPr>
          <w:p w:rsidR="002E0D02" w:rsidRPr="00B45B4F" w:rsidRDefault="002E0D02" w:rsidP="00191491">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13</w:t>
            </w:r>
          </w:p>
        </w:tc>
        <w:tc>
          <w:tcPr>
            <w:tcW w:w="772"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848"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99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99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r>
      <w:tr w:rsidR="002E0D02" w:rsidRPr="00B45B4F" w:rsidTr="00AF6F4A">
        <w:trPr>
          <w:trHeight w:val="440"/>
        </w:trPr>
        <w:tc>
          <w:tcPr>
            <w:tcW w:w="1980" w:type="dxa"/>
            <w:vMerge/>
            <w:shd w:val="clear" w:color="auto" w:fill="548DD4" w:themeFill="text2" w:themeFillTint="99"/>
            <w:vAlign w:val="center"/>
            <w:hideMark/>
          </w:tcPr>
          <w:p w:rsidR="002E0D02" w:rsidRPr="00B45B4F" w:rsidRDefault="002E0D02" w:rsidP="00191491">
            <w:pPr>
              <w:spacing w:after="0" w:line="240" w:lineRule="auto"/>
              <w:ind w:left="-108" w:right="-108"/>
              <w:rPr>
                <w:rFonts w:ascii="Verdana" w:eastAsia="Times New Roman" w:hAnsi="Verdana"/>
                <w:color w:val="FFFFFF"/>
                <w:sz w:val="18"/>
                <w:szCs w:val="18"/>
                <w:lang w:val="bg-BG"/>
              </w:rPr>
            </w:pPr>
          </w:p>
        </w:tc>
        <w:tc>
          <w:tcPr>
            <w:tcW w:w="1350" w:type="dxa"/>
            <w:shd w:val="clear" w:color="000000" w:fill="C6D9F1"/>
            <w:vAlign w:val="center"/>
            <w:hideMark/>
          </w:tcPr>
          <w:p w:rsidR="002E0D02" w:rsidRPr="00B45B4F" w:rsidRDefault="002E0D02" w:rsidP="00191491">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14</w:t>
            </w:r>
          </w:p>
        </w:tc>
        <w:tc>
          <w:tcPr>
            <w:tcW w:w="772"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848"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99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99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r>
      <w:tr w:rsidR="002E0D02" w:rsidRPr="00B45B4F" w:rsidTr="00AF6F4A">
        <w:trPr>
          <w:trHeight w:val="330"/>
        </w:trPr>
        <w:tc>
          <w:tcPr>
            <w:tcW w:w="1980" w:type="dxa"/>
            <w:vMerge/>
            <w:shd w:val="clear" w:color="auto" w:fill="548DD4" w:themeFill="text2" w:themeFillTint="99"/>
            <w:vAlign w:val="center"/>
            <w:hideMark/>
          </w:tcPr>
          <w:p w:rsidR="002E0D02" w:rsidRPr="00B45B4F" w:rsidRDefault="002E0D02" w:rsidP="00191491">
            <w:pPr>
              <w:spacing w:after="0" w:line="240" w:lineRule="auto"/>
              <w:ind w:left="-108" w:right="-108"/>
              <w:rPr>
                <w:rFonts w:ascii="Verdana" w:eastAsia="Times New Roman" w:hAnsi="Verdana"/>
                <w:color w:val="FFFFFF"/>
                <w:sz w:val="18"/>
                <w:szCs w:val="18"/>
                <w:lang w:val="bg-BG"/>
              </w:rPr>
            </w:pPr>
          </w:p>
        </w:tc>
        <w:tc>
          <w:tcPr>
            <w:tcW w:w="1350" w:type="dxa"/>
            <w:shd w:val="clear" w:color="000000" w:fill="C6D9F1"/>
            <w:vAlign w:val="center"/>
            <w:hideMark/>
          </w:tcPr>
          <w:p w:rsidR="002E0D02" w:rsidRPr="00B45B4F" w:rsidRDefault="002E0D02" w:rsidP="00191491">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15</w:t>
            </w:r>
          </w:p>
        </w:tc>
        <w:tc>
          <w:tcPr>
            <w:tcW w:w="772"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848"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99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99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r>
      <w:tr w:rsidR="002E0D02" w:rsidRPr="00B45B4F" w:rsidTr="00AF6F4A">
        <w:trPr>
          <w:trHeight w:val="765"/>
        </w:trPr>
        <w:tc>
          <w:tcPr>
            <w:tcW w:w="1980" w:type="dxa"/>
            <w:shd w:val="clear" w:color="auto" w:fill="548DD4" w:themeFill="text2" w:themeFillTint="99"/>
            <w:vAlign w:val="center"/>
            <w:hideMark/>
          </w:tcPr>
          <w:p w:rsidR="002E0D02" w:rsidRPr="00B45B4F" w:rsidRDefault="002E0D02" w:rsidP="00191491">
            <w:pPr>
              <w:spacing w:after="0" w:line="240" w:lineRule="auto"/>
              <w:ind w:left="-108" w:right="-108"/>
              <w:jc w:val="center"/>
              <w:rPr>
                <w:rFonts w:ascii="Verdana" w:eastAsia="Times New Roman" w:hAnsi="Verdana"/>
                <w:color w:val="FFFFFF"/>
                <w:sz w:val="18"/>
                <w:szCs w:val="18"/>
                <w:lang w:val="bg-BG"/>
              </w:rPr>
            </w:pPr>
            <w:r w:rsidRPr="00B45B4F">
              <w:rPr>
                <w:rFonts w:ascii="Verdana" w:eastAsia="Times New Roman" w:hAnsi="Verdana"/>
                <w:color w:val="FFFFFF"/>
                <w:sz w:val="18"/>
                <w:szCs w:val="18"/>
                <w:lang w:val="bg-BG"/>
              </w:rPr>
              <w:t>Глава VI: Съпътстващи мерки за ОПОР при споделено управление</w:t>
            </w:r>
          </w:p>
        </w:tc>
        <w:tc>
          <w:tcPr>
            <w:tcW w:w="1350" w:type="dxa"/>
            <w:shd w:val="clear" w:color="000000" w:fill="C6D9F1"/>
            <w:vAlign w:val="center"/>
            <w:hideMark/>
          </w:tcPr>
          <w:p w:rsidR="002E0D02" w:rsidRPr="00B45B4F" w:rsidRDefault="002E0D02" w:rsidP="00191491">
            <w:pPr>
              <w:spacing w:after="0" w:line="240" w:lineRule="auto"/>
              <w:jc w:val="center"/>
              <w:rPr>
                <w:rFonts w:ascii="Verdana" w:eastAsia="Times New Roman" w:hAnsi="Verdana"/>
                <w:color w:val="000000"/>
                <w:sz w:val="18"/>
                <w:szCs w:val="18"/>
                <w:lang w:val="bg-BG"/>
              </w:rPr>
            </w:pPr>
          </w:p>
        </w:tc>
        <w:tc>
          <w:tcPr>
            <w:tcW w:w="772"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848"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99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99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r>
      <w:tr w:rsidR="002E0D02" w:rsidRPr="00B45B4F" w:rsidTr="00AF6F4A">
        <w:trPr>
          <w:trHeight w:val="300"/>
        </w:trPr>
        <w:tc>
          <w:tcPr>
            <w:tcW w:w="1980" w:type="dxa"/>
            <w:shd w:val="clear" w:color="auto" w:fill="548DD4" w:themeFill="text2" w:themeFillTint="99"/>
            <w:vAlign w:val="center"/>
            <w:hideMark/>
          </w:tcPr>
          <w:p w:rsidR="002E0D02" w:rsidRPr="00B45B4F" w:rsidRDefault="002E0D02" w:rsidP="00191491">
            <w:pPr>
              <w:spacing w:after="0" w:line="240" w:lineRule="auto"/>
              <w:ind w:left="-108" w:right="-108"/>
              <w:jc w:val="center"/>
              <w:rPr>
                <w:rFonts w:ascii="Verdana" w:eastAsia="Times New Roman" w:hAnsi="Verdana"/>
                <w:color w:val="FFFFFF"/>
                <w:sz w:val="18"/>
                <w:szCs w:val="18"/>
                <w:lang w:val="bg-BG"/>
              </w:rPr>
            </w:pPr>
            <w:r w:rsidRPr="00B45B4F">
              <w:rPr>
                <w:rFonts w:ascii="Verdana" w:eastAsia="Times New Roman" w:hAnsi="Verdana"/>
                <w:color w:val="FFFFFF"/>
                <w:sz w:val="18"/>
                <w:szCs w:val="18"/>
                <w:lang w:val="bg-BG"/>
              </w:rPr>
              <w:t>Стратегии за местно развитие</w:t>
            </w:r>
          </w:p>
        </w:tc>
        <w:tc>
          <w:tcPr>
            <w:tcW w:w="1350" w:type="dxa"/>
            <w:shd w:val="clear" w:color="000000" w:fill="C6D9F1"/>
            <w:vAlign w:val="bottom"/>
            <w:hideMark/>
          </w:tcPr>
          <w:p w:rsidR="002E0D02" w:rsidRPr="00B45B4F" w:rsidRDefault="002E0D02" w:rsidP="002E0D02">
            <w:pPr>
              <w:spacing w:after="0" w:line="240" w:lineRule="auto"/>
              <w:jc w:val="center"/>
              <w:rPr>
                <w:rFonts w:ascii="Verdana" w:eastAsia="Times New Roman" w:hAnsi="Verdana"/>
                <w:color w:val="000000"/>
                <w:sz w:val="18"/>
                <w:szCs w:val="18"/>
                <w:lang w:val="bg-BG"/>
              </w:rPr>
            </w:pPr>
            <w:r w:rsidRPr="00B45B4F">
              <w:rPr>
                <w:rFonts w:ascii="Verdana" w:eastAsia="Times New Roman" w:hAnsi="Verdana"/>
                <w:color w:val="000000"/>
                <w:sz w:val="18"/>
                <w:szCs w:val="18"/>
                <w:lang w:val="bg-BG"/>
              </w:rPr>
              <w:t> </w:t>
            </w:r>
          </w:p>
        </w:tc>
        <w:tc>
          <w:tcPr>
            <w:tcW w:w="772"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848"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72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99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c>
          <w:tcPr>
            <w:tcW w:w="990" w:type="dxa"/>
            <w:shd w:val="clear" w:color="auto" w:fill="auto"/>
            <w:vAlign w:val="center"/>
            <w:hideMark/>
          </w:tcPr>
          <w:p w:rsidR="002E0D02" w:rsidRPr="00B45B4F" w:rsidRDefault="002E0D02" w:rsidP="002E0D02">
            <w:pPr>
              <w:spacing w:after="0" w:line="240" w:lineRule="auto"/>
              <w:jc w:val="center"/>
              <w:rPr>
                <w:rFonts w:ascii="Verdana" w:eastAsia="Times New Roman" w:hAnsi="Verdana"/>
                <w:color w:val="0070C0"/>
                <w:sz w:val="18"/>
                <w:szCs w:val="18"/>
                <w:lang w:val="bg-BG"/>
              </w:rPr>
            </w:pPr>
          </w:p>
        </w:tc>
      </w:tr>
    </w:tbl>
    <w:p w:rsidR="007070F0" w:rsidRPr="00B45B4F" w:rsidRDefault="008410DF" w:rsidP="008410DF">
      <w:pPr>
        <w:spacing w:before="120"/>
        <w:rPr>
          <w:rFonts w:ascii="Verdana" w:hAnsi="Verdana"/>
          <w:i/>
          <w:sz w:val="18"/>
          <w:szCs w:val="18"/>
          <w:lang w:val="bg-BG" w:eastAsia="bg-BG"/>
        </w:rPr>
      </w:pPr>
      <w:r w:rsidRPr="00B45B4F">
        <w:rPr>
          <w:rFonts w:ascii="Verdana" w:hAnsi="Verdana"/>
          <w:i/>
          <w:sz w:val="18"/>
          <w:szCs w:val="18"/>
          <w:lang w:val="bg-BG" w:eastAsia="bg-BG"/>
        </w:rPr>
        <w:t xml:space="preserve">Легенда: </w:t>
      </w:r>
      <w:r w:rsidRPr="00B45B4F">
        <w:rPr>
          <w:rFonts w:ascii="Wingdings 2" w:eastAsia="Times New Roman" w:hAnsi="Wingdings 2"/>
          <w:color w:val="0070C0"/>
          <w:sz w:val="26"/>
          <w:szCs w:val="26"/>
          <w:lang w:val="bg-BG"/>
        </w:rPr>
        <w:t></w:t>
      </w:r>
      <w:r w:rsidRPr="00B45B4F">
        <w:rPr>
          <w:rFonts w:ascii="Verdana" w:eastAsia="Times New Roman" w:hAnsi="Verdana"/>
          <w:i/>
          <w:sz w:val="18"/>
          <w:szCs w:val="18"/>
          <w:lang w:val="bg-BG"/>
        </w:rPr>
        <w:t xml:space="preserve"> - слаба връзка, </w:t>
      </w:r>
      <w:r w:rsidRPr="00B45B4F">
        <w:rPr>
          <w:rFonts w:ascii="Wingdings 2" w:eastAsia="Times New Roman" w:hAnsi="Wingdings 2"/>
          <w:color w:val="0070C0"/>
          <w:sz w:val="26"/>
          <w:szCs w:val="26"/>
          <w:lang w:val="bg-BG"/>
        </w:rPr>
        <w:t></w:t>
      </w:r>
      <w:r w:rsidRPr="00B45B4F">
        <w:rPr>
          <w:rFonts w:ascii="Wingdings 2" w:eastAsia="Times New Roman" w:hAnsi="Wingdings 2"/>
          <w:color w:val="0070C0"/>
          <w:sz w:val="26"/>
          <w:szCs w:val="26"/>
          <w:lang w:val="bg-BG"/>
        </w:rPr>
        <w:t></w:t>
      </w:r>
      <w:r w:rsidRPr="00B45B4F">
        <w:rPr>
          <w:rFonts w:ascii="Wingdings 2" w:eastAsia="Times New Roman" w:hAnsi="Wingdings 2"/>
          <w:color w:val="0070C0"/>
          <w:sz w:val="26"/>
          <w:szCs w:val="26"/>
          <w:lang w:val="bg-BG"/>
        </w:rPr>
        <w:t></w:t>
      </w:r>
      <w:r w:rsidRPr="00EC3BDA">
        <w:rPr>
          <w:rFonts w:ascii="Verdana" w:eastAsia="Times New Roman" w:hAnsi="Verdana"/>
          <w:sz w:val="26"/>
          <w:szCs w:val="26"/>
          <w:lang w:val="bg-BG"/>
        </w:rPr>
        <w:t xml:space="preserve">- </w:t>
      </w:r>
      <w:r w:rsidRPr="00B45B4F">
        <w:rPr>
          <w:rFonts w:ascii="Verdana" w:eastAsia="Times New Roman" w:hAnsi="Verdana"/>
          <w:i/>
          <w:sz w:val="18"/>
          <w:szCs w:val="18"/>
          <w:lang w:val="bg-BG"/>
        </w:rPr>
        <w:t xml:space="preserve">средно силна връзка, </w:t>
      </w:r>
      <w:r w:rsidRPr="00B45B4F">
        <w:rPr>
          <w:rFonts w:ascii="Wingdings 2" w:eastAsia="Times New Roman" w:hAnsi="Wingdings 2"/>
          <w:color w:val="0070C0"/>
          <w:sz w:val="26"/>
          <w:szCs w:val="26"/>
          <w:lang w:val="bg-BG"/>
        </w:rPr>
        <w:t></w:t>
      </w:r>
      <w:r w:rsidRPr="00B45B4F">
        <w:rPr>
          <w:rFonts w:ascii="Wingdings 2" w:eastAsia="Times New Roman" w:hAnsi="Wingdings 2"/>
          <w:color w:val="0070C0"/>
          <w:sz w:val="26"/>
          <w:szCs w:val="26"/>
          <w:lang w:val="bg-BG"/>
        </w:rPr>
        <w:t></w:t>
      </w:r>
      <w:r w:rsidRPr="00B45B4F">
        <w:rPr>
          <w:rFonts w:ascii="Wingdings 2" w:eastAsia="Times New Roman" w:hAnsi="Wingdings 2"/>
          <w:color w:val="0070C0"/>
          <w:sz w:val="26"/>
          <w:szCs w:val="26"/>
          <w:lang w:val="bg-BG"/>
        </w:rPr>
        <w:t></w:t>
      </w:r>
      <w:r w:rsidRPr="00B45B4F">
        <w:rPr>
          <w:rFonts w:ascii="Verdana" w:eastAsia="Times New Roman" w:hAnsi="Verdana"/>
          <w:i/>
          <w:sz w:val="18"/>
          <w:szCs w:val="18"/>
          <w:lang w:val="bg-BG"/>
        </w:rPr>
        <w:t xml:space="preserve"> - силна връзка</w:t>
      </w:r>
    </w:p>
    <w:p w:rsidR="002E0D02" w:rsidRPr="00B45B4F" w:rsidRDefault="002E0D02" w:rsidP="002E0D02">
      <w:pPr>
        <w:keepNext/>
        <w:spacing w:before="240" w:after="120"/>
        <w:rPr>
          <w:rFonts w:ascii="Verdana" w:hAnsi="Verdana"/>
          <w:b/>
          <w:color w:val="548DD4" w:themeColor="text2" w:themeTint="99"/>
          <w:sz w:val="20"/>
          <w:szCs w:val="20"/>
          <w:lang w:val="bg-BG"/>
        </w:rPr>
      </w:pPr>
      <w:bookmarkStart w:id="72" w:name="_Toc395612572"/>
      <w:r w:rsidRPr="00B45B4F">
        <w:rPr>
          <w:rFonts w:ascii="Verdana" w:hAnsi="Verdana"/>
          <w:b/>
          <w:color w:val="548DD4" w:themeColor="text2" w:themeTint="99"/>
          <w:sz w:val="20"/>
          <w:szCs w:val="20"/>
          <w:lang w:val="bg-BG"/>
        </w:rPr>
        <w:t xml:space="preserve">Таблица </w:t>
      </w:r>
      <w:r w:rsidR="00BF1936" w:rsidRPr="00B45B4F">
        <w:rPr>
          <w:rFonts w:ascii="Verdana" w:hAnsi="Verdana"/>
          <w:b/>
          <w:color w:val="548DD4" w:themeColor="text2" w:themeTint="99"/>
          <w:sz w:val="20"/>
          <w:szCs w:val="20"/>
          <w:lang w:val="bg-BG"/>
        </w:rPr>
        <w:fldChar w:fldCharType="begin"/>
      </w:r>
      <w:r w:rsidRPr="00B45B4F">
        <w:rPr>
          <w:rFonts w:ascii="Verdana" w:hAnsi="Verdana"/>
          <w:b/>
          <w:color w:val="548DD4" w:themeColor="text2" w:themeTint="99"/>
          <w:sz w:val="20"/>
          <w:szCs w:val="20"/>
          <w:lang w:val="bg-BG"/>
        </w:rPr>
        <w:instrText>SEQ таблица \* ARABIC</w:instrText>
      </w:r>
      <w:r w:rsidR="00BF1936" w:rsidRPr="00B45B4F">
        <w:rPr>
          <w:rFonts w:ascii="Verdana" w:hAnsi="Verdana"/>
          <w:b/>
          <w:color w:val="548DD4" w:themeColor="text2" w:themeTint="99"/>
          <w:sz w:val="20"/>
          <w:szCs w:val="20"/>
          <w:lang w:val="bg-BG"/>
        </w:rPr>
        <w:fldChar w:fldCharType="separate"/>
      </w:r>
      <w:r w:rsidR="001361E0">
        <w:rPr>
          <w:rFonts w:ascii="Verdana" w:hAnsi="Verdana"/>
          <w:b/>
          <w:noProof/>
          <w:color w:val="548DD4" w:themeColor="text2" w:themeTint="99"/>
          <w:sz w:val="20"/>
          <w:szCs w:val="20"/>
          <w:lang w:val="bg-BG"/>
        </w:rPr>
        <w:t>16</w:t>
      </w:r>
      <w:r w:rsidR="00BF1936" w:rsidRPr="00B45B4F">
        <w:rPr>
          <w:rFonts w:ascii="Verdana" w:hAnsi="Verdana"/>
          <w:b/>
          <w:color w:val="548DD4" w:themeColor="text2" w:themeTint="99"/>
          <w:sz w:val="20"/>
          <w:szCs w:val="20"/>
          <w:lang w:val="bg-BG"/>
        </w:rPr>
        <w:fldChar w:fldCharType="end"/>
      </w:r>
      <w:r w:rsidRPr="00B45B4F">
        <w:rPr>
          <w:rFonts w:ascii="Verdana" w:hAnsi="Verdana"/>
          <w:b/>
          <w:color w:val="548DD4" w:themeColor="text2" w:themeTint="99"/>
          <w:sz w:val="20"/>
          <w:szCs w:val="20"/>
          <w:lang w:val="bg-BG"/>
        </w:rPr>
        <w:t>. Допълване и разграничаване между ОПНОИР и ПМДР</w:t>
      </w:r>
      <w:bookmarkEnd w:id="72"/>
    </w:p>
    <w:tbl>
      <w:tblPr>
        <w:tblW w:w="0" w:type="auto"/>
        <w:tblInd w:w="108" w:type="dxa"/>
        <w:tblBorders>
          <w:top w:val="single" w:sz="4" w:space="0" w:color="17365D" w:themeColor="text2" w:themeShade="BF"/>
          <w:left w:val="single" w:sz="4" w:space="0" w:color="17365D" w:themeColor="text2" w:themeShade="BF"/>
          <w:bottom w:val="single" w:sz="4" w:space="0" w:color="17365D" w:themeColor="text2" w:themeShade="BF"/>
          <w:right w:val="single" w:sz="4" w:space="0" w:color="17365D" w:themeColor="text2" w:themeShade="BF"/>
          <w:insideH w:val="single" w:sz="4" w:space="0" w:color="17365D" w:themeColor="text2" w:themeShade="BF"/>
          <w:insideV w:val="single" w:sz="4" w:space="0" w:color="17365D" w:themeColor="text2" w:themeShade="BF"/>
        </w:tblBorders>
        <w:tblLook w:val="0000" w:firstRow="0" w:lastRow="0" w:firstColumn="0" w:lastColumn="0" w:noHBand="0" w:noVBand="0"/>
      </w:tblPr>
      <w:tblGrid>
        <w:gridCol w:w="1883"/>
        <w:gridCol w:w="7315"/>
      </w:tblGrid>
      <w:tr w:rsidR="00560E14" w:rsidRPr="00B45B4F" w:rsidTr="00AF6F4A">
        <w:tc>
          <w:tcPr>
            <w:tcW w:w="1710" w:type="dxa"/>
            <w:shd w:val="clear" w:color="auto" w:fill="548DD4" w:themeFill="text2" w:themeFillTint="99"/>
          </w:tcPr>
          <w:p w:rsidR="002E0D02" w:rsidRPr="00B45B4F" w:rsidRDefault="002E0D02" w:rsidP="002E0D02">
            <w:pPr>
              <w:spacing w:after="0"/>
              <w:rPr>
                <w:rFonts w:ascii="Verdana" w:hAnsi="Verdana"/>
                <w:sz w:val="20"/>
                <w:szCs w:val="20"/>
                <w:lang w:val="bg-BG" w:eastAsia="cs-CZ"/>
              </w:rPr>
            </w:pPr>
            <w:r w:rsidRPr="00B45B4F">
              <w:rPr>
                <w:rFonts w:ascii="Verdana" w:hAnsi="Verdana"/>
                <w:color w:val="FFFFFF" w:themeColor="background1"/>
                <w:sz w:val="20"/>
                <w:szCs w:val="20"/>
                <w:lang w:val="bg-BG"/>
              </w:rPr>
              <w:t>Допълване / Разграничаване в текста на ОПНОИР</w:t>
            </w:r>
          </w:p>
        </w:tc>
        <w:tc>
          <w:tcPr>
            <w:tcW w:w="7380" w:type="dxa"/>
          </w:tcPr>
          <w:p w:rsidR="002E0D02" w:rsidRPr="00B45B4F" w:rsidRDefault="002E0D02" w:rsidP="002E0D02">
            <w:pPr>
              <w:widowControl w:val="0"/>
              <w:autoSpaceDE w:val="0"/>
              <w:autoSpaceDN w:val="0"/>
              <w:adjustRightInd w:val="0"/>
              <w:spacing w:after="120"/>
              <w:jc w:val="both"/>
              <w:rPr>
                <w:rFonts w:ascii="Verdana" w:hAnsi="Verdana"/>
                <w:sz w:val="20"/>
                <w:szCs w:val="20"/>
                <w:lang w:val="bg-BG"/>
              </w:rPr>
            </w:pPr>
            <w:r w:rsidRPr="00B45B4F">
              <w:rPr>
                <w:rFonts w:ascii="Verdana" w:hAnsi="Verdana"/>
                <w:b/>
                <w:sz w:val="20"/>
                <w:szCs w:val="20"/>
                <w:lang w:val="bg-BG"/>
              </w:rPr>
              <w:t>Допълване</w:t>
            </w:r>
            <w:r w:rsidRPr="00B45B4F">
              <w:rPr>
                <w:rFonts w:ascii="Verdana" w:hAnsi="Verdana"/>
                <w:sz w:val="20"/>
                <w:szCs w:val="20"/>
                <w:lang w:val="bg-BG"/>
              </w:rPr>
              <w:t xml:space="preserve">: </w:t>
            </w:r>
            <w:r w:rsidR="007A28B9" w:rsidRPr="00B45B4F">
              <w:rPr>
                <w:rFonts w:ascii="Verdana" w:hAnsi="Verdana"/>
                <w:sz w:val="20"/>
                <w:szCs w:val="20"/>
                <w:lang w:val="bg-BG"/>
              </w:rPr>
              <w:t>посочена е възможност ОПНОИР да „</w:t>
            </w:r>
            <w:r w:rsidR="007A28B9" w:rsidRPr="00B45B4F">
              <w:rPr>
                <w:rFonts w:ascii="Verdana" w:hAnsi="Verdana"/>
                <w:i/>
                <w:sz w:val="20"/>
                <w:szCs w:val="20"/>
                <w:lang w:val="bg-BG"/>
              </w:rPr>
              <w:t>допълни мерките по ПМДР чрез планираните операции за оптимизация на системата за обучение в сферите на морското дело</w:t>
            </w:r>
            <w:r w:rsidR="007A28B9" w:rsidRPr="00B45B4F">
              <w:rPr>
                <w:rFonts w:ascii="Verdana" w:hAnsi="Verdana"/>
                <w:sz w:val="20"/>
                <w:szCs w:val="20"/>
                <w:lang w:val="bg-BG"/>
              </w:rPr>
              <w:t xml:space="preserve">, </w:t>
            </w:r>
            <w:r w:rsidR="007A28B9" w:rsidRPr="00B45B4F">
              <w:rPr>
                <w:rFonts w:ascii="Verdana" w:hAnsi="Verdana"/>
                <w:i/>
                <w:sz w:val="20"/>
                <w:szCs w:val="20"/>
                <w:lang w:val="bg-BG"/>
              </w:rPr>
              <w:t xml:space="preserve">рибарството и </w:t>
            </w:r>
            <w:proofErr w:type="spellStart"/>
            <w:r w:rsidR="007A28B9" w:rsidRPr="00B45B4F">
              <w:rPr>
                <w:rFonts w:ascii="Verdana" w:hAnsi="Verdana"/>
                <w:i/>
                <w:sz w:val="20"/>
                <w:szCs w:val="20"/>
                <w:lang w:val="bg-BG"/>
              </w:rPr>
              <w:t>аквакултурите</w:t>
            </w:r>
            <w:proofErr w:type="spellEnd"/>
            <w:r w:rsidR="007A28B9" w:rsidRPr="00B45B4F">
              <w:rPr>
                <w:rFonts w:ascii="Verdana" w:hAnsi="Verdana"/>
                <w:sz w:val="20"/>
                <w:szCs w:val="20"/>
                <w:lang w:val="bg-BG"/>
              </w:rPr>
              <w:t>».</w:t>
            </w:r>
          </w:p>
          <w:p w:rsidR="007A28B9" w:rsidRPr="00B45B4F" w:rsidRDefault="002E0D02" w:rsidP="00185872">
            <w:pPr>
              <w:spacing w:after="120"/>
              <w:jc w:val="both"/>
              <w:rPr>
                <w:rFonts w:ascii="Verdana" w:hAnsi="Verdana"/>
                <w:sz w:val="20"/>
                <w:szCs w:val="20"/>
                <w:lang w:val="bg-BG" w:eastAsia="cs-CZ"/>
              </w:rPr>
            </w:pPr>
            <w:r w:rsidRPr="00B45B4F">
              <w:rPr>
                <w:rFonts w:ascii="Verdana" w:hAnsi="Verdana"/>
                <w:b/>
                <w:sz w:val="20"/>
                <w:szCs w:val="20"/>
                <w:lang w:val="bg-BG" w:eastAsia="cs-CZ"/>
              </w:rPr>
              <w:t>Разграничаване</w:t>
            </w:r>
            <w:r w:rsidRPr="00B45B4F">
              <w:rPr>
                <w:rFonts w:ascii="Verdana" w:hAnsi="Verdana"/>
                <w:sz w:val="20"/>
                <w:szCs w:val="20"/>
                <w:lang w:val="bg-BG" w:eastAsia="cs-CZ"/>
              </w:rPr>
              <w:t xml:space="preserve">: </w:t>
            </w:r>
            <w:r w:rsidR="001060B7" w:rsidRPr="00B45B4F">
              <w:rPr>
                <w:rFonts w:ascii="Verdana" w:hAnsi="Verdana"/>
                <w:sz w:val="20"/>
                <w:szCs w:val="20"/>
                <w:lang w:val="bg-BG" w:eastAsia="cs-CZ"/>
              </w:rPr>
              <w:t xml:space="preserve">посочено е, че </w:t>
            </w:r>
            <w:r w:rsidR="00185872" w:rsidRPr="00B45B4F">
              <w:rPr>
                <w:rFonts w:ascii="Verdana" w:hAnsi="Verdana"/>
                <w:sz w:val="20"/>
                <w:szCs w:val="20"/>
                <w:lang w:val="bg-BG" w:eastAsia="cs-CZ"/>
              </w:rPr>
              <w:t>„</w:t>
            </w:r>
            <w:r w:rsidR="001060B7" w:rsidRPr="00B45B4F">
              <w:rPr>
                <w:rFonts w:ascii="Verdana" w:hAnsi="Verdana"/>
                <w:i/>
                <w:sz w:val="20"/>
                <w:szCs w:val="20"/>
                <w:lang w:val="bg-BG"/>
              </w:rPr>
              <w:t>в</w:t>
            </w:r>
            <w:r w:rsidRPr="00B45B4F">
              <w:rPr>
                <w:rFonts w:ascii="Verdana" w:hAnsi="Verdana"/>
                <w:i/>
                <w:sz w:val="20"/>
                <w:szCs w:val="20"/>
                <w:lang w:val="bg-BG"/>
              </w:rPr>
              <w:t xml:space="preserve">сички мерки, свързани с провеждането на разпространение на научни знания; иновативни практики; придобиване на професионални умения; създаването на мрежи и др., които са свързани със сферите на рибарството и </w:t>
            </w:r>
            <w:proofErr w:type="spellStart"/>
            <w:r w:rsidRPr="00B45B4F">
              <w:rPr>
                <w:rFonts w:ascii="Verdana" w:hAnsi="Verdana"/>
                <w:i/>
                <w:sz w:val="20"/>
                <w:szCs w:val="20"/>
                <w:lang w:val="bg-BG"/>
              </w:rPr>
              <w:t>аквакултурите</w:t>
            </w:r>
            <w:proofErr w:type="spellEnd"/>
            <w:r w:rsidRPr="00B45B4F">
              <w:rPr>
                <w:rFonts w:ascii="Verdana" w:hAnsi="Verdana"/>
                <w:i/>
                <w:sz w:val="20"/>
                <w:szCs w:val="20"/>
                <w:lang w:val="bg-BG"/>
              </w:rPr>
              <w:t>, ще се подпомагат от новата ПМДР</w:t>
            </w:r>
            <w:r w:rsidRPr="00B45B4F">
              <w:rPr>
                <w:rFonts w:ascii="Verdana" w:hAnsi="Verdana"/>
                <w:sz w:val="20"/>
                <w:szCs w:val="20"/>
                <w:lang w:val="bg-BG" w:eastAsia="cs-CZ"/>
              </w:rPr>
              <w:t>.”</w:t>
            </w:r>
            <w:r w:rsidR="007A28B9" w:rsidRPr="00B45B4F">
              <w:rPr>
                <w:rFonts w:ascii="Verdana" w:hAnsi="Verdana"/>
                <w:sz w:val="20"/>
                <w:szCs w:val="20"/>
                <w:lang w:val="bg-BG" w:eastAsia="cs-CZ"/>
              </w:rPr>
              <w:t xml:space="preserve"> Също така е посочено, че „</w:t>
            </w:r>
            <w:r w:rsidR="007A28B9" w:rsidRPr="00B45B4F">
              <w:rPr>
                <w:rFonts w:ascii="Verdana" w:hAnsi="Verdana"/>
                <w:i/>
                <w:sz w:val="20"/>
                <w:szCs w:val="20"/>
                <w:lang w:val="bg-BG" w:eastAsia="cs-CZ"/>
              </w:rPr>
              <w:t>у</w:t>
            </w:r>
            <w:r w:rsidR="007A28B9" w:rsidRPr="00B45B4F">
              <w:rPr>
                <w:rFonts w:ascii="Verdana" w:hAnsi="Verdana"/>
                <w:i/>
                <w:sz w:val="20"/>
                <w:szCs w:val="20"/>
                <w:lang w:val="bg-BG"/>
              </w:rPr>
              <w:t xml:space="preserve">частието на научни организации във валидирането на резултати от изследвания върху влияние на риболовните дейности върху околната среда или върху по-устойчиво използване на морските биологични ресурси ще се </w:t>
            </w:r>
            <w:proofErr w:type="spellStart"/>
            <w:r w:rsidR="007A28B9" w:rsidRPr="00B45B4F">
              <w:rPr>
                <w:rFonts w:ascii="Verdana" w:hAnsi="Verdana"/>
                <w:i/>
                <w:sz w:val="20"/>
                <w:szCs w:val="20"/>
                <w:lang w:val="bg-BG"/>
              </w:rPr>
              <w:t>съфинансира</w:t>
            </w:r>
            <w:proofErr w:type="spellEnd"/>
            <w:r w:rsidR="007A28B9" w:rsidRPr="00B45B4F">
              <w:rPr>
                <w:rFonts w:ascii="Verdana" w:hAnsi="Verdana"/>
                <w:i/>
                <w:sz w:val="20"/>
                <w:szCs w:val="20"/>
                <w:lang w:val="bg-BG"/>
              </w:rPr>
              <w:t xml:space="preserve"> от ЕФМДР</w:t>
            </w:r>
            <w:r w:rsidR="00185872" w:rsidRPr="00B45B4F">
              <w:rPr>
                <w:rFonts w:ascii="Verdana" w:hAnsi="Verdana"/>
                <w:i/>
                <w:sz w:val="20"/>
                <w:szCs w:val="20"/>
                <w:lang w:val="bg-BG"/>
              </w:rPr>
              <w:t>“.</w:t>
            </w:r>
          </w:p>
        </w:tc>
      </w:tr>
      <w:tr w:rsidR="00560E14" w:rsidRPr="00B45B4F" w:rsidTr="00AF6F4A">
        <w:tc>
          <w:tcPr>
            <w:tcW w:w="1710" w:type="dxa"/>
            <w:shd w:val="clear" w:color="auto" w:fill="548DD4" w:themeFill="text2" w:themeFillTint="99"/>
          </w:tcPr>
          <w:p w:rsidR="002E0D02" w:rsidRPr="00B45B4F" w:rsidRDefault="002E0D02" w:rsidP="002E0D02">
            <w:pPr>
              <w:spacing w:after="0"/>
              <w:rPr>
                <w:rFonts w:ascii="Verdana" w:hAnsi="Verdana"/>
                <w:color w:val="FFFFFF" w:themeColor="background1"/>
                <w:sz w:val="20"/>
                <w:szCs w:val="20"/>
                <w:lang w:val="bg-BG"/>
              </w:rPr>
            </w:pPr>
            <w:r w:rsidRPr="00B45B4F">
              <w:rPr>
                <w:rFonts w:ascii="Verdana" w:hAnsi="Verdana"/>
                <w:color w:val="FFFFFF" w:themeColor="background1"/>
                <w:sz w:val="20"/>
                <w:szCs w:val="20"/>
                <w:lang w:val="bg-BG"/>
              </w:rPr>
              <w:t>Коментар</w:t>
            </w:r>
          </w:p>
        </w:tc>
        <w:tc>
          <w:tcPr>
            <w:tcW w:w="7380" w:type="dxa"/>
          </w:tcPr>
          <w:p w:rsidR="005C3ACE" w:rsidRPr="00B45B4F" w:rsidRDefault="005C3ACE" w:rsidP="005C3ACE">
            <w:pPr>
              <w:spacing w:after="120"/>
              <w:jc w:val="both"/>
              <w:rPr>
                <w:rFonts w:ascii="Verdana" w:hAnsi="Verdana"/>
                <w:sz w:val="20"/>
                <w:szCs w:val="20"/>
                <w:lang w:val="bg-BG" w:eastAsia="cs-CZ"/>
              </w:rPr>
            </w:pPr>
            <w:r w:rsidRPr="00B45B4F">
              <w:rPr>
                <w:rFonts w:ascii="Verdana" w:hAnsi="Verdana"/>
                <w:sz w:val="20"/>
                <w:szCs w:val="20"/>
                <w:lang w:val="bg-BG" w:eastAsia="cs-CZ"/>
              </w:rPr>
              <w:t>И</w:t>
            </w:r>
            <w:r w:rsidR="002E0D02" w:rsidRPr="00B45B4F">
              <w:rPr>
                <w:rFonts w:ascii="Verdana" w:hAnsi="Verdana"/>
                <w:sz w:val="20"/>
                <w:szCs w:val="20"/>
                <w:lang w:val="bg-BG" w:eastAsia="cs-CZ"/>
              </w:rPr>
              <w:t xml:space="preserve">нвестициите в научни изследвания и иновации в областта на рибарството и </w:t>
            </w:r>
            <w:proofErr w:type="spellStart"/>
            <w:r w:rsidR="002E0D02" w:rsidRPr="00B45B4F">
              <w:rPr>
                <w:rFonts w:ascii="Verdana" w:hAnsi="Verdana"/>
                <w:sz w:val="20"/>
                <w:szCs w:val="20"/>
                <w:lang w:val="bg-BG" w:eastAsia="cs-CZ"/>
              </w:rPr>
              <w:t>аквакултурите</w:t>
            </w:r>
            <w:proofErr w:type="spellEnd"/>
            <w:r w:rsidR="002E0D02" w:rsidRPr="00B45B4F">
              <w:rPr>
                <w:rFonts w:ascii="Verdana" w:hAnsi="Verdana"/>
                <w:sz w:val="20"/>
                <w:szCs w:val="20"/>
                <w:lang w:val="bg-BG" w:eastAsia="cs-CZ"/>
              </w:rPr>
              <w:t xml:space="preserve"> </w:t>
            </w:r>
            <w:r w:rsidRPr="00B45B4F">
              <w:rPr>
                <w:rFonts w:ascii="Verdana" w:hAnsi="Verdana"/>
                <w:sz w:val="20"/>
                <w:szCs w:val="20"/>
                <w:lang w:val="bg-BG" w:eastAsia="cs-CZ"/>
              </w:rPr>
              <w:t>чрез</w:t>
            </w:r>
            <w:r w:rsidR="002E0D02" w:rsidRPr="00B45B4F">
              <w:rPr>
                <w:rFonts w:ascii="Verdana" w:hAnsi="Verdana"/>
                <w:sz w:val="20"/>
                <w:szCs w:val="20"/>
                <w:lang w:val="bg-BG" w:eastAsia="cs-CZ"/>
              </w:rPr>
              <w:t xml:space="preserve"> мерки 1. Иновации в рибарствот</w:t>
            </w:r>
            <w:r w:rsidRPr="00B45B4F">
              <w:rPr>
                <w:rFonts w:ascii="Verdana" w:hAnsi="Verdana"/>
                <w:sz w:val="20"/>
                <w:szCs w:val="20"/>
                <w:lang w:val="bg-BG" w:eastAsia="cs-CZ"/>
              </w:rPr>
              <w:t xml:space="preserve">о и 8. Иновации в </w:t>
            </w:r>
            <w:proofErr w:type="spellStart"/>
            <w:r w:rsidRPr="00B45B4F">
              <w:rPr>
                <w:rFonts w:ascii="Verdana" w:hAnsi="Verdana"/>
                <w:sz w:val="20"/>
                <w:szCs w:val="20"/>
                <w:lang w:val="bg-BG" w:eastAsia="cs-CZ"/>
              </w:rPr>
              <w:t>аквакултурата</w:t>
            </w:r>
            <w:proofErr w:type="spellEnd"/>
            <w:r w:rsidRPr="00B45B4F">
              <w:rPr>
                <w:rFonts w:ascii="Verdana" w:hAnsi="Verdana"/>
                <w:sz w:val="20"/>
                <w:szCs w:val="20"/>
                <w:lang w:val="bg-BG" w:eastAsia="cs-CZ"/>
              </w:rPr>
              <w:t xml:space="preserve"> допълват инвестициите за създаване и развитие на научна инфраструктура чрез инвестиционен приоритет 1.1 по ОПНОИР, по който се предвиждат дейности за създаване на научни центрове и модернизиране на научната инфраструктура.</w:t>
            </w:r>
          </w:p>
          <w:p w:rsidR="002E0D02" w:rsidRPr="00B45B4F" w:rsidRDefault="002E0D02" w:rsidP="002E0D02">
            <w:pPr>
              <w:spacing w:after="120"/>
              <w:jc w:val="both"/>
              <w:rPr>
                <w:rFonts w:ascii="Verdana" w:hAnsi="Verdana"/>
                <w:sz w:val="20"/>
                <w:szCs w:val="20"/>
                <w:lang w:val="bg-BG" w:eastAsia="cs-CZ"/>
              </w:rPr>
            </w:pPr>
            <w:r w:rsidRPr="00B45B4F">
              <w:rPr>
                <w:rFonts w:ascii="Verdana" w:hAnsi="Verdana"/>
                <w:sz w:val="20"/>
                <w:szCs w:val="20"/>
                <w:lang w:val="bg-BG"/>
              </w:rPr>
              <w:t xml:space="preserve">Описани са възможностите на ОПНОИР за допълване на ПМДР по отношение на оптимизиране на системите за обучение в сферите на морското дело, рибарството и </w:t>
            </w:r>
            <w:proofErr w:type="spellStart"/>
            <w:r w:rsidRPr="00B45B4F">
              <w:rPr>
                <w:rFonts w:ascii="Verdana" w:hAnsi="Verdana"/>
                <w:sz w:val="20"/>
                <w:szCs w:val="20"/>
                <w:lang w:val="bg-BG"/>
              </w:rPr>
              <w:t>аквакултурите</w:t>
            </w:r>
            <w:proofErr w:type="spellEnd"/>
            <w:r w:rsidRPr="00B45B4F">
              <w:rPr>
                <w:rFonts w:ascii="Verdana" w:hAnsi="Verdana"/>
                <w:sz w:val="20"/>
                <w:szCs w:val="20"/>
                <w:lang w:val="bg-BG"/>
              </w:rPr>
              <w:t>.</w:t>
            </w:r>
          </w:p>
        </w:tc>
      </w:tr>
      <w:tr w:rsidR="00560E14" w:rsidRPr="00B45B4F" w:rsidTr="00AF6F4A">
        <w:tc>
          <w:tcPr>
            <w:tcW w:w="1710" w:type="dxa"/>
            <w:shd w:val="clear" w:color="auto" w:fill="548DD4" w:themeFill="text2" w:themeFillTint="99"/>
          </w:tcPr>
          <w:p w:rsidR="002E0D02" w:rsidRPr="00B45B4F" w:rsidRDefault="002E0D02" w:rsidP="002E0D02">
            <w:pPr>
              <w:spacing w:after="0"/>
              <w:rPr>
                <w:rFonts w:ascii="Verdana" w:hAnsi="Verdana"/>
                <w:color w:val="FFFFFF" w:themeColor="background1"/>
                <w:sz w:val="20"/>
                <w:szCs w:val="20"/>
                <w:lang w:val="bg-BG"/>
              </w:rPr>
            </w:pPr>
            <w:r w:rsidRPr="00B45B4F">
              <w:rPr>
                <w:rFonts w:ascii="Verdana" w:hAnsi="Verdana"/>
                <w:color w:val="FFFFFF" w:themeColor="background1"/>
                <w:sz w:val="20"/>
                <w:szCs w:val="20"/>
                <w:lang w:val="bg-BG" w:eastAsia="cs-CZ"/>
              </w:rPr>
              <w:lastRenderedPageBreak/>
              <w:t>Препоръка</w:t>
            </w:r>
          </w:p>
        </w:tc>
        <w:tc>
          <w:tcPr>
            <w:tcW w:w="7380" w:type="dxa"/>
            <w:shd w:val="clear" w:color="auto" w:fill="auto"/>
          </w:tcPr>
          <w:p w:rsidR="002E0D02" w:rsidRPr="00B45B4F" w:rsidRDefault="002E0D02" w:rsidP="002E0D02">
            <w:pPr>
              <w:spacing w:after="120"/>
              <w:jc w:val="both"/>
              <w:rPr>
                <w:rFonts w:ascii="Verdana" w:hAnsi="Verdana"/>
                <w:sz w:val="20"/>
                <w:szCs w:val="20"/>
                <w:lang w:val="bg-BG" w:eastAsia="cs-CZ"/>
              </w:rPr>
            </w:pPr>
            <w:r w:rsidRPr="00B45B4F">
              <w:rPr>
                <w:rFonts w:ascii="Verdana" w:hAnsi="Verdana"/>
                <w:sz w:val="20"/>
                <w:szCs w:val="20"/>
                <w:lang w:val="bg-BG" w:eastAsia="cs-CZ"/>
              </w:rPr>
              <w:t>В текста на оперативната програма може да се посочи допълването между Инвестиционен приоритет 1.1. на ОПНОИР и мерки 1 и 8 на ПМДР.</w:t>
            </w:r>
          </w:p>
        </w:tc>
      </w:tr>
    </w:tbl>
    <w:p w:rsidR="00416243" w:rsidRPr="00B45B4F" w:rsidRDefault="00416243" w:rsidP="00416243">
      <w:pPr>
        <w:ind w:left="360"/>
        <w:rPr>
          <w:rFonts w:ascii="Verdana" w:hAnsi="Verdana"/>
          <w:sz w:val="20"/>
          <w:szCs w:val="20"/>
          <w:lang w:val="bg-BG" w:eastAsia="cs-CZ"/>
        </w:rPr>
      </w:pPr>
    </w:p>
    <w:p w:rsidR="002E0D02" w:rsidRPr="00B45B4F" w:rsidRDefault="002E0D02" w:rsidP="002E0D02">
      <w:pPr>
        <w:keepNext/>
        <w:pBdr>
          <w:bottom w:val="single" w:sz="4" w:space="1" w:color="0070C0"/>
        </w:pBdr>
        <w:spacing w:before="360" w:after="120"/>
        <w:jc w:val="both"/>
        <w:rPr>
          <w:rFonts w:ascii="Verdana" w:hAnsi="Verdana"/>
          <w:color w:val="0070C0"/>
          <w:sz w:val="20"/>
          <w:szCs w:val="20"/>
          <w:lang w:val="bg-BG" w:eastAsia="cs-CZ"/>
        </w:rPr>
      </w:pPr>
      <w:r w:rsidRPr="00B45B4F">
        <w:rPr>
          <w:rFonts w:ascii="Verdana" w:hAnsi="Verdana"/>
          <w:color w:val="0070C0"/>
          <w:sz w:val="20"/>
          <w:szCs w:val="20"/>
          <w:lang w:val="bg-BG" w:eastAsia="cs-CZ"/>
        </w:rPr>
        <w:t>Програми, съфинансирани от ЕФРР по цел „Европейско териториално сътрудничество” (ЕТС)</w:t>
      </w:r>
    </w:p>
    <w:tbl>
      <w:tblPr>
        <w:tblW w:w="0" w:type="auto"/>
        <w:tblInd w:w="108" w:type="dxa"/>
        <w:tblBorders>
          <w:top w:val="single" w:sz="4" w:space="0" w:color="17365D" w:themeColor="text2" w:themeShade="BF"/>
          <w:left w:val="single" w:sz="4" w:space="0" w:color="17365D" w:themeColor="text2" w:themeShade="BF"/>
          <w:bottom w:val="single" w:sz="4" w:space="0" w:color="17365D" w:themeColor="text2" w:themeShade="BF"/>
          <w:right w:val="single" w:sz="4" w:space="0" w:color="17365D" w:themeColor="text2" w:themeShade="BF"/>
          <w:insideH w:val="single" w:sz="4" w:space="0" w:color="17365D" w:themeColor="text2" w:themeShade="BF"/>
          <w:insideV w:val="single" w:sz="4" w:space="0" w:color="17365D" w:themeColor="text2" w:themeShade="BF"/>
        </w:tblBorders>
        <w:tblLook w:val="0000" w:firstRow="0" w:lastRow="0" w:firstColumn="0" w:lastColumn="0" w:noHBand="0" w:noVBand="0"/>
      </w:tblPr>
      <w:tblGrid>
        <w:gridCol w:w="1883"/>
        <w:gridCol w:w="7207"/>
      </w:tblGrid>
      <w:tr w:rsidR="002E0D02" w:rsidRPr="00B45B4F" w:rsidTr="00AF6F4A">
        <w:tc>
          <w:tcPr>
            <w:tcW w:w="1883" w:type="dxa"/>
            <w:shd w:val="clear" w:color="auto" w:fill="548DD4" w:themeFill="text2" w:themeFillTint="99"/>
          </w:tcPr>
          <w:p w:rsidR="002E0D02" w:rsidRPr="00B45B4F" w:rsidRDefault="002E0D02" w:rsidP="002E0D02">
            <w:pPr>
              <w:spacing w:after="0"/>
              <w:rPr>
                <w:rFonts w:ascii="Verdana" w:hAnsi="Verdana"/>
                <w:sz w:val="20"/>
                <w:szCs w:val="20"/>
                <w:lang w:val="bg-BG" w:eastAsia="cs-CZ"/>
              </w:rPr>
            </w:pPr>
            <w:r w:rsidRPr="00B45B4F">
              <w:rPr>
                <w:rFonts w:ascii="Verdana" w:hAnsi="Verdana"/>
                <w:color w:val="FFFFFF" w:themeColor="background1"/>
                <w:sz w:val="20"/>
                <w:szCs w:val="20"/>
                <w:lang w:val="bg-BG"/>
              </w:rPr>
              <w:t>Допълване / Разграничаване в текста на ОПНОИР</w:t>
            </w:r>
          </w:p>
        </w:tc>
        <w:tc>
          <w:tcPr>
            <w:tcW w:w="7207" w:type="dxa"/>
          </w:tcPr>
          <w:p w:rsidR="002E0D02" w:rsidRPr="00B45B4F" w:rsidRDefault="002E0D02" w:rsidP="002E0D02">
            <w:pPr>
              <w:spacing w:after="0"/>
              <w:jc w:val="both"/>
              <w:rPr>
                <w:rFonts w:ascii="Verdana" w:hAnsi="Verdana"/>
                <w:sz w:val="20"/>
                <w:szCs w:val="20"/>
                <w:lang w:val="bg-BG"/>
              </w:rPr>
            </w:pPr>
            <w:r w:rsidRPr="00B45B4F">
              <w:rPr>
                <w:rFonts w:ascii="Verdana" w:hAnsi="Verdana"/>
                <w:sz w:val="20"/>
                <w:szCs w:val="20"/>
                <w:lang w:val="bg-BG"/>
              </w:rPr>
              <w:t xml:space="preserve">Посочено е, че </w:t>
            </w:r>
            <w:proofErr w:type="spellStart"/>
            <w:r w:rsidRPr="00B45B4F">
              <w:rPr>
                <w:rFonts w:ascii="Verdana" w:hAnsi="Verdana"/>
                <w:sz w:val="20"/>
                <w:szCs w:val="20"/>
                <w:lang w:val="bg-BG"/>
              </w:rPr>
              <w:t>демаркация</w:t>
            </w:r>
            <w:proofErr w:type="spellEnd"/>
            <w:r w:rsidRPr="00B45B4F">
              <w:rPr>
                <w:rFonts w:ascii="Verdana" w:hAnsi="Verdana"/>
                <w:sz w:val="20"/>
                <w:szCs w:val="20"/>
                <w:lang w:val="bg-BG"/>
              </w:rPr>
              <w:t xml:space="preserve"> на ниво програмиране не е необходима.</w:t>
            </w:r>
          </w:p>
          <w:p w:rsidR="002E0D02" w:rsidRPr="00B45B4F" w:rsidRDefault="002E0D02" w:rsidP="002E0D02">
            <w:pPr>
              <w:spacing w:after="0"/>
              <w:jc w:val="both"/>
              <w:rPr>
                <w:rFonts w:ascii="Verdana" w:hAnsi="Verdana"/>
                <w:sz w:val="20"/>
                <w:szCs w:val="20"/>
                <w:lang w:val="bg-BG" w:eastAsia="cs-CZ"/>
              </w:rPr>
            </w:pPr>
            <w:r w:rsidRPr="00B45B4F">
              <w:rPr>
                <w:rFonts w:ascii="Verdana" w:hAnsi="Verdana"/>
                <w:sz w:val="20"/>
                <w:szCs w:val="20"/>
                <w:lang w:val="bg-BG"/>
              </w:rPr>
              <w:t>Отчетено е, че “при стартиране на програмите ще се извършва проследяване за недопускане на двойно финансиране на ниво целеви групи, бенефициенти, допустими дейности/ разходи, резултати”.</w:t>
            </w:r>
          </w:p>
        </w:tc>
      </w:tr>
      <w:tr w:rsidR="002E0D02" w:rsidRPr="00B45B4F" w:rsidTr="00AF6F4A">
        <w:tc>
          <w:tcPr>
            <w:tcW w:w="1883" w:type="dxa"/>
            <w:shd w:val="clear" w:color="auto" w:fill="548DD4" w:themeFill="text2" w:themeFillTint="99"/>
          </w:tcPr>
          <w:p w:rsidR="002E0D02" w:rsidRPr="00B45B4F" w:rsidRDefault="002E0D02" w:rsidP="002E0D02">
            <w:pPr>
              <w:spacing w:after="0"/>
              <w:rPr>
                <w:rFonts w:ascii="Verdana" w:hAnsi="Verdana"/>
                <w:color w:val="FFFFFF" w:themeColor="background1"/>
                <w:sz w:val="20"/>
                <w:szCs w:val="20"/>
                <w:lang w:val="bg-BG"/>
              </w:rPr>
            </w:pPr>
            <w:r w:rsidRPr="00B45B4F">
              <w:rPr>
                <w:rFonts w:ascii="Verdana" w:hAnsi="Verdana"/>
                <w:color w:val="FFFFFF" w:themeColor="background1"/>
                <w:sz w:val="20"/>
                <w:szCs w:val="20"/>
                <w:lang w:val="bg-BG"/>
              </w:rPr>
              <w:t>Коментар</w:t>
            </w:r>
          </w:p>
        </w:tc>
        <w:tc>
          <w:tcPr>
            <w:tcW w:w="7207" w:type="dxa"/>
          </w:tcPr>
          <w:p w:rsidR="002E0D02" w:rsidRPr="00B45B4F" w:rsidRDefault="002E0D02" w:rsidP="002E0D02">
            <w:pPr>
              <w:spacing w:after="0"/>
              <w:jc w:val="both"/>
              <w:rPr>
                <w:rFonts w:ascii="Verdana" w:hAnsi="Verdana"/>
                <w:sz w:val="20"/>
                <w:szCs w:val="20"/>
                <w:lang w:val="bg-BG" w:eastAsia="cs-CZ"/>
              </w:rPr>
            </w:pPr>
            <w:r w:rsidRPr="00B45B4F">
              <w:rPr>
                <w:rFonts w:ascii="Verdana" w:hAnsi="Verdana"/>
                <w:sz w:val="20"/>
                <w:szCs w:val="20"/>
                <w:lang w:val="bg-BG" w:eastAsia="cs-CZ"/>
              </w:rPr>
              <w:t>Няма налични работни версии на програмите по цел ЕТС, чиито връзки с ОПНОИР да бъдат разглеждани, анализирани и оценявани.</w:t>
            </w:r>
          </w:p>
        </w:tc>
      </w:tr>
      <w:tr w:rsidR="002E0D02" w:rsidRPr="00B45B4F" w:rsidTr="00AF6F4A">
        <w:tc>
          <w:tcPr>
            <w:tcW w:w="1883" w:type="dxa"/>
            <w:shd w:val="clear" w:color="auto" w:fill="548DD4" w:themeFill="text2" w:themeFillTint="99"/>
          </w:tcPr>
          <w:p w:rsidR="002E0D02" w:rsidRPr="00B45B4F" w:rsidRDefault="002E0D02" w:rsidP="002E0D02">
            <w:pPr>
              <w:spacing w:after="0"/>
              <w:rPr>
                <w:rFonts w:ascii="Verdana" w:hAnsi="Verdana"/>
                <w:color w:val="FFFFFF" w:themeColor="background1"/>
                <w:sz w:val="20"/>
                <w:szCs w:val="20"/>
                <w:lang w:val="bg-BG"/>
              </w:rPr>
            </w:pPr>
            <w:r w:rsidRPr="00B45B4F">
              <w:rPr>
                <w:rFonts w:ascii="Verdana" w:hAnsi="Verdana"/>
                <w:color w:val="FFFFFF" w:themeColor="background1"/>
                <w:sz w:val="20"/>
                <w:szCs w:val="20"/>
                <w:lang w:val="bg-BG" w:eastAsia="cs-CZ"/>
              </w:rPr>
              <w:t>Препоръка</w:t>
            </w:r>
          </w:p>
        </w:tc>
        <w:tc>
          <w:tcPr>
            <w:tcW w:w="7207" w:type="dxa"/>
          </w:tcPr>
          <w:p w:rsidR="002E0D02" w:rsidRPr="00B45B4F" w:rsidRDefault="002E0D02" w:rsidP="002E0D02">
            <w:pPr>
              <w:spacing w:after="0"/>
              <w:jc w:val="both"/>
              <w:rPr>
                <w:rFonts w:ascii="Verdana" w:hAnsi="Verdana"/>
                <w:sz w:val="20"/>
                <w:szCs w:val="20"/>
                <w:lang w:val="bg-BG" w:eastAsia="cs-CZ"/>
              </w:rPr>
            </w:pPr>
            <w:r w:rsidRPr="00B45B4F">
              <w:rPr>
                <w:rFonts w:ascii="Verdana" w:hAnsi="Verdana"/>
                <w:sz w:val="20"/>
                <w:szCs w:val="20"/>
                <w:lang w:val="bg-BG" w:eastAsia="cs-CZ"/>
              </w:rPr>
              <w:t>При разработване на работните версии на програмите по цел ЕТС, по които България ще бъде страна, следва текстът на т. 1.8 от Раздел 8 да бъде прегледан, и в случай на необходимост – ревизиран.</w:t>
            </w:r>
          </w:p>
        </w:tc>
      </w:tr>
    </w:tbl>
    <w:p w:rsidR="002E0D02" w:rsidRPr="00B45B4F" w:rsidRDefault="002E0D02" w:rsidP="00416243">
      <w:pPr>
        <w:ind w:left="360"/>
        <w:rPr>
          <w:rFonts w:ascii="Verdana" w:hAnsi="Verdana"/>
          <w:sz w:val="20"/>
          <w:szCs w:val="20"/>
          <w:lang w:val="bg-BG" w:eastAsia="cs-CZ"/>
        </w:rPr>
      </w:pPr>
    </w:p>
    <w:tbl>
      <w:tblPr>
        <w:tblW w:w="0" w:type="auto"/>
        <w:tblInd w:w="108" w:type="dxa"/>
        <w:tblBorders>
          <w:top w:val="single" w:sz="4" w:space="0" w:color="auto"/>
          <w:bottom w:val="single" w:sz="4" w:space="0" w:color="auto"/>
        </w:tblBorders>
        <w:tblLook w:val="04A0" w:firstRow="1" w:lastRow="0" w:firstColumn="1" w:lastColumn="0" w:noHBand="0" w:noVBand="1"/>
      </w:tblPr>
      <w:tblGrid>
        <w:gridCol w:w="540"/>
        <w:gridCol w:w="8550"/>
      </w:tblGrid>
      <w:tr w:rsidR="00DF1209" w:rsidRPr="00B45B4F" w:rsidTr="001B6329">
        <w:tc>
          <w:tcPr>
            <w:tcW w:w="540" w:type="dxa"/>
            <w:vAlign w:val="center"/>
          </w:tcPr>
          <w:p w:rsidR="00DF1209" w:rsidRPr="00B45B4F" w:rsidRDefault="00723E65" w:rsidP="0015412F">
            <w:pPr>
              <w:pStyle w:val="BodyText"/>
              <w:spacing w:after="0" w:line="276" w:lineRule="auto"/>
              <w:jc w:val="center"/>
              <w:rPr>
                <w:rFonts w:ascii="Verdana" w:hAnsi="Verdana"/>
                <w:b/>
                <w:color w:val="548DD4"/>
                <w:sz w:val="20"/>
                <w:szCs w:val="20"/>
              </w:rPr>
            </w:pPr>
            <w:r w:rsidRPr="00B45B4F">
              <w:rPr>
                <w:rFonts w:ascii="Verdana" w:hAnsi="Verdana"/>
                <w:b/>
                <w:color w:val="548DD4"/>
                <w:sz w:val="36"/>
                <w:szCs w:val="36"/>
              </w:rPr>
              <w:t>?</w:t>
            </w:r>
          </w:p>
        </w:tc>
        <w:tc>
          <w:tcPr>
            <w:tcW w:w="8550" w:type="dxa"/>
            <w:shd w:val="clear" w:color="auto" w:fill="B8CCE4"/>
          </w:tcPr>
          <w:p w:rsidR="00DF1209" w:rsidRPr="00EC3BDA" w:rsidRDefault="00DF1209" w:rsidP="00715D70">
            <w:pPr>
              <w:suppressAutoHyphens/>
              <w:spacing w:before="120" w:after="120" w:line="240" w:lineRule="auto"/>
              <w:ind w:left="115"/>
              <w:rPr>
                <w:rFonts w:ascii="Verdana" w:hAnsi="Verdana" w:cs="TimesNewRomanPSMT"/>
                <w:sz w:val="20"/>
                <w:szCs w:val="20"/>
                <w:lang w:val="bg-BG" w:eastAsia="bg-BG"/>
              </w:rPr>
            </w:pPr>
            <w:r w:rsidRPr="00EC3BDA">
              <w:rPr>
                <w:rFonts w:ascii="Verdana" w:hAnsi="Verdana"/>
                <w:sz w:val="20"/>
                <w:szCs w:val="20"/>
                <w:lang w:val="bg-BG"/>
              </w:rPr>
              <w:t>Изпълнение на предварителните условия, заложени в приложение 4 към Общия регламент за фондовете по ОСР</w:t>
            </w:r>
          </w:p>
        </w:tc>
      </w:tr>
    </w:tbl>
    <w:p w:rsidR="00CA5979" w:rsidRPr="00B45B4F" w:rsidRDefault="00CA5979" w:rsidP="00890623">
      <w:pPr>
        <w:spacing w:before="120" w:after="120"/>
        <w:jc w:val="both"/>
        <w:rPr>
          <w:rFonts w:ascii="Verdana" w:hAnsi="Verdana"/>
          <w:sz w:val="20"/>
          <w:szCs w:val="20"/>
          <w:lang w:val="bg-BG"/>
        </w:rPr>
      </w:pPr>
      <w:r w:rsidRPr="00B45B4F">
        <w:rPr>
          <w:rFonts w:ascii="Verdana" w:hAnsi="Verdana"/>
          <w:sz w:val="20"/>
          <w:szCs w:val="20"/>
          <w:lang w:val="bg-BG"/>
        </w:rPr>
        <w:t>Изпълнението на</w:t>
      </w:r>
      <w:r w:rsidR="007B7894" w:rsidRPr="00B45B4F">
        <w:rPr>
          <w:rFonts w:ascii="Verdana" w:hAnsi="Verdana"/>
          <w:sz w:val="20"/>
          <w:szCs w:val="20"/>
          <w:lang w:val="bg-BG"/>
        </w:rPr>
        <w:t xml:space="preserve"> предварителните условия се след</w:t>
      </w:r>
      <w:r w:rsidRPr="00B45B4F">
        <w:rPr>
          <w:rFonts w:ascii="Verdana" w:hAnsi="Verdana"/>
          <w:sz w:val="20"/>
          <w:szCs w:val="20"/>
          <w:lang w:val="bg-BG"/>
        </w:rPr>
        <w:t>и на национално ниво. По отношение на изпълнени</w:t>
      </w:r>
      <w:r w:rsidR="00185872" w:rsidRPr="00B45B4F">
        <w:rPr>
          <w:rFonts w:ascii="Verdana" w:hAnsi="Verdana"/>
          <w:sz w:val="20"/>
          <w:szCs w:val="20"/>
          <w:lang w:val="bg-BG"/>
        </w:rPr>
        <w:t>ето на предварителните условия, СП посочва</w:t>
      </w:r>
      <w:r w:rsidRPr="00B45B4F">
        <w:rPr>
          <w:rFonts w:ascii="Verdana" w:hAnsi="Verdana"/>
          <w:sz w:val="20"/>
          <w:szCs w:val="20"/>
          <w:lang w:val="bg-BG"/>
        </w:rPr>
        <w:t xml:space="preserve"> че се очаква изпълнението на всички условия най-късно 31.12.2016 г., а на по-голямата част от тях към първата половина на 2014 г. </w:t>
      </w:r>
    </w:p>
    <w:p w:rsidR="00543DF5" w:rsidRPr="00B45B4F" w:rsidRDefault="00543DF5" w:rsidP="00890623">
      <w:pPr>
        <w:pStyle w:val="BodyText"/>
        <w:tabs>
          <w:tab w:val="left" w:pos="0"/>
          <w:tab w:val="right" w:pos="9214"/>
        </w:tabs>
        <w:autoSpaceDE w:val="0"/>
        <w:autoSpaceDN w:val="0"/>
        <w:adjustRightInd w:val="0"/>
        <w:spacing w:line="276" w:lineRule="auto"/>
        <w:jc w:val="both"/>
        <w:rPr>
          <w:rFonts w:ascii="Verdana" w:hAnsi="Verdana"/>
          <w:bCs/>
          <w:color w:val="000000"/>
          <w:sz w:val="20"/>
          <w:szCs w:val="20"/>
        </w:rPr>
      </w:pPr>
      <w:r w:rsidRPr="00B45B4F">
        <w:rPr>
          <w:rFonts w:ascii="Verdana" w:hAnsi="Verdana"/>
          <w:sz w:val="20"/>
          <w:szCs w:val="20"/>
        </w:rPr>
        <w:t xml:space="preserve">Пет от специфичните условия в сферата на образованието и науката имат пряко отношение към подготовката на ОПНОИР </w:t>
      </w:r>
      <w:r w:rsidR="005106CE" w:rsidRPr="00B45B4F">
        <w:rPr>
          <w:rFonts w:ascii="Verdana" w:hAnsi="Verdana"/>
          <w:sz w:val="20"/>
          <w:szCs w:val="20"/>
        </w:rPr>
        <w:t>2014–2020</w:t>
      </w:r>
      <w:r w:rsidRPr="00B45B4F">
        <w:rPr>
          <w:rFonts w:ascii="Verdana" w:hAnsi="Verdana"/>
          <w:sz w:val="20"/>
          <w:szCs w:val="20"/>
        </w:rPr>
        <w:t xml:space="preserve">. </w:t>
      </w:r>
      <w:r w:rsidRPr="00B45B4F">
        <w:rPr>
          <w:rFonts w:ascii="Verdana" w:hAnsi="Verdana"/>
          <w:bCs/>
          <w:color w:val="000000"/>
          <w:sz w:val="20"/>
          <w:szCs w:val="20"/>
        </w:rPr>
        <w:t xml:space="preserve">Те са в следните тематични области: </w:t>
      </w:r>
    </w:p>
    <w:p w:rsidR="00543DF5" w:rsidRPr="00B45B4F" w:rsidRDefault="00543DF5" w:rsidP="006861B0">
      <w:pPr>
        <w:pStyle w:val="BodyText"/>
        <w:numPr>
          <w:ilvl w:val="0"/>
          <w:numId w:val="56"/>
        </w:numPr>
        <w:autoSpaceDE w:val="0"/>
        <w:autoSpaceDN w:val="0"/>
        <w:adjustRightInd w:val="0"/>
        <w:spacing w:line="276" w:lineRule="auto"/>
        <w:jc w:val="both"/>
        <w:rPr>
          <w:rFonts w:ascii="Verdana" w:eastAsia="TimesNewRoman" w:hAnsi="Verdana" w:cs="TimesNewRoman"/>
          <w:sz w:val="20"/>
          <w:szCs w:val="20"/>
        </w:rPr>
      </w:pPr>
      <w:r w:rsidRPr="00B45B4F">
        <w:rPr>
          <w:rFonts w:ascii="Verdana" w:eastAsia="TimesNewRoman" w:hAnsi="Verdana" w:cs="TimesNewRoman"/>
          <w:sz w:val="20"/>
          <w:szCs w:val="20"/>
        </w:rPr>
        <w:t>Засилване на научноизследователската дейност, технологичното развитие и иновациите;</w:t>
      </w:r>
    </w:p>
    <w:p w:rsidR="00543DF5" w:rsidRPr="00B45B4F" w:rsidRDefault="00543DF5" w:rsidP="006861B0">
      <w:pPr>
        <w:pStyle w:val="BodyText"/>
        <w:numPr>
          <w:ilvl w:val="0"/>
          <w:numId w:val="56"/>
        </w:numPr>
        <w:autoSpaceDE w:val="0"/>
        <w:autoSpaceDN w:val="0"/>
        <w:adjustRightInd w:val="0"/>
        <w:spacing w:line="276" w:lineRule="auto"/>
        <w:jc w:val="both"/>
        <w:rPr>
          <w:rFonts w:ascii="Verdana" w:eastAsia="TimesNewRoman" w:hAnsi="Verdana" w:cs="TimesNewRoman"/>
          <w:sz w:val="20"/>
          <w:szCs w:val="20"/>
        </w:rPr>
      </w:pPr>
      <w:r w:rsidRPr="00B45B4F">
        <w:rPr>
          <w:rFonts w:ascii="Verdana" w:eastAsia="TimesNewRoman" w:hAnsi="Verdana" w:cs="TimesNewRoman"/>
          <w:sz w:val="20"/>
          <w:szCs w:val="20"/>
        </w:rPr>
        <w:t>Инвестиции в уменията, образованието и ученето през целия живот.</w:t>
      </w:r>
    </w:p>
    <w:p w:rsidR="00115F63" w:rsidRDefault="00115F63" w:rsidP="00890623">
      <w:pPr>
        <w:spacing w:after="120"/>
        <w:jc w:val="both"/>
        <w:rPr>
          <w:rFonts w:ascii="Verdana" w:hAnsi="Verdana"/>
          <w:sz w:val="20"/>
          <w:szCs w:val="20"/>
          <w:lang w:val="bg-BG"/>
        </w:rPr>
      </w:pPr>
      <w:r w:rsidRPr="00B45B4F">
        <w:rPr>
          <w:rFonts w:ascii="Verdana" w:hAnsi="Verdana"/>
          <w:sz w:val="20"/>
          <w:szCs w:val="20"/>
          <w:lang w:val="bg-BG"/>
        </w:rPr>
        <w:t>Приемането на Стратегия</w:t>
      </w:r>
      <w:r w:rsidR="009F6AAA" w:rsidRPr="00B45B4F">
        <w:rPr>
          <w:rFonts w:ascii="Verdana" w:hAnsi="Verdana"/>
          <w:sz w:val="20"/>
          <w:szCs w:val="20"/>
          <w:lang w:val="bg-BG"/>
        </w:rPr>
        <w:t xml:space="preserve">та </w:t>
      </w:r>
      <w:r w:rsidRPr="00B45B4F">
        <w:rPr>
          <w:rFonts w:ascii="Verdana" w:hAnsi="Verdana"/>
          <w:sz w:val="20"/>
          <w:szCs w:val="20"/>
          <w:lang w:val="bg-BG"/>
        </w:rPr>
        <w:t>з</w:t>
      </w:r>
      <w:r w:rsidR="009F6AAA" w:rsidRPr="00B45B4F">
        <w:rPr>
          <w:rFonts w:ascii="Verdana" w:hAnsi="Verdana"/>
          <w:sz w:val="20"/>
          <w:szCs w:val="20"/>
          <w:lang w:val="bg-BG"/>
        </w:rPr>
        <w:t>а</w:t>
      </w:r>
      <w:r w:rsidR="000F00C5" w:rsidRPr="00B45B4F">
        <w:rPr>
          <w:rFonts w:ascii="Verdana" w:hAnsi="Verdana"/>
          <w:sz w:val="20"/>
          <w:szCs w:val="20"/>
          <w:lang w:val="bg-BG"/>
        </w:rPr>
        <w:t xml:space="preserve"> интелигентна специализация и С</w:t>
      </w:r>
      <w:r w:rsidRPr="00B45B4F">
        <w:rPr>
          <w:rFonts w:ascii="Verdana" w:hAnsi="Verdana"/>
          <w:sz w:val="20"/>
          <w:szCs w:val="20"/>
          <w:lang w:val="bg-BG"/>
        </w:rPr>
        <w:t xml:space="preserve">тратегията за развитие на висшето образование, както и </w:t>
      </w:r>
      <w:r w:rsidR="004E11E5" w:rsidRPr="00B45B4F">
        <w:rPr>
          <w:rFonts w:ascii="Verdana" w:hAnsi="Verdana"/>
          <w:sz w:val="20"/>
          <w:szCs w:val="20"/>
          <w:lang w:val="bg-BG"/>
        </w:rPr>
        <w:t xml:space="preserve">на </w:t>
      </w:r>
      <w:r w:rsidR="000F00C5" w:rsidRPr="00B45B4F">
        <w:rPr>
          <w:rFonts w:ascii="Verdana" w:hAnsi="Verdana"/>
          <w:sz w:val="20"/>
          <w:szCs w:val="20"/>
          <w:lang w:val="bg-BG"/>
        </w:rPr>
        <w:t>З</w:t>
      </w:r>
      <w:r w:rsidRPr="00B45B4F">
        <w:rPr>
          <w:rFonts w:ascii="Verdana" w:hAnsi="Verdana"/>
          <w:sz w:val="20"/>
          <w:szCs w:val="20"/>
          <w:lang w:val="bg-BG"/>
        </w:rPr>
        <w:t xml:space="preserve">акон за средното образование и </w:t>
      </w:r>
      <w:r w:rsidR="004E11E5" w:rsidRPr="00B45B4F">
        <w:rPr>
          <w:rFonts w:ascii="Verdana" w:hAnsi="Verdana"/>
          <w:sz w:val="20"/>
          <w:szCs w:val="20"/>
          <w:lang w:val="bg-BG"/>
        </w:rPr>
        <w:t xml:space="preserve">на </w:t>
      </w:r>
      <w:r w:rsidRPr="00B45B4F">
        <w:rPr>
          <w:rFonts w:ascii="Verdana" w:hAnsi="Verdana"/>
          <w:sz w:val="20"/>
          <w:szCs w:val="20"/>
          <w:lang w:val="bg-BG"/>
        </w:rPr>
        <w:t xml:space="preserve">промени в </w:t>
      </w:r>
      <w:r w:rsidR="000F00C5" w:rsidRPr="00B45B4F">
        <w:rPr>
          <w:rFonts w:ascii="Verdana" w:hAnsi="Verdana"/>
          <w:sz w:val="20"/>
          <w:szCs w:val="20"/>
          <w:lang w:val="bg-BG"/>
        </w:rPr>
        <w:t>З</w:t>
      </w:r>
      <w:r w:rsidRPr="00B45B4F">
        <w:rPr>
          <w:rFonts w:ascii="Verdana" w:hAnsi="Verdana"/>
          <w:sz w:val="20"/>
          <w:szCs w:val="20"/>
          <w:lang w:val="bg-BG"/>
        </w:rPr>
        <w:t>акона за професионалното</w:t>
      </w:r>
      <w:r w:rsidR="002D4C3A">
        <w:rPr>
          <w:rFonts w:ascii="Verdana" w:hAnsi="Verdana"/>
          <w:sz w:val="20"/>
          <w:szCs w:val="20"/>
          <w:lang w:val="bg-BG"/>
        </w:rPr>
        <w:t xml:space="preserve"> </w:t>
      </w:r>
      <w:r w:rsidRPr="00B45B4F">
        <w:rPr>
          <w:rFonts w:ascii="Verdana" w:hAnsi="Verdana"/>
          <w:sz w:val="20"/>
          <w:szCs w:val="20"/>
          <w:lang w:val="bg-BG"/>
        </w:rPr>
        <w:t>образование</w:t>
      </w:r>
      <w:r w:rsidR="00CA5979" w:rsidRPr="00B45B4F">
        <w:rPr>
          <w:rFonts w:ascii="Verdana" w:hAnsi="Verdana"/>
          <w:sz w:val="20"/>
          <w:szCs w:val="20"/>
          <w:lang w:val="bg-BG"/>
        </w:rPr>
        <w:t xml:space="preserve"> ще способства</w:t>
      </w:r>
      <w:r w:rsidR="004E11E5" w:rsidRPr="00B45B4F">
        <w:rPr>
          <w:rFonts w:ascii="Verdana" w:hAnsi="Verdana"/>
          <w:sz w:val="20"/>
          <w:szCs w:val="20"/>
          <w:lang w:val="bg-BG"/>
        </w:rPr>
        <w:t>т</w:t>
      </w:r>
      <w:r w:rsidR="00CA5979" w:rsidRPr="00B45B4F">
        <w:rPr>
          <w:rFonts w:ascii="Verdana" w:hAnsi="Verdana"/>
          <w:sz w:val="20"/>
          <w:szCs w:val="20"/>
          <w:lang w:val="bg-BG"/>
        </w:rPr>
        <w:t xml:space="preserve"> за изпълнение</w:t>
      </w:r>
      <w:r w:rsidR="004E11E5" w:rsidRPr="00B45B4F">
        <w:rPr>
          <w:rFonts w:ascii="Verdana" w:hAnsi="Verdana"/>
          <w:sz w:val="20"/>
          <w:szCs w:val="20"/>
          <w:lang w:val="bg-BG"/>
        </w:rPr>
        <w:t>то</w:t>
      </w:r>
      <w:r w:rsidR="00CA5979" w:rsidRPr="00B45B4F">
        <w:rPr>
          <w:rFonts w:ascii="Verdana" w:hAnsi="Verdana"/>
          <w:sz w:val="20"/>
          <w:szCs w:val="20"/>
          <w:lang w:val="bg-BG"/>
        </w:rPr>
        <w:t xml:space="preserve"> на предварителните условия.</w:t>
      </w:r>
    </w:p>
    <w:p w:rsidR="00757B38" w:rsidRPr="00032004" w:rsidRDefault="00416243" w:rsidP="00032004">
      <w:pPr>
        <w:pStyle w:val="Heading3"/>
        <w:numPr>
          <w:ilvl w:val="0"/>
          <w:numId w:val="0"/>
        </w:numPr>
        <w:spacing w:before="360"/>
        <w:ind w:left="720" w:hanging="720"/>
      </w:pPr>
      <w:bookmarkStart w:id="73" w:name="_Toc362617568"/>
      <w:bookmarkStart w:id="74" w:name="_Toc395612515"/>
      <w:r w:rsidRPr="00032004">
        <w:t>Изводи и п</w:t>
      </w:r>
      <w:r w:rsidR="00757B38" w:rsidRPr="00032004">
        <w:t>репоръки</w:t>
      </w:r>
      <w:bookmarkEnd w:id="73"/>
      <w:bookmarkEnd w:id="74"/>
    </w:p>
    <w:p w:rsidR="00051120" w:rsidRDefault="003051E4" w:rsidP="00E6129B">
      <w:pPr>
        <w:pStyle w:val="BodyText"/>
        <w:widowControl w:val="0"/>
        <w:spacing w:line="276" w:lineRule="auto"/>
        <w:jc w:val="both"/>
        <w:rPr>
          <w:rFonts w:ascii="Verdana" w:hAnsi="Verdana"/>
          <w:sz w:val="20"/>
          <w:szCs w:val="20"/>
          <w:lang w:eastAsia="en-US"/>
        </w:rPr>
      </w:pPr>
      <w:bookmarkStart w:id="75" w:name="_Toc319498686"/>
      <w:r>
        <w:rPr>
          <w:rFonts w:ascii="Verdana" w:hAnsi="Verdana"/>
          <w:sz w:val="20"/>
          <w:szCs w:val="20"/>
          <w:lang w:eastAsia="en-US"/>
        </w:rPr>
        <w:t xml:space="preserve">Отразяването на част от </w:t>
      </w:r>
      <w:r w:rsidR="00051120">
        <w:rPr>
          <w:rFonts w:ascii="Verdana" w:hAnsi="Verdana"/>
          <w:sz w:val="20"/>
          <w:szCs w:val="20"/>
          <w:lang w:eastAsia="en-US"/>
        </w:rPr>
        <w:t xml:space="preserve">препоръките на предавателната оценка </w:t>
      </w:r>
      <w:r>
        <w:rPr>
          <w:rFonts w:ascii="Verdana" w:hAnsi="Verdana"/>
          <w:sz w:val="20"/>
          <w:szCs w:val="20"/>
          <w:lang w:eastAsia="en-US"/>
        </w:rPr>
        <w:t>в</w:t>
      </w:r>
      <w:r w:rsidR="00051120">
        <w:rPr>
          <w:rFonts w:ascii="Verdana" w:hAnsi="Verdana"/>
          <w:sz w:val="20"/>
          <w:szCs w:val="20"/>
          <w:lang w:eastAsia="en-US"/>
        </w:rPr>
        <w:t xml:space="preserve"> резултат </w:t>
      </w:r>
      <w:r>
        <w:rPr>
          <w:rFonts w:ascii="Verdana" w:hAnsi="Verdana"/>
          <w:sz w:val="20"/>
          <w:szCs w:val="20"/>
          <w:lang w:eastAsia="en-US"/>
        </w:rPr>
        <w:t xml:space="preserve">доведе до </w:t>
      </w:r>
      <w:r w:rsidR="00051120">
        <w:rPr>
          <w:rFonts w:ascii="Verdana" w:hAnsi="Verdana"/>
          <w:sz w:val="20"/>
          <w:szCs w:val="20"/>
          <w:lang w:eastAsia="en-US"/>
        </w:rPr>
        <w:t>подобр</w:t>
      </w:r>
      <w:r>
        <w:rPr>
          <w:rFonts w:ascii="Verdana" w:hAnsi="Verdana"/>
          <w:sz w:val="20"/>
          <w:szCs w:val="20"/>
          <w:lang w:eastAsia="en-US"/>
        </w:rPr>
        <w:t>яване на</w:t>
      </w:r>
      <w:r w:rsidR="00051120">
        <w:rPr>
          <w:rFonts w:ascii="Verdana" w:hAnsi="Verdana"/>
          <w:sz w:val="20"/>
          <w:szCs w:val="20"/>
          <w:lang w:eastAsia="en-US"/>
        </w:rPr>
        <w:t xml:space="preserve"> </w:t>
      </w:r>
      <w:proofErr w:type="spellStart"/>
      <w:r w:rsidR="00051120">
        <w:rPr>
          <w:rFonts w:ascii="Verdana" w:hAnsi="Verdana"/>
          <w:sz w:val="20"/>
          <w:szCs w:val="20"/>
          <w:lang w:eastAsia="en-US"/>
        </w:rPr>
        <w:t>синергията</w:t>
      </w:r>
      <w:proofErr w:type="spellEnd"/>
      <w:r w:rsidR="00051120">
        <w:rPr>
          <w:rFonts w:ascii="Verdana" w:hAnsi="Verdana"/>
          <w:sz w:val="20"/>
          <w:szCs w:val="20"/>
          <w:lang w:eastAsia="en-US"/>
        </w:rPr>
        <w:t xml:space="preserve"> между програмата и Х</w:t>
      </w:r>
      <w:r w:rsidR="00C612E4">
        <w:rPr>
          <w:rFonts w:ascii="Verdana" w:hAnsi="Verdana"/>
          <w:sz w:val="20"/>
          <w:szCs w:val="20"/>
          <w:lang w:eastAsia="en-US"/>
        </w:rPr>
        <w:t xml:space="preserve">оризонт 2020 и </w:t>
      </w:r>
      <w:r>
        <w:rPr>
          <w:rFonts w:ascii="Verdana" w:hAnsi="Verdana"/>
          <w:sz w:val="20"/>
          <w:szCs w:val="20"/>
          <w:lang w:eastAsia="en-US"/>
        </w:rPr>
        <w:t>по-ясно</w:t>
      </w:r>
      <w:r w:rsidR="00C612E4">
        <w:rPr>
          <w:rFonts w:ascii="Verdana" w:hAnsi="Verdana"/>
          <w:sz w:val="20"/>
          <w:szCs w:val="20"/>
          <w:lang w:eastAsia="en-US"/>
        </w:rPr>
        <w:t xml:space="preserve"> </w:t>
      </w:r>
      <w:r w:rsidR="00C612E4">
        <w:rPr>
          <w:rFonts w:ascii="Verdana" w:hAnsi="Verdana"/>
          <w:sz w:val="20"/>
          <w:szCs w:val="20"/>
          <w:lang w:eastAsia="en-US"/>
        </w:rPr>
        <w:lastRenderedPageBreak/>
        <w:t>раздел</w:t>
      </w:r>
      <w:r>
        <w:rPr>
          <w:rFonts w:ascii="Verdana" w:hAnsi="Verdana"/>
          <w:sz w:val="20"/>
          <w:szCs w:val="20"/>
          <w:lang w:eastAsia="en-US"/>
        </w:rPr>
        <w:t>яни</w:t>
      </w:r>
      <w:r w:rsidR="00C612E4">
        <w:rPr>
          <w:rFonts w:ascii="Verdana" w:hAnsi="Verdana"/>
          <w:sz w:val="20"/>
          <w:szCs w:val="20"/>
          <w:lang w:eastAsia="en-US"/>
        </w:rPr>
        <w:t xml:space="preserve"> и допълване с някои от оперативните програми. Актуализирани бяха текстове на програмата съобразно последните версии на документите.</w:t>
      </w:r>
    </w:p>
    <w:p w:rsidR="001971E8" w:rsidRDefault="001971E8" w:rsidP="00E6129B">
      <w:pPr>
        <w:autoSpaceDE w:val="0"/>
        <w:autoSpaceDN w:val="0"/>
        <w:adjustRightInd w:val="0"/>
        <w:spacing w:after="120"/>
        <w:jc w:val="both"/>
        <w:rPr>
          <w:rFonts w:ascii="Verdana" w:hAnsi="Verdana"/>
          <w:sz w:val="20"/>
          <w:szCs w:val="20"/>
          <w:lang w:val="bg-BG"/>
        </w:rPr>
      </w:pPr>
      <w:r>
        <w:rPr>
          <w:rFonts w:ascii="Verdana" w:hAnsi="Verdana"/>
          <w:sz w:val="20"/>
          <w:szCs w:val="20"/>
          <w:lang w:val="bg-BG"/>
        </w:rPr>
        <w:t>Необходимо е да се обърне внимание на следното:</w:t>
      </w:r>
    </w:p>
    <w:p w:rsidR="001971E8" w:rsidRPr="00E6129B" w:rsidRDefault="001971E8" w:rsidP="006861B0">
      <w:pPr>
        <w:pStyle w:val="ListParagraph"/>
        <w:numPr>
          <w:ilvl w:val="0"/>
          <w:numId w:val="36"/>
        </w:numPr>
        <w:autoSpaceDE w:val="0"/>
        <w:autoSpaceDN w:val="0"/>
        <w:adjustRightInd w:val="0"/>
        <w:spacing w:after="120"/>
        <w:ind w:left="312" w:hanging="284"/>
        <w:jc w:val="both"/>
        <w:rPr>
          <w:rFonts w:ascii="Verdana" w:eastAsiaTheme="minorHAnsi" w:hAnsi="Verdana"/>
          <w:sz w:val="20"/>
          <w:szCs w:val="20"/>
          <w:lang w:val="bg-BG"/>
        </w:rPr>
      </w:pPr>
      <w:r w:rsidRPr="00E6129B">
        <w:rPr>
          <w:rFonts w:ascii="Verdana" w:eastAsiaTheme="minorHAnsi" w:hAnsi="Verdana"/>
          <w:sz w:val="20"/>
          <w:szCs w:val="20"/>
          <w:lang w:val="bg-BG"/>
        </w:rPr>
        <w:t xml:space="preserve">Да се </w:t>
      </w:r>
      <w:r w:rsidR="00051120" w:rsidRPr="00E6129B">
        <w:rPr>
          <w:rFonts w:ascii="Verdana" w:eastAsiaTheme="minorHAnsi" w:hAnsi="Verdana"/>
          <w:sz w:val="20"/>
          <w:szCs w:val="20"/>
          <w:lang w:val="bg-BG"/>
        </w:rPr>
        <w:t>адресира</w:t>
      </w:r>
      <w:r w:rsidRPr="00E6129B">
        <w:rPr>
          <w:rFonts w:ascii="Verdana" w:eastAsiaTheme="minorHAnsi" w:hAnsi="Verdana"/>
          <w:sz w:val="20"/>
          <w:szCs w:val="20"/>
          <w:lang w:val="bg-BG"/>
        </w:rPr>
        <w:t>т</w:t>
      </w:r>
      <w:r w:rsidR="00051120" w:rsidRPr="00E6129B">
        <w:rPr>
          <w:rFonts w:ascii="Verdana" w:eastAsiaTheme="minorHAnsi" w:hAnsi="Verdana"/>
          <w:sz w:val="20"/>
          <w:szCs w:val="20"/>
          <w:lang w:val="bg-BG"/>
        </w:rPr>
        <w:t xml:space="preserve"> териториалните </w:t>
      </w:r>
      <w:r w:rsidR="00C612E4" w:rsidRPr="00E6129B">
        <w:rPr>
          <w:rFonts w:ascii="Verdana" w:eastAsiaTheme="minorHAnsi" w:hAnsi="Verdana"/>
          <w:sz w:val="20"/>
          <w:szCs w:val="20"/>
          <w:lang w:val="bg-BG"/>
        </w:rPr>
        <w:t>аспекти по отношение на</w:t>
      </w:r>
      <w:r w:rsidR="00051120" w:rsidRPr="00E6129B">
        <w:rPr>
          <w:rFonts w:ascii="Verdana" w:eastAsiaTheme="minorHAnsi" w:hAnsi="Verdana"/>
          <w:sz w:val="20"/>
          <w:szCs w:val="20"/>
          <w:lang w:val="bg-BG"/>
        </w:rPr>
        <w:t xml:space="preserve"> качеството на образованието в малките и големите населени места.</w:t>
      </w:r>
    </w:p>
    <w:p w:rsidR="00051120" w:rsidRPr="00E6129B" w:rsidRDefault="001971E8" w:rsidP="006861B0">
      <w:pPr>
        <w:pStyle w:val="ListParagraph"/>
        <w:numPr>
          <w:ilvl w:val="0"/>
          <w:numId w:val="36"/>
        </w:numPr>
        <w:autoSpaceDE w:val="0"/>
        <w:autoSpaceDN w:val="0"/>
        <w:adjustRightInd w:val="0"/>
        <w:spacing w:after="120"/>
        <w:ind w:left="312" w:hanging="284"/>
        <w:jc w:val="both"/>
        <w:rPr>
          <w:rFonts w:ascii="Verdana" w:eastAsiaTheme="minorHAnsi" w:hAnsi="Verdana"/>
          <w:sz w:val="20"/>
          <w:szCs w:val="20"/>
          <w:lang w:val="bg-BG"/>
        </w:rPr>
      </w:pPr>
      <w:r w:rsidRPr="00E6129B">
        <w:rPr>
          <w:rFonts w:ascii="Verdana" w:eastAsiaTheme="minorHAnsi" w:hAnsi="Verdana"/>
          <w:sz w:val="20"/>
          <w:szCs w:val="20"/>
          <w:lang w:val="bg-BG"/>
        </w:rPr>
        <w:t>П</w:t>
      </w:r>
      <w:r w:rsidR="00C612E4" w:rsidRPr="00E6129B">
        <w:rPr>
          <w:rFonts w:ascii="Verdana" w:eastAsiaTheme="minorHAnsi" w:hAnsi="Verdana"/>
          <w:sz w:val="20"/>
          <w:szCs w:val="20"/>
          <w:lang w:val="bg-BG"/>
        </w:rPr>
        <w:t>о-</w:t>
      </w:r>
      <w:r w:rsidRPr="00E6129B">
        <w:rPr>
          <w:rFonts w:ascii="Verdana" w:eastAsiaTheme="minorHAnsi" w:hAnsi="Verdana"/>
          <w:sz w:val="20"/>
          <w:szCs w:val="20"/>
          <w:lang w:val="bg-BG"/>
        </w:rPr>
        <w:t>пълно</w:t>
      </w:r>
      <w:r w:rsidR="00C612E4" w:rsidRPr="00E6129B">
        <w:rPr>
          <w:rFonts w:ascii="Verdana" w:eastAsiaTheme="minorHAnsi" w:hAnsi="Verdana"/>
          <w:sz w:val="20"/>
          <w:szCs w:val="20"/>
          <w:lang w:val="bg-BG"/>
        </w:rPr>
        <w:t xml:space="preserve"> отразяване </w:t>
      </w:r>
      <w:r w:rsidR="004F1254" w:rsidRPr="00E6129B">
        <w:rPr>
          <w:rFonts w:ascii="Verdana" w:eastAsiaTheme="minorHAnsi" w:hAnsi="Verdana"/>
          <w:sz w:val="20"/>
          <w:szCs w:val="20"/>
          <w:lang w:val="bg-BG"/>
        </w:rPr>
        <w:t xml:space="preserve">в текста на програмата </w:t>
      </w:r>
      <w:r w:rsidR="00C612E4" w:rsidRPr="00E6129B">
        <w:rPr>
          <w:rFonts w:ascii="Verdana" w:eastAsiaTheme="minorHAnsi" w:hAnsi="Verdana"/>
          <w:sz w:val="20"/>
          <w:szCs w:val="20"/>
          <w:lang w:val="bg-BG"/>
        </w:rPr>
        <w:t>на разписаните цели в СП по отношение на:</w:t>
      </w:r>
    </w:p>
    <w:p w:rsidR="00C612E4" w:rsidRPr="00B45B4F" w:rsidRDefault="00C612E4" w:rsidP="006861B0">
      <w:pPr>
        <w:pStyle w:val="ListParagraph"/>
        <w:numPr>
          <w:ilvl w:val="1"/>
          <w:numId w:val="36"/>
        </w:numPr>
        <w:autoSpaceDE w:val="0"/>
        <w:autoSpaceDN w:val="0"/>
        <w:adjustRightInd w:val="0"/>
        <w:spacing w:after="120"/>
        <w:jc w:val="both"/>
        <w:rPr>
          <w:rFonts w:ascii="Verdana" w:eastAsiaTheme="minorHAnsi" w:hAnsi="Verdana"/>
          <w:sz w:val="20"/>
          <w:szCs w:val="20"/>
          <w:lang w:val="bg-BG"/>
        </w:rPr>
      </w:pPr>
      <w:r w:rsidRPr="00B45B4F">
        <w:rPr>
          <w:rFonts w:ascii="Verdana" w:eastAsiaTheme="minorHAnsi" w:hAnsi="Verdana"/>
          <w:sz w:val="20"/>
          <w:szCs w:val="20"/>
          <w:lang w:val="bg-BG"/>
        </w:rPr>
        <w:t>Създаване и укрепване на партньорства между висшето образование, предприятията и научните изследвания;</w:t>
      </w:r>
    </w:p>
    <w:p w:rsidR="00C612E4" w:rsidRPr="00B45B4F" w:rsidRDefault="00C612E4" w:rsidP="006861B0">
      <w:pPr>
        <w:pStyle w:val="ListParagraph"/>
        <w:numPr>
          <w:ilvl w:val="1"/>
          <w:numId w:val="36"/>
        </w:numPr>
        <w:autoSpaceDE w:val="0"/>
        <w:autoSpaceDN w:val="0"/>
        <w:adjustRightInd w:val="0"/>
        <w:spacing w:after="120"/>
        <w:jc w:val="both"/>
        <w:rPr>
          <w:rFonts w:ascii="Verdana" w:eastAsiaTheme="minorHAnsi" w:hAnsi="Verdana"/>
          <w:sz w:val="20"/>
          <w:szCs w:val="20"/>
          <w:lang w:val="bg-BG"/>
        </w:rPr>
      </w:pPr>
      <w:r w:rsidRPr="00B45B4F">
        <w:rPr>
          <w:rFonts w:ascii="Verdana" w:eastAsiaTheme="minorHAnsi" w:hAnsi="Verdana"/>
          <w:sz w:val="20"/>
          <w:szCs w:val="20"/>
          <w:lang w:val="bg-BG"/>
        </w:rPr>
        <w:t>Подобряване капацитета за управление на научните институти;</w:t>
      </w:r>
    </w:p>
    <w:p w:rsidR="00C612E4" w:rsidRPr="00B45B4F" w:rsidRDefault="00C612E4" w:rsidP="006861B0">
      <w:pPr>
        <w:pStyle w:val="ListParagraph"/>
        <w:numPr>
          <w:ilvl w:val="1"/>
          <w:numId w:val="36"/>
        </w:numPr>
        <w:autoSpaceDE w:val="0"/>
        <w:autoSpaceDN w:val="0"/>
        <w:adjustRightInd w:val="0"/>
        <w:spacing w:after="120"/>
        <w:jc w:val="both"/>
        <w:rPr>
          <w:rFonts w:ascii="Verdana" w:eastAsiaTheme="minorHAnsi" w:hAnsi="Verdana"/>
          <w:sz w:val="20"/>
          <w:szCs w:val="20"/>
          <w:lang w:val="bg-BG"/>
        </w:rPr>
      </w:pPr>
      <w:r w:rsidRPr="00B45B4F">
        <w:rPr>
          <w:rFonts w:ascii="Verdana" w:eastAsiaTheme="minorHAnsi" w:hAnsi="Verdana"/>
          <w:sz w:val="20"/>
          <w:szCs w:val="20"/>
          <w:lang w:val="bg-BG"/>
        </w:rPr>
        <w:t>Създаване на възможности за стажове на изследователи в предприятия;</w:t>
      </w:r>
    </w:p>
    <w:p w:rsidR="00C612E4" w:rsidRPr="00B45B4F" w:rsidRDefault="00C612E4" w:rsidP="006861B0">
      <w:pPr>
        <w:pStyle w:val="ListParagraph"/>
        <w:numPr>
          <w:ilvl w:val="1"/>
          <w:numId w:val="36"/>
        </w:numPr>
        <w:autoSpaceDE w:val="0"/>
        <w:autoSpaceDN w:val="0"/>
        <w:adjustRightInd w:val="0"/>
        <w:spacing w:after="120"/>
        <w:jc w:val="both"/>
        <w:rPr>
          <w:rFonts w:ascii="Verdana" w:eastAsiaTheme="minorHAnsi" w:hAnsi="Verdana"/>
          <w:sz w:val="20"/>
          <w:szCs w:val="20"/>
          <w:lang w:val="bg-BG"/>
        </w:rPr>
      </w:pPr>
      <w:r w:rsidRPr="00B45B4F">
        <w:rPr>
          <w:rFonts w:ascii="Verdana" w:eastAsiaTheme="minorHAnsi" w:hAnsi="Verdana"/>
          <w:sz w:val="20"/>
          <w:szCs w:val="20"/>
          <w:lang w:val="bg-BG"/>
        </w:rPr>
        <w:t>Стимулиране на образователните институции да предоставят образователни услуги извън рамките на своята инфраструктура на базата на партньорство с работодатели, държавни и общински институции и други заинтересовани страни.</w:t>
      </w:r>
    </w:p>
    <w:p w:rsidR="00C612E4" w:rsidRPr="00C612E4" w:rsidRDefault="00C612E4" w:rsidP="006861B0">
      <w:pPr>
        <w:pStyle w:val="ListParagraph"/>
        <w:numPr>
          <w:ilvl w:val="1"/>
          <w:numId w:val="36"/>
        </w:numPr>
        <w:autoSpaceDE w:val="0"/>
        <w:autoSpaceDN w:val="0"/>
        <w:adjustRightInd w:val="0"/>
        <w:spacing w:after="120"/>
        <w:jc w:val="both"/>
        <w:rPr>
          <w:rFonts w:ascii="Verdana" w:eastAsiaTheme="minorHAnsi" w:hAnsi="Verdana"/>
          <w:sz w:val="20"/>
          <w:szCs w:val="20"/>
          <w:lang w:val="bg-BG"/>
        </w:rPr>
      </w:pPr>
      <w:r w:rsidRPr="00B45B4F">
        <w:rPr>
          <w:rFonts w:ascii="Verdana" w:eastAsiaTheme="minorHAnsi" w:hAnsi="Verdana"/>
          <w:sz w:val="20"/>
          <w:szCs w:val="20"/>
          <w:lang w:val="bg-BG"/>
        </w:rPr>
        <w:t>Развитие на партньорства между бизнеса и научните среди.</w:t>
      </w:r>
    </w:p>
    <w:p w:rsidR="00C612E4" w:rsidRPr="00E6129B" w:rsidRDefault="00C612E4" w:rsidP="006861B0">
      <w:pPr>
        <w:pStyle w:val="ListParagraph"/>
        <w:numPr>
          <w:ilvl w:val="0"/>
          <w:numId w:val="36"/>
        </w:numPr>
        <w:autoSpaceDE w:val="0"/>
        <w:autoSpaceDN w:val="0"/>
        <w:adjustRightInd w:val="0"/>
        <w:spacing w:after="120"/>
        <w:ind w:left="312" w:hanging="284"/>
        <w:jc w:val="both"/>
        <w:rPr>
          <w:rFonts w:ascii="Verdana" w:eastAsiaTheme="minorHAnsi" w:hAnsi="Verdana"/>
          <w:sz w:val="20"/>
          <w:szCs w:val="20"/>
          <w:lang w:val="bg-BG"/>
        </w:rPr>
      </w:pPr>
      <w:r w:rsidRPr="00E6129B">
        <w:rPr>
          <w:rFonts w:ascii="Verdana" w:eastAsiaTheme="minorHAnsi" w:hAnsi="Verdana"/>
          <w:sz w:val="20"/>
          <w:szCs w:val="20"/>
          <w:lang w:val="bg-BG"/>
        </w:rPr>
        <w:t xml:space="preserve">Съществува възможност за подобряване на </w:t>
      </w:r>
      <w:proofErr w:type="spellStart"/>
      <w:r w:rsidRPr="00E6129B">
        <w:rPr>
          <w:rFonts w:ascii="Verdana" w:eastAsiaTheme="minorHAnsi" w:hAnsi="Verdana"/>
          <w:sz w:val="20"/>
          <w:szCs w:val="20"/>
          <w:lang w:val="bg-BG"/>
        </w:rPr>
        <w:t>синегрията</w:t>
      </w:r>
      <w:proofErr w:type="spellEnd"/>
      <w:r w:rsidRPr="00E6129B">
        <w:rPr>
          <w:rFonts w:ascii="Verdana" w:eastAsiaTheme="minorHAnsi" w:hAnsi="Verdana"/>
          <w:sz w:val="20"/>
          <w:szCs w:val="20"/>
          <w:lang w:val="bg-BG"/>
        </w:rPr>
        <w:t xml:space="preserve"> между програмата и приоритетите, декларирани в Комюникето от Букурещ на министрите, отговорни за висшето образование чрез подкрепа по ОПНОИР за разработване на съвместни програми и степени с други университети, както част от мерките за подобряване на качеството и ефикасността на висшето образование.</w:t>
      </w:r>
    </w:p>
    <w:p w:rsidR="00C612E4" w:rsidRDefault="00C612E4" w:rsidP="006861B0">
      <w:pPr>
        <w:pStyle w:val="ListParagraph"/>
        <w:numPr>
          <w:ilvl w:val="0"/>
          <w:numId w:val="36"/>
        </w:numPr>
        <w:autoSpaceDE w:val="0"/>
        <w:autoSpaceDN w:val="0"/>
        <w:adjustRightInd w:val="0"/>
        <w:spacing w:after="120"/>
        <w:ind w:left="312" w:hanging="284"/>
        <w:jc w:val="both"/>
        <w:rPr>
          <w:rFonts w:ascii="Verdana" w:eastAsiaTheme="minorHAnsi" w:hAnsi="Verdana"/>
          <w:sz w:val="20"/>
          <w:szCs w:val="20"/>
          <w:lang w:val="bg-BG"/>
        </w:rPr>
      </w:pPr>
      <w:r w:rsidRPr="00E6129B">
        <w:rPr>
          <w:rFonts w:ascii="Verdana" w:eastAsiaTheme="minorHAnsi" w:hAnsi="Verdana"/>
          <w:sz w:val="20"/>
          <w:szCs w:val="20"/>
          <w:lang w:val="bg-BG"/>
        </w:rPr>
        <w:t>Разграничаването и допълването с някои от останалите оперативни програми също може да бъде подобрено и по-специално с ОПИК.</w:t>
      </w:r>
    </w:p>
    <w:p w:rsidR="00E6129B" w:rsidRPr="00E6129B" w:rsidRDefault="00E6129B" w:rsidP="00E6129B">
      <w:pPr>
        <w:autoSpaceDE w:val="0"/>
        <w:autoSpaceDN w:val="0"/>
        <w:adjustRightInd w:val="0"/>
        <w:spacing w:after="60" w:line="240" w:lineRule="auto"/>
        <w:jc w:val="both"/>
        <w:rPr>
          <w:rFonts w:ascii="Verdana" w:eastAsiaTheme="minorHAnsi" w:hAnsi="Verdana"/>
          <w:sz w:val="20"/>
          <w:szCs w:val="20"/>
          <w:lang w:val="bg-BG"/>
        </w:rPr>
      </w:pPr>
    </w:p>
    <w:p w:rsidR="00A62214" w:rsidRPr="00A62214" w:rsidRDefault="00A62214" w:rsidP="00A62214">
      <w:pPr>
        <w:pStyle w:val="Heading2"/>
        <w:shd w:val="clear" w:color="auto" w:fill="FFCC99"/>
        <w:spacing w:line="276" w:lineRule="auto"/>
        <w:rPr>
          <w:rFonts w:ascii="Verdana" w:hAnsi="Verdana"/>
          <w:i w:val="0"/>
          <w:iCs/>
          <w:color w:val="0063B8"/>
          <w:sz w:val="26"/>
          <w:szCs w:val="26"/>
          <w:lang w:val="bg-BG"/>
        </w:rPr>
      </w:pPr>
      <w:bookmarkStart w:id="76" w:name="_Toc395612516"/>
      <w:r>
        <w:rPr>
          <w:rFonts w:ascii="Verdana" w:hAnsi="Verdana"/>
          <w:i w:val="0"/>
          <w:iCs/>
          <w:color w:val="0063B8"/>
          <w:sz w:val="26"/>
          <w:szCs w:val="26"/>
          <w:lang w:val="bg-BG"/>
        </w:rPr>
        <w:t>Оценка на вътрешната съгласуваност</w:t>
      </w:r>
      <w:bookmarkEnd w:id="76"/>
    </w:p>
    <w:p w:rsidR="00416243" w:rsidRPr="00B45B4F" w:rsidRDefault="00032004" w:rsidP="00032004">
      <w:pPr>
        <w:pStyle w:val="Heading3"/>
        <w:numPr>
          <w:ilvl w:val="0"/>
          <w:numId w:val="0"/>
        </w:numPr>
        <w:spacing w:before="360"/>
        <w:ind w:left="720" w:hanging="720"/>
      </w:pPr>
      <w:bookmarkStart w:id="77" w:name="_Toc395612517"/>
      <w:bookmarkEnd w:id="75"/>
      <w:r>
        <w:t>Анализ</w:t>
      </w:r>
      <w:bookmarkEnd w:id="77"/>
    </w:p>
    <w:tbl>
      <w:tblPr>
        <w:tblW w:w="0" w:type="auto"/>
        <w:tblInd w:w="108" w:type="dxa"/>
        <w:tblLook w:val="04A0" w:firstRow="1" w:lastRow="0" w:firstColumn="1" w:lastColumn="0" w:noHBand="0" w:noVBand="1"/>
      </w:tblPr>
      <w:tblGrid>
        <w:gridCol w:w="538"/>
        <w:gridCol w:w="8444"/>
      </w:tblGrid>
      <w:tr w:rsidR="00CD182B" w:rsidRPr="00273D43" w:rsidTr="00273D43">
        <w:tc>
          <w:tcPr>
            <w:tcW w:w="538" w:type="dxa"/>
            <w:tcBorders>
              <w:top w:val="single" w:sz="4" w:space="0" w:color="auto"/>
              <w:bottom w:val="single" w:sz="4" w:space="0" w:color="auto"/>
            </w:tcBorders>
            <w:vAlign w:val="center"/>
          </w:tcPr>
          <w:p w:rsidR="00CD182B" w:rsidRPr="00273D43" w:rsidRDefault="00723E65" w:rsidP="00CD182B">
            <w:pPr>
              <w:pStyle w:val="BodyText"/>
              <w:spacing w:after="0" w:line="276" w:lineRule="auto"/>
              <w:jc w:val="center"/>
              <w:rPr>
                <w:rFonts w:ascii="Verdana" w:hAnsi="Verdana"/>
                <w:color w:val="548DD4"/>
                <w:sz w:val="20"/>
                <w:szCs w:val="20"/>
              </w:rPr>
            </w:pPr>
            <w:r w:rsidRPr="00273D43">
              <w:rPr>
                <w:rFonts w:ascii="Verdana" w:hAnsi="Verdana"/>
                <w:color w:val="548DD4"/>
                <w:sz w:val="36"/>
                <w:szCs w:val="36"/>
              </w:rPr>
              <w:t>?</w:t>
            </w:r>
          </w:p>
        </w:tc>
        <w:tc>
          <w:tcPr>
            <w:tcW w:w="8444" w:type="dxa"/>
            <w:tcBorders>
              <w:top w:val="single" w:sz="4" w:space="0" w:color="auto"/>
              <w:bottom w:val="single" w:sz="4" w:space="0" w:color="auto"/>
            </w:tcBorders>
            <w:shd w:val="clear" w:color="auto" w:fill="B8CCE4"/>
          </w:tcPr>
          <w:p w:rsidR="00CD182B" w:rsidRPr="00273D43" w:rsidRDefault="00DE4852" w:rsidP="00715D70">
            <w:pPr>
              <w:autoSpaceDE w:val="0"/>
              <w:autoSpaceDN w:val="0"/>
              <w:adjustRightInd w:val="0"/>
              <w:spacing w:before="120" w:after="120" w:line="240" w:lineRule="auto"/>
              <w:ind w:left="115"/>
              <w:rPr>
                <w:rFonts w:ascii="Verdana" w:hAnsi="Verdana"/>
                <w:sz w:val="20"/>
                <w:szCs w:val="20"/>
                <w:lang w:val="bg-BG"/>
              </w:rPr>
            </w:pPr>
            <w:r w:rsidRPr="00273D43">
              <w:rPr>
                <w:rFonts w:ascii="Verdana" w:hAnsi="Verdana"/>
                <w:sz w:val="20"/>
                <w:szCs w:val="20"/>
                <w:lang w:val="bg-BG"/>
              </w:rPr>
              <w:t>Уместност на стратегията на ОПНОИР</w:t>
            </w:r>
          </w:p>
        </w:tc>
      </w:tr>
    </w:tbl>
    <w:p w:rsidR="00EA126D" w:rsidRPr="00B45B4F" w:rsidRDefault="00EA126D" w:rsidP="00FA776A">
      <w:pPr>
        <w:keepNext/>
        <w:pBdr>
          <w:bottom w:val="single" w:sz="4" w:space="1" w:color="0070C0"/>
        </w:pBdr>
        <w:spacing w:before="360" w:after="120"/>
        <w:jc w:val="both"/>
        <w:rPr>
          <w:rFonts w:ascii="Verdana" w:hAnsi="Verdana"/>
          <w:color w:val="0070C0"/>
          <w:sz w:val="20"/>
          <w:szCs w:val="20"/>
          <w:lang w:val="bg-BG" w:eastAsia="cs-CZ"/>
        </w:rPr>
      </w:pPr>
      <w:r w:rsidRPr="00B45B4F">
        <w:rPr>
          <w:rFonts w:ascii="Verdana" w:hAnsi="Verdana"/>
          <w:color w:val="0070C0"/>
          <w:sz w:val="20"/>
          <w:szCs w:val="20"/>
          <w:lang w:val="bg-BG" w:eastAsia="cs-CZ"/>
        </w:rPr>
        <w:t xml:space="preserve">Уместност на стратегическия подход на програмата, изложен в </w:t>
      </w:r>
      <w:r w:rsidR="00D7684F" w:rsidRPr="00B45B4F">
        <w:rPr>
          <w:rFonts w:ascii="Verdana" w:hAnsi="Verdana"/>
          <w:color w:val="0070C0"/>
          <w:sz w:val="20"/>
          <w:szCs w:val="20"/>
          <w:lang w:val="bg-BG" w:eastAsia="cs-CZ"/>
        </w:rPr>
        <w:t>Р</w:t>
      </w:r>
      <w:r w:rsidRPr="00B45B4F">
        <w:rPr>
          <w:rFonts w:ascii="Verdana" w:hAnsi="Verdana"/>
          <w:color w:val="0070C0"/>
          <w:sz w:val="20"/>
          <w:szCs w:val="20"/>
          <w:lang w:val="bg-BG" w:eastAsia="cs-CZ"/>
        </w:rPr>
        <w:t>аздел 1.</w:t>
      </w:r>
    </w:p>
    <w:p w:rsidR="00EA126D" w:rsidRPr="00B45B4F" w:rsidRDefault="009B3C2F" w:rsidP="00890623">
      <w:pPr>
        <w:pStyle w:val="BodyText"/>
        <w:tabs>
          <w:tab w:val="left" w:pos="0"/>
          <w:tab w:val="right" w:pos="9214"/>
        </w:tabs>
        <w:spacing w:line="276" w:lineRule="auto"/>
        <w:jc w:val="both"/>
        <w:rPr>
          <w:rFonts w:ascii="Verdana" w:hAnsi="Verdana"/>
          <w:sz w:val="20"/>
          <w:szCs w:val="20"/>
        </w:rPr>
      </w:pPr>
      <w:r w:rsidRPr="00B45B4F">
        <w:rPr>
          <w:rFonts w:ascii="Verdana" w:hAnsi="Verdana"/>
          <w:sz w:val="20"/>
          <w:szCs w:val="20"/>
        </w:rPr>
        <w:t xml:space="preserve">В </w:t>
      </w:r>
      <w:r w:rsidR="00273D43">
        <w:rPr>
          <w:rFonts w:ascii="Verdana" w:hAnsi="Verdana"/>
          <w:sz w:val="20"/>
          <w:szCs w:val="20"/>
        </w:rPr>
        <w:t>Р</w:t>
      </w:r>
      <w:r w:rsidRPr="00B45B4F">
        <w:rPr>
          <w:rFonts w:ascii="Verdana" w:hAnsi="Verdana"/>
          <w:sz w:val="20"/>
          <w:szCs w:val="20"/>
        </w:rPr>
        <w:t>аздел 1 на</w:t>
      </w:r>
      <w:r w:rsidR="002D4C3A">
        <w:rPr>
          <w:rFonts w:ascii="Verdana" w:hAnsi="Verdana"/>
          <w:sz w:val="20"/>
          <w:szCs w:val="20"/>
        </w:rPr>
        <w:t xml:space="preserve"> </w:t>
      </w:r>
      <w:r w:rsidR="00E36F9B" w:rsidRPr="00B45B4F">
        <w:rPr>
          <w:rFonts w:ascii="Verdana" w:hAnsi="Verdana"/>
          <w:sz w:val="20"/>
          <w:szCs w:val="20"/>
        </w:rPr>
        <w:t xml:space="preserve">ОПНОИР </w:t>
      </w:r>
      <w:r w:rsidR="005106CE" w:rsidRPr="00B45B4F">
        <w:rPr>
          <w:rFonts w:ascii="Verdana" w:hAnsi="Verdana"/>
          <w:sz w:val="20"/>
          <w:szCs w:val="20"/>
        </w:rPr>
        <w:t>2014–2020</w:t>
      </w:r>
      <w:r w:rsidR="002D4C3A">
        <w:rPr>
          <w:rFonts w:ascii="Verdana" w:hAnsi="Verdana"/>
          <w:sz w:val="20"/>
          <w:szCs w:val="20"/>
        </w:rPr>
        <w:t xml:space="preserve"> </w:t>
      </w:r>
      <w:r w:rsidRPr="00B45B4F">
        <w:rPr>
          <w:rFonts w:ascii="Verdana" w:hAnsi="Verdana"/>
          <w:sz w:val="20"/>
          <w:szCs w:val="20"/>
        </w:rPr>
        <w:t xml:space="preserve">е посочено, че програмата </w:t>
      </w:r>
      <w:r w:rsidR="00C10B52" w:rsidRPr="00B45B4F">
        <w:rPr>
          <w:rFonts w:ascii="Verdana" w:hAnsi="Verdana"/>
          <w:sz w:val="20"/>
          <w:szCs w:val="20"/>
        </w:rPr>
        <w:t>е насочена към изпълнението на</w:t>
      </w:r>
      <w:r w:rsidR="00E36F9B" w:rsidRPr="00B45B4F">
        <w:rPr>
          <w:rFonts w:ascii="Verdana" w:hAnsi="Verdana"/>
          <w:sz w:val="20"/>
          <w:szCs w:val="20"/>
        </w:rPr>
        <w:t xml:space="preserve"> две основни задачи:</w:t>
      </w:r>
    </w:p>
    <w:p w:rsidR="00EA126D" w:rsidRPr="00B45B4F" w:rsidRDefault="00EA126D" w:rsidP="006861B0">
      <w:pPr>
        <w:numPr>
          <w:ilvl w:val="0"/>
          <w:numId w:val="27"/>
        </w:numPr>
        <w:spacing w:after="120"/>
        <w:ind w:left="714" w:hanging="357"/>
        <w:jc w:val="both"/>
        <w:rPr>
          <w:rFonts w:ascii="Verdana" w:hAnsi="Verdana"/>
          <w:i/>
          <w:sz w:val="20"/>
          <w:szCs w:val="20"/>
          <w:lang w:val="bg-BG" w:eastAsia="bg-BG"/>
        </w:rPr>
      </w:pPr>
      <w:r w:rsidRPr="00B45B4F">
        <w:rPr>
          <w:rFonts w:ascii="Verdana" w:hAnsi="Verdana"/>
          <w:i/>
          <w:sz w:val="20"/>
          <w:szCs w:val="20"/>
          <w:lang w:val="bg-BG" w:eastAsia="bg-BG"/>
        </w:rPr>
        <w:t xml:space="preserve">Да бъде сред ключовите инструменти за постигане на целите, приети от България в границите на Стратегията </w:t>
      </w:r>
      <w:r w:rsidR="00DF6DF9" w:rsidRPr="00B45B4F">
        <w:rPr>
          <w:rFonts w:ascii="Verdana" w:hAnsi="Verdana"/>
          <w:i/>
          <w:sz w:val="20"/>
          <w:szCs w:val="20"/>
          <w:lang w:val="bg-BG" w:eastAsia="bg-BG"/>
        </w:rPr>
        <w:t>„</w:t>
      </w:r>
      <w:r w:rsidRPr="00B45B4F">
        <w:rPr>
          <w:rFonts w:ascii="Verdana" w:hAnsi="Verdana"/>
          <w:i/>
          <w:sz w:val="20"/>
          <w:szCs w:val="20"/>
          <w:lang w:val="bg-BG" w:eastAsia="bg-BG"/>
        </w:rPr>
        <w:t xml:space="preserve">Европа 2020”. </w:t>
      </w:r>
    </w:p>
    <w:p w:rsidR="00EA126D" w:rsidRPr="00B45B4F" w:rsidRDefault="00EA126D" w:rsidP="006861B0">
      <w:pPr>
        <w:numPr>
          <w:ilvl w:val="0"/>
          <w:numId w:val="27"/>
        </w:numPr>
        <w:spacing w:after="120"/>
        <w:ind w:left="714" w:hanging="357"/>
        <w:jc w:val="both"/>
        <w:rPr>
          <w:rFonts w:ascii="Verdana" w:hAnsi="Verdana"/>
          <w:i/>
          <w:sz w:val="20"/>
          <w:szCs w:val="20"/>
          <w:lang w:val="bg-BG" w:eastAsia="bg-BG"/>
        </w:rPr>
      </w:pPr>
      <w:r w:rsidRPr="00B45B4F">
        <w:rPr>
          <w:rFonts w:ascii="Verdana" w:hAnsi="Verdana"/>
          <w:i/>
          <w:sz w:val="20"/>
          <w:szCs w:val="20"/>
          <w:lang w:val="bg-BG" w:eastAsia="bg-BG"/>
        </w:rPr>
        <w:t>Да служи като ефикасно средство за прилагане на политики по сближаване, съгласно дневния ред на национално и общностно равнище.</w:t>
      </w:r>
    </w:p>
    <w:p w:rsidR="00EA126D" w:rsidRPr="00B45B4F" w:rsidRDefault="00E36F9B" w:rsidP="00890623">
      <w:pPr>
        <w:pStyle w:val="BodyText"/>
        <w:tabs>
          <w:tab w:val="left" w:pos="0"/>
          <w:tab w:val="right" w:pos="9214"/>
        </w:tabs>
        <w:spacing w:line="276" w:lineRule="auto"/>
        <w:jc w:val="both"/>
        <w:rPr>
          <w:rFonts w:ascii="Verdana" w:hAnsi="Verdana"/>
          <w:sz w:val="20"/>
          <w:szCs w:val="20"/>
        </w:rPr>
      </w:pPr>
      <w:r w:rsidRPr="00B45B4F">
        <w:rPr>
          <w:rFonts w:ascii="Verdana" w:hAnsi="Verdana"/>
          <w:sz w:val="20"/>
          <w:szCs w:val="20"/>
        </w:rPr>
        <w:lastRenderedPageBreak/>
        <w:t>Обосновката на стратегията е изградена върху следните три основни теми:</w:t>
      </w:r>
    </w:p>
    <w:p w:rsidR="00A4006E" w:rsidRPr="00B45B4F" w:rsidRDefault="004F319B" w:rsidP="00890623">
      <w:pPr>
        <w:pStyle w:val="BodyText"/>
        <w:tabs>
          <w:tab w:val="left" w:pos="0"/>
          <w:tab w:val="right" w:pos="9214"/>
        </w:tabs>
        <w:spacing w:line="276" w:lineRule="auto"/>
        <w:jc w:val="both"/>
        <w:rPr>
          <w:rFonts w:ascii="Verdana" w:hAnsi="Verdana"/>
          <w:sz w:val="20"/>
          <w:szCs w:val="20"/>
        </w:rPr>
      </w:pPr>
      <w:r w:rsidRPr="00B45B4F">
        <w:rPr>
          <w:rFonts w:ascii="Verdana" w:hAnsi="Verdana"/>
          <w:sz w:val="20"/>
          <w:szCs w:val="20"/>
        </w:rPr>
        <w:t>Основните н</w:t>
      </w:r>
      <w:r w:rsidR="009B3C2F" w:rsidRPr="00B45B4F">
        <w:rPr>
          <w:rFonts w:ascii="Verdana" w:hAnsi="Verdana"/>
          <w:sz w:val="20"/>
          <w:szCs w:val="20"/>
        </w:rPr>
        <w:t xml:space="preserve">ужди в областта на </w:t>
      </w:r>
      <w:r w:rsidR="009B3C2F" w:rsidRPr="00B45B4F">
        <w:rPr>
          <w:rFonts w:ascii="Verdana" w:hAnsi="Verdana"/>
          <w:color w:val="548DD4" w:themeColor="text2" w:themeTint="99"/>
          <w:sz w:val="20"/>
          <w:szCs w:val="20"/>
        </w:rPr>
        <w:t xml:space="preserve">научно-изследователската дейност </w:t>
      </w:r>
      <w:r w:rsidR="00474153">
        <w:rPr>
          <w:rFonts w:ascii="Verdana" w:hAnsi="Verdana"/>
          <w:sz w:val="20"/>
          <w:szCs w:val="20"/>
        </w:rPr>
        <w:t>включват</w:t>
      </w:r>
      <w:r w:rsidR="00E36F9B" w:rsidRPr="00B45B4F">
        <w:rPr>
          <w:rFonts w:ascii="Verdana" w:hAnsi="Verdana"/>
          <w:sz w:val="20"/>
          <w:szCs w:val="20"/>
        </w:rPr>
        <w:t>: увеличаване на инвестициите в НИРД</w:t>
      </w:r>
      <w:r w:rsidR="00126E49" w:rsidRPr="00B45B4F">
        <w:rPr>
          <w:rFonts w:ascii="Verdana" w:hAnsi="Verdana"/>
          <w:sz w:val="20"/>
          <w:szCs w:val="20"/>
        </w:rPr>
        <w:t>;</w:t>
      </w:r>
      <w:r w:rsidR="00E36F9B" w:rsidRPr="00B45B4F">
        <w:rPr>
          <w:rFonts w:ascii="Verdana" w:hAnsi="Verdana"/>
          <w:sz w:val="20"/>
          <w:szCs w:val="20"/>
        </w:rPr>
        <w:t xml:space="preserve"> развитие на научната инфраструктура; подобряване стимулите, условията и възможностите за работещите в сферата</w:t>
      </w:r>
      <w:r w:rsidR="00126E49" w:rsidRPr="00B45B4F">
        <w:rPr>
          <w:rFonts w:ascii="Verdana" w:hAnsi="Verdana"/>
          <w:sz w:val="20"/>
          <w:szCs w:val="20"/>
        </w:rPr>
        <w:t xml:space="preserve"> на НИРД</w:t>
      </w:r>
      <w:r w:rsidR="00E36F9B" w:rsidRPr="00B45B4F">
        <w:rPr>
          <w:rFonts w:ascii="Verdana" w:hAnsi="Verdana"/>
          <w:sz w:val="20"/>
          <w:szCs w:val="20"/>
        </w:rPr>
        <w:t xml:space="preserve">; </w:t>
      </w:r>
      <w:r w:rsidR="009B3C2F" w:rsidRPr="002423AD">
        <w:rPr>
          <w:rFonts w:ascii="Verdana" w:hAnsi="Verdana"/>
          <w:sz w:val="20"/>
          <w:szCs w:val="20"/>
        </w:rPr>
        <w:t>подобряване на</w:t>
      </w:r>
      <w:r w:rsidR="00E36F9B" w:rsidRPr="002423AD">
        <w:rPr>
          <w:rFonts w:ascii="Verdana" w:hAnsi="Verdana"/>
          <w:sz w:val="20"/>
          <w:szCs w:val="20"/>
        </w:rPr>
        <w:t xml:space="preserve"> връзка „наука-бизнес“ и </w:t>
      </w:r>
      <w:r w:rsidR="009B3C2F" w:rsidRPr="002423AD">
        <w:rPr>
          <w:rFonts w:ascii="Verdana" w:hAnsi="Verdana"/>
          <w:sz w:val="20"/>
          <w:szCs w:val="20"/>
        </w:rPr>
        <w:t>повишаване на иновацион</w:t>
      </w:r>
      <w:r w:rsidR="00E36F9B" w:rsidRPr="002423AD">
        <w:rPr>
          <w:rFonts w:ascii="Verdana" w:hAnsi="Verdana"/>
          <w:sz w:val="20"/>
          <w:szCs w:val="20"/>
        </w:rPr>
        <w:t>н</w:t>
      </w:r>
      <w:r w:rsidR="009B3C2F" w:rsidRPr="002423AD">
        <w:rPr>
          <w:rFonts w:ascii="Verdana" w:hAnsi="Verdana"/>
          <w:sz w:val="20"/>
          <w:szCs w:val="20"/>
        </w:rPr>
        <w:t>ия</w:t>
      </w:r>
      <w:r w:rsidR="00E36F9B" w:rsidRPr="002423AD">
        <w:rPr>
          <w:rFonts w:ascii="Verdana" w:hAnsi="Verdana"/>
          <w:sz w:val="20"/>
          <w:szCs w:val="20"/>
        </w:rPr>
        <w:t xml:space="preserve"> потенциал.</w:t>
      </w:r>
      <w:r w:rsidR="002D4C3A">
        <w:rPr>
          <w:rFonts w:ascii="Verdana" w:hAnsi="Verdana"/>
          <w:sz w:val="20"/>
          <w:szCs w:val="20"/>
        </w:rPr>
        <w:t xml:space="preserve"> </w:t>
      </w:r>
      <w:r w:rsidR="007A42E1" w:rsidRPr="002423AD">
        <w:rPr>
          <w:rFonts w:ascii="Verdana" w:hAnsi="Verdana"/>
          <w:sz w:val="20"/>
          <w:szCs w:val="20"/>
        </w:rPr>
        <w:t xml:space="preserve">Информация по отношение на сегашното състояние </w:t>
      </w:r>
      <w:r w:rsidR="00474153" w:rsidRPr="002423AD">
        <w:rPr>
          <w:rFonts w:ascii="Verdana" w:hAnsi="Verdana"/>
          <w:sz w:val="20"/>
          <w:szCs w:val="20"/>
        </w:rPr>
        <w:t>е илюстрирана с данни като са посочени</w:t>
      </w:r>
      <w:r w:rsidR="007A42E1" w:rsidRPr="002423AD">
        <w:rPr>
          <w:rFonts w:ascii="Verdana" w:hAnsi="Verdana"/>
          <w:sz w:val="20"/>
          <w:szCs w:val="20"/>
        </w:rPr>
        <w:t xml:space="preserve"> източниците на финансиране (държавно, от бизнеса, ЕС)</w:t>
      </w:r>
      <w:r w:rsidR="00474153" w:rsidRPr="002423AD">
        <w:rPr>
          <w:rFonts w:ascii="Verdana" w:hAnsi="Verdana"/>
          <w:sz w:val="20"/>
          <w:szCs w:val="20"/>
        </w:rPr>
        <w:t xml:space="preserve">. </w:t>
      </w:r>
      <w:r w:rsidR="007B1F69" w:rsidRPr="006E379A">
        <w:rPr>
          <w:rFonts w:ascii="Verdana" w:hAnsi="Verdana"/>
          <w:sz w:val="20"/>
          <w:szCs w:val="20"/>
        </w:rPr>
        <w:t>По отношение на създаването и задържането на специалисти л</w:t>
      </w:r>
      <w:r w:rsidR="005E72B5" w:rsidRPr="006E379A">
        <w:rPr>
          <w:rFonts w:ascii="Verdana" w:hAnsi="Verdana"/>
          <w:sz w:val="20"/>
          <w:szCs w:val="20"/>
        </w:rPr>
        <w:t>исват данни за заетите с сферата на научните изследвания както по възраст, така и по сектори</w:t>
      </w:r>
      <w:r w:rsidR="004D1D35" w:rsidRPr="006E379A">
        <w:rPr>
          <w:rFonts w:ascii="Verdana" w:hAnsi="Verdana"/>
          <w:sz w:val="20"/>
          <w:szCs w:val="20"/>
        </w:rPr>
        <w:t>, както и анализ на тяхната предприемчивост и възможности за мобилност</w:t>
      </w:r>
      <w:r w:rsidR="001301FF" w:rsidRPr="006E379A">
        <w:rPr>
          <w:rFonts w:ascii="Verdana" w:hAnsi="Verdana"/>
          <w:sz w:val="20"/>
          <w:szCs w:val="20"/>
        </w:rPr>
        <w:t>, като и възможности за привличане на ч</w:t>
      </w:r>
      <w:r w:rsidR="007B1F69" w:rsidRPr="006E379A">
        <w:rPr>
          <w:rFonts w:ascii="Verdana" w:hAnsi="Verdana"/>
          <w:sz w:val="20"/>
          <w:szCs w:val="20"/>
        </w:rPr>
        <w:t>уждестранни изследователи в български научни институции.</w:t>
      </w:r>
      <w:r w:rsidR="007B1F69" w:rsidRPr="002423AD">
        <w:rPr>
          <w:rFonts w:ascii="Verdana" w:hAnsi="Verdana"/>
          <w:sz w:val="20"/>
          <w:szCs w:val="20"/>
        </w:rPr>
        <w:t xml:space="preserve"> </w:t>
      </w:r>
      <w:r w:rsidR="00F15CA1">
        <w:rPr>
          <w:rFonts w:ascii="Verdana" w:hAnsi="Verdana"/>
          <w:sz w:val="20"/>
          <w:szCs w:val="20"/>
        </w:rPr>
        <w:t>Като едни</w:t>
      </w:r>
      <w:r w:rsidR="005E2618" w:rsidRPr="002423AD">
        <w:rPr>
          <w:rFonts w:ascii="Verdana" w:hAnsi="Verdana"/>
          <w:sz w:val="20"/>
          <w:szCs w:val="20"/>
        </w:rPr>
        <w:t xml:space="preserve"> от основните проблеми по отношение на връзката наука-бизнес са посочени слабата търговска реализация на научните резултати и липсата на подкрепящи публични политики. Направен е анализ на областите, където има потенциал за въвеждане на научни разработки в бизнес продукти. </w:t>
      </w:r>
      <w:r w:rsidR="00A4006E" w:rsidRPr="002423AD">
        <w:rPr>
          <w:rFonts w:ascii="Verdana" w:hAnsi="Verdana"/>
          <w:sz w:val="20"/>
          <w:szCs w:val="20"/>
        </w:rPr>
        <w:t xml:space="preserve">По отношение на стратегическите подходи за </w:t>
      </w:r>
      <w:r w:rsidR="009B3C2F" w:rsidRPr="002423AD">
        <w:rPr>
          <w:rFonts w:ascii="Verdana" w:hAnsi="Verdana"/>
          <w:sz w:val="20"/>
          <w:szCs w:val="20"/>
        </w:rPr>
        <w:t>адресиране на нуждите е посочено</w:t>
      </w:r>
      <w:r w:rsidR="00A4006E" w:rsidRPr="002423AD">
        <w:rPr>
          <w:rFonts w:ascii="Verdana" w:hAnsi="Verdana"/>
          <w:sz w:val="20"/>
          <w:szCs w:val="20"/>
        </w:rPr>
        <w:t>, че чрез финансирането по ОПНОИР ще се търси допълващ ефект на инвестициите в НИРД.</w:t>
      </w:r>
      <w:r w:rsidR="005E2618" w:rsidRPr="002423AD">
        <w:rPr>
          <w:rFonts w:ascii="Verdana" w:hAnsi="Verdana"/>
          <w:sz w:val="20"/>
          <w:szCs w:val="20"/>
        </w:rPr>
        <w:t xml:space="preserve"> Програмата се очаква да има и допълващ ефект по отношение на финансирането по Хоризонт 2020. Инвестициите в инфраструктура </w:t>
      </w:r>
      <w:r w:rsidR="004D1D35" w:rsidRPr="002423AD">
        <w:rPr>
          <w:rFonts w:ascii="Verdana" w:hAnsi="Verdana"/>
          <w:sz w:val="20"/>
          <w:szCs w:val="20"/>
        </w:rPr>
        <w:t>предвижда</w:t>
      </w:r>
      <w:r w:rsidR="001301FF">
        <w:rPr>
          <w:rFonts w:ascii="Verdana" w:hAnsi="Verdana"/>
          <w:sz w:val="20"/>
          <w:szCs w:val="20"/>
        </w:rPr>
        <w:t>т</w:t>
      </w:r>
      <w:r w:rsidR="004D1D35" w:rsidRPr="002423AD">
        <w:rPr>
          <w:rFonts w:ascii="Verdana" w:hAnsi="Verdana"/>
          <w:sz w:val="20"/>
          <w:szCs w:val="20"/>
        </w:rPr>
        <w:t xml:space="preserve"> подкрепа за (1) центрове за върхови постижения и компетентност; (2) подкрепа за инфраструктури, които играят важна роля в европейската пътна карта и (3) инвестиции в модернизиране на научни институти и висши училища засилване на регионалния икономически растеж и производителност. Мерките по отношение на развитие и задържане на специалистите в сферата на науката и образованието предвиждат повишаване на квалификацията на преподаватели, възможност за обмен на опит и мобилност; достъп до международни научно-изследователски съоръжения и финансиране на публикации. Сред мерките не са анализирани възможности за подобряване на възнаграждението и кариерно и научн</w:t>
      </w:r>
      <w:r w:rsidR="007B1F69" w:rsidRPr="00FE5A49">
        <w:rPr>
          <w:rFonts w:ascii="Verdana" w:hAnsi="Verdana"/>
          <w:sz w:val="20"/>
          <w:szCs w:val="20"/>
        </w:rPr>
        <w:t>о</w:t>
      </w:r>
      <w:r w:rsidR="004D1D35" w:rsidRPr="002423AD">
        <w:rPr>
          <w:rFonts w:ascii="Verdana" w:hAnsi="Verdana"/>
          <w:sz w:val="20"/>
          <w:szCs w:val="20"/>
        </w:rPr>
        <w:t xml:space="preserve"> развитие.</w:t>
      </w:r>
      <w:r w:rsidR="007B1F69" w:rsidRPr="00FE5A49">
        <w:rPr>
          <w:rFonts w:ascii="Verdana" w:hAnsi="Verdana"/>
          <w:sz w:val="20"/>
          <w:szCs w:val="20"/>
        </w:rPr>
        <w:t xml:space="preserve"> Мерките за подобряване на връзката наука-бизнес предвиждат  </w:t>
      </w:r>
      <w:r w:rsidR="007B1F69" w:rsidRPr="002423AD">
        <w:rPr>
          <w:rFonts w:ascii="Verdana" w:hAnsi="Verdana"/>
          <w:sz w:val="20"/>
          <w:szCs w:val="20"/>
        </w:rPr>
        <w:t>насърчаване на приложните изследвания и по-добра съгласуваност между научно-изследователските приоритети и доказаните научни предимства. Мерките не адресират идентифицираните слабости – липсата на търговка реализация на научните разработки и липсата на подкрепящи публични политики.</w:t>
      </w:r>
    </w:p>
    <w:p w:rsidR="00B128AC" w:rsidRPr="00B45B4F" w:rsidRDefault="00707295" w:rsidP="00EA126D">
      <w:pPr>
        <w:pStyle w:val="BodyText"/>
        <w:tabs>
          <w:tab w:val="left" w:pos="0"/>
          <w:tab w:val="right" w:pos="9214"/>
        </w:tabs>
        <w:spacing w:line="276" w:lineRule="auto"/>
        <w:jc w:val="both"/>
        <w:rPr>
          <w:rFonts w:ascii="Verdana" w:hAnsi="Verdana"/>
          <w:sz w:val="20"/>
          <w:szCs w:val="20"/>
        </w:rPr>
      </w:pPr>
      <w:r w:rsidRPr="00B45B4F">
        <w:rPr>
          <w:rFonts w:ascii="Verdana" w:hAnsi="Verdana"/>
          <w:sz w:val="20"/>
          <w:szCs w:val="20"/>
        </w:rPr>
        <w:t>Анализите относно</w:t>
      </w:r>
      <w:r w:rsidRPr="00B45B4F">
        <w:rPr>
          <w:rFonts w:ascii="Verdana" w:hAnsi="Verdana"/>
          <w:color w:val="548DD4" w:themeColor="text2" w:themeTint="99"/>
          <w:sz w:val="20"/>
          <w:szCs w:val="20"/>
        </w:rPr>
        <w:t xml:space="preserve"> с</w:t>
      </w:r>
      <w:r w:rsidR="00E36F9B" w:rsidRPr="00B45B4F">
        <w:rPr>
          <w:rFonts w:ascii="Verdana" w:hAnsi="Verdana"/>
          <w:color w:val="548DD4" w:themeColor="text2" w:themeTint="99"/>
          <w:sz w:val="20"/>
          <w:szCs w:val="20"/>
        </w:rPr>
        <w:t>истема</w:t>
      </w:r>
      <w:r w:rsidRPr="00B45B4F">
        <w:rPr>
          <w:rFonts w:ascii="Verdana" w:hAnsi="Verdana"/>
          <w:color w:val="548DD4" w:themeColor="text2" w:themeTint="99"/>
          <w:sz w:val="20"/>
          <w:szCs w:val="20"/>
        </w:rPr>
        <w:t>та</w:t>
      </w:r>
      <w:r w:rsidR="00E36F9B" w:rsidRPr="00B45B4F">
        <w:rPr>
          <w:rFonts w:ascii="Verdana" w:hAnsi="Verdana"/>
          <w:color w:val="548DD4" w:themeColor="text2" w:themeTint="99"/>
          <w:sz w:val="20"/>
          <w:szCs w:val="20"/>
        </w:rPr>
        <w:t xml:space="preserve"> на висшето образование</w:t>
      </w:r>
      <w:r w:rsidR="002D4C3A">
        <w:rPr>
          <w:rFonts w:ascii="Verdana" w:hAnsi="Verdana"/>
          <w:color w:val="548DD4" w:themeColor="text2" w:themeTint="99"/>
          <w:sz w:val="20"/>
          <w:szCs w:val="20"/>
        </w:rPr>
        <w:t xml:space="preserve"> </w:t>
      </w:r>
      <w:r w:rsidRPr="00B45B4F">
        <w:rPr>
          <w:rFonts w:ascii="Verdana" w:hAnsi="Verdana"/>
          <w:sz w:val="20"/>
          <w:szCs w:val="20"/>
        </w:rPr>
        <w:t xml:space="preserve">посочват </w:t>
      </w:r>
      <w:r w:rsidR="00615ED4" w:rsidRPr="00B45B4F">
        <w:rPr>
          <w:rFonts w:ascii="Verdana" w:hAnsi="Verdana"/>
          <w:sz w:val="20"/>
          <w:szCs w:val="20"/>
        </w:rPr>
        <w:t xml:space="preserve">следните </w:t>
      </w:r>
      <w:r w:rsidR="00126E49" w:rsidRPr="00B45B4F">
        <w:rPr>
          <w:rFonts w:ascii="Verdana" w:hAnsi="Verdana"/>
          <w:sz w:val="20"/>
          <w:szCs w:val="20"/>
        </w:rPr>
        <w:t xml:space="preserve">нужди: недобро структуриране с множество университети, слаба ефективност на бюджетното финансиране за сектора, влошеното качество на обучение и слабата реализация на завършилите на трудовия пазар; разглеждане на университетите </w:t>
      </w:r>
      <w:r w:rsidR="001C6159" w:rsidRPr="00B45B4F">
        <w:rPr>
          <w:rFonts w:ascii="Verdana" w:hAnsi="Verdana"/>
          <w:sz w:val="20"/>
          <w:szCs w:val="20"/>
        </w:rPr>
        <w:t xml:space="preserve">предимно </w:t>
      </w:r>
      <w:r w:rsidR="00126E49" w:rsidRPr="00B45B4F">
        <w:rPr>
          <w:rFonts w:ascii="Verdana" w:hAnsi="Verdana"/>
          <w:sz w:val="20"/>
          <w:szCs w:val="20"/>
        </w:rPr>
        <w:t>като образователни структури и слаба</w:t>
      </w:r>
      <w:r w:rsidR="003D4FB3" w:rsidRPr="00B45B4F">
        <w:rPr>
          <w:rFonts w:ascii="Verdana" w:hAnsi="Verdana"/>
          <w:sz w:val="20"/>
          <w:szCs w:val="20"/>
        </w:rPr>
        <w:t>та им</w:t>
      </w:r>
      <w:r w:rsidR="00126E49" w:rsidRPr="00B45B4F">
        <w:rPr>
          <w:rFonts w:ascii="Verdana" w:hAnsi="Verdana"/>
          <w:sz w:val="20"/>
          <w:szCs w:val="20"/>
        </w:rPr>
        <w:t xml:space="preserve"> връзка с НИРД; </w:t>
      </w:r>
      <w:r w:rsidR="00C66F33" w:rsidRPr="00B45B4F">
        <w:rPr>
          <w:rFonts w:ascii="Verdana" w:hAnsi="Verdana"/>
          <w:sz w:val="20"/>
          <w:szCs w:val="20"/>
        </w:rPr>
        <w:t xml:space="preserve">необходимост от </w:t>
      </w:r>
      <w:r w:rsidR="00BE21F8" w:rsidRPr="00B45B4F">
        <w:rPr>
          <w:rFonts w:ascii="Verdana" w:hAnsi="Verdana"/>
          <w:sz w:val="20"/>
          <w:szCs w:val="20"/>
        </w:rPr>
        <w:t>повишаване квалификацията и компетентностите на преподавателите.</w:t>
      </w:r>
      <w:r w:rsidR="001C6159" w:rsidRPr="00B45B4F">
        <w:rPr>
          <w:rFonts w:ascii="Verdana" w:hAnsi="Verdana"/>
          <w:sz w:val="20"/>
          <w:szCs w:val="20"/>
        </w:rPr>
        <w:t xml:space="preserve"> Анализирани са и потребностите, свързани с</w:t>
      </w:r>
      <w:r w:rsidRPr="00B45B4F">
        <w:rPr>
          <w:rFonts w:ascii="Verdana" w:hAnsi="Verdana"/>
          <w:sz w:val="20"/>
          <w:szCs w:val="20"/>
        </w:rPr>
        <w:t>ъс</w:t>
      </w:r>
      <w:r w:rsidR="00B465F3" w:rsidRPr="00B45B4F">
        <w:rPr>
          <w:rFonts w:ascii="Verdana" w:hAnsi="Verdana"/>
          <w:sz w:val="20"/>
          <w:szCs w:val="20"/>
        </w:rPr>
        <w:t xml:space="preserve"> спецификата на образователните програми и тяхната пригодност за нуждите на икономиката. Посочва</w:t>
      </w:r>
      <w:r w:rsidR="00B128AC" w:rsidRPr="00B45B4F">
        <w:rPr>
          <w:rFonts w:ascii="Verdana" w:hAnsi="Verdana"/>
          <w:sz w:val="20"/>
          <w:szCs w:val="20"/>
        </w:rPr>
        <w:t>т</w:t>
      </w:r>
      <w:r w:rsidR="00B465F3" w:rsidRPr="00B45B4F">
        <w:rPr>
          <w:rFonts w:ascii="Verdana" w:hAnsi="Verdana"/>
          <w:sz w:val="20"/>
          <w:szCs w:val="20"/>
        </w:rPr>
        <w:t xml:space="preserve"> се секторите на икономиката</w:t>
      </w:r>
      <w:r w:rsidRPr="00B45B4F">
        <w:rPr>
          <w:rFonts w:ascii="Verdana" w:hAnsi="Verdana"/>
          <w:sz w:val="20"/>
          <w:szCs w:val="20"/>
        </w:rPr>
        <w:t>,</w:t>
      </w:r>
      <w:r w:rsidR="00B465F3" w:rsidRPr="00B45B4F">
        <w:rPr>
          <w:rFonts w:ascii="Verdana" w:hAnsi="Verdana"/>
          <w:sz w:val="20"/>
          <w:szCs w:val="20"/>
        </w:rPr>
        <w:t xml:space="preserve"> в които има недостиг на кадри, както и специалностите, които се т</w:t>
      </w:r>
      <w:r w:rsidR="009475FA">
        <w:rPr>
          <w:rFonts w:ascii="Verdana" w:hAnsi="Verdana"/>
          <w:sz w:val="20"/>
          <w:szCs w:val="20"/>
        </w:rPr>
        <w:t>ърсят като образователна степен</w:t>
      </w:r>
      <w:r w:rsidR="00B465F3" w:rsidRPr="00B45B4F">
        <w:rPr>
          <w:rFonts w:ascii="Verdana" w:hAnsi="Verdana"/>
          <w:sz w:val="20"/>
          <w:szCs w:val="20"/>
        </w:rPr>
        <w:t xml:space="preserve">. </w:t>
      </w:r>
      <w:r w:rsidR="003D4FB3" w:rsidRPr="00B45B4F">
        <w:rPr>
          <w:rFonts w:ascii="Verdana" w:hAnsi="Verdana"/>
          <w:sz w:val="20"/>
          <w:szCs w:val="20"/>
        </w:rPr>
        <w:t>Посочен е ниският процент за България, в сравнение с останалите страни в ЕС, на завършилите висше образование, въпреки тенденцията за увеличаване на този процент</w:t>
      </w:r>
      <w:r w:rsidR="009475FA">
        <w:rPr>
          <w:rFonts w:ascii="Verdana" w:hAnsi="Verdana"/>
          <w:sz w:val="20"/>
          <w:szCs w:val="20"/>
        </w:rPr>
        <w:t>, като са анализирани причините</w:t>
      </w:r>
      <w:r w:rsidR="003D4FB3" w:rsidRPr="00B45B4F">
        <w:rPr>
          <w:rFonts w:ascii="Verdana" w:hAnsi="Verdana"/>
          <w:sz w:val="20"/>
          <w:szCs w:val="20"/>
        </w:rPr>
        <w:t xml:space="preserve">. Предложените подходи за адресиране на потребностите </w:t>
      </w:r>
      <w:r w:rsidR="00B128AC" w:rsidRPr="00B45B4F">
        <w:rPr>
          <w:rFonts w:ascii="Verdana" w:hAnsi="Verdana"/>
          <w:sz w:val="20"/>
          <w:szCs w:val="20"/>
        </w:rPr>
        <w:t xml:space="preserve">включват преструктуриране </w:t>
      </w:r>
      <w:r w:rsidR="00B128AC" w:rsidRPr="00B45B4F">
        <w:rPr>
          <w:rFonts w:ascii="Verdana" w:hAnsi="Verdana"/>
          <w:sz w:val="20"/>
          <w:szCs w:val="20"/>
        </w:rPr>
        <w:lastRenderedPageBreak/>
        <w:t xml:space="preserve">и оптимизиране на мрежата от висши училища и подобряване на управлението, включително внедряването на модели за обвързване на финансирането с реализацията на завършилите. Предвижда се подобряване на програмите и </w:t>
      </w:r>
      <w:r w:rsidR="007B7944" w:rsidRPr="00B45B4F">
        <w:rPr>
          <w:rFonts w:ascii="Verdana" w:hAnsi="Verdana"/>
          <w:sz w:val="20"/>
          <w:szCs w:val="20"/>
        </w:rPr>
        <w:t xml:space="preserve">методите </w:t>
      </w:r>
      <w:r w:rsidR="00B128AC" w:rsidRPr="00B45B4F">
        <w:rPr>
          <w:rFonts w:ascii="Verdana" w:hAnsi="Verdana"/>
          <w:sz w:val="20"/>
          <w:szCs w:val="20"/>
        </w:rPr>
        <w:t>на преподаване, както и предоставяне</w:t>
      </w:r>
      <w:r w:rsidR="007B7944" w:rsidRPr="00B45B4F">
        <w:rPr>
          <w:rFonts w:ascii="Verdana" w:hAnsi="Verdana"/>
          <w:sz w:val="20"/>
          <w:szCs w:val="20"/>
        </w:rPr>
        <w:t>то</w:t>
      </w:r>
      <w:r w:rsidR="00B128AC" w:rsidRPr="00B45B4F">
        <w:rPr>
          <w:rFonts w:ascii="Verdana" w:hAnsi="Verdana"/>
          <w:sz w:val="20"/>
          <w:szCs w:val="20"/>
        </w:rPr>
        <w:t xml:space="preserve"> на стипендии за обучение в приоритетни за икономиката области</w:t>
      </w:r>
      <w:r w:rsidR="00C66F33" w:rsidRPr="00B45B4F">
        <w:rPr>
          <w:rFonts w:ascii="Verdana" w:hAnsi="Verdana"/>
          <w:sz w:val="20"/>
          <w:szCs w:val="20"/>
        </w:rPr>
        <w:t>.</w:t>
      </w:r>
      <w:r w:rsidR="002D4C3A">
        <w:rPr>
          <w:rFonts w:ascii="Verdana" w:hAnsi="Verdana"/>
          <w:sz w:val="20"/>
          <w:szCs w:val="20"/>
        </w:rPr>
        <w:t xml:space="preserve"> </w:t>
      </w:r>
      <w:r w:rsidR="007B7944" w:rsidRPr="00B45B4F">
        <w:rPr>
          <w:rFonts w:ascii="Verdana" w:hAnsi="Verdana"/>
          <w:sz w:val="20"/>
          <w:szCs w:val="20"/>
        </w:rPr>
        <w:t xml:space="preserve">По отношение </w:t>
      </w:r>
      <w:r w:rsidR="00B128AC" w:rsidRPr="00B45B4F">
        <w:rPr>
          <w:rFonts w:ascii="Verdana" w:hAnsi="Verdana"/>
          <w:sz w:val="20"/>
          <w:szCs w:val="20"/>
        </w:rPr>
        <w:t>подобряване</w:t>
      </w:r>
      <w:r w:rsidR="007B7944" w:rsidRPr="00B45B4F">
        <w:rPr>
          <w:rFonts w:ascii="Verdana" w:hAnsi="Verdana"/>
          <w:sz w:val="20"/>
          <w:szCs w:val="20"/>
        </w:rPr>
        <w:t>то</w:t>
      </w:r>
      <w:r w:rsidR="00B128AC" w:rsidRPr="00B45B4F">
        <w:rPr>
          <w:rFonts w:ascii="Verdana" w:hAnsi="Verdana"/>
          <w:sz w:val="20"/>
          <w:szCs w:val="20"/>
        </w:rPr>
        <w:t xml:space="preserve"> на квалификацията на преподавателите</w:t>
      </w:r>
      <w:r w:rsidR="007B7944" w:rsidRPr="00B45B4F">
        <w:rPr>
          <w:rFonts w:ascii="Verdana" w:hAnsi="Verdana"/>
          <w:sz w:val="20"/>
          <w:szCs w:val="20"/>
        </w:rPr>
        <w:t>,</w:t>
      </w:r>
      <w:r w:rsidR="00B128AC" w:rsidRPr="00B45B4F">
        <w:rPr>
          <w:rFonts w:ascii="Verdana" w:hAnsi="Verdana"/>
          <w:sz w:val="20"/>
          <w:szCs w:val="20"/>
        </w:rPr>
        <w:t xml:space="preserve"> фокусът е </w:t>
      </w:r>
      <w:r w:rsidR="007B7944" w:rsidRPr="00B45B4F">
        <w:rPr>
          <w:rFonts w:ascii="Verdana" w:hAnsi="Verdana"/>
          <w:sz w:val="20"/>
          <w:szCs w:val="20"/>
        </w:rPr>
        <w:t xml:space="preserve">съсредоточен </w:t>
      </w:r>
      <w:r w:rsidR="00B128AC" w:rsidRPr="00B45B4F">
        <w:rPr>
          <w:rFonts w:ascii="Verdana" w:hAnsi="Verdana"/>
          <w:sz w:val="20"/>
          <w:szCs w:val="20"/>
        </w:rPr>
        <w:t xml:space="preserve">върху ИКТ, преподавателската мобилност и методически и управленски компетенции. </w:t>
      </w:r>
      <w:r w:rsidR="009815DF" w:rsidRPr="00B45B4F">
        <w:rPr>
          <w:rFonts w:ascii="Verdana" w:hAnsi="Verdana"/>
          <w:sz w:val="20"/>
          <w:szCs w:val="20"/>
        </w:rPr>
        <w:t xml:space="preserve">Не са анализирани </w:t>
      </w:r>
      <w:r w:rsidR="00B128AC" w:rsidRPr="00B45B4F">
        <w:rPr>
          <w:rFonts w:ascii="Verdana" w:hAnsi="Verdana"/>
          <w:sz w:val="20"/>
          <w:szCs w:val="20"/>
        </w:rPr>
        <w:t xml:space="preserve">подходи за по-тясна връзка между висшето образование, </w:t>
      </w:r>
      <w:r w:rsidR="003E63BF" w:rsidRPr="00B45B4F">
        <w:rPr>
          <w:rFonts w:ascii="Verdana" w:hAnsi="Verdana"/>
          <w:sz w:val="20"/>
          <w:szCs w:val="20"/>
        </w:rPr>
        <w:t>НИРД</w:t>
      </w:r>
      <w:r w:rsidR="00B128AC" w:rsidRPr="00B45B4F">
        <w:rPr>
          <w:rFonts w:ascii="Verdana" w:hAnsi="Verdana"/>
          <w:sz w:val="20"/>
          <w:szCs w:val="20"/>
        </w:rPr>
        <w:t xml:space="preserve"> и бизнеса, които могат да допринесат </w:t>
      </w:r>
      <w:r w:rsidRPr="00B45B4F">
        <w:rPr>
          <w:rFonts w:ascii="Verdana" w:hAnsi="Verdana"/>
          <w:sz w:val="20"/>
          <w:szCs w:val="20"/>
        </w:rPr>
        <w:t>за</w:t>
      </w:r>
      <w:r w:rsidR="00B128AC" w:rsidRPr="00B45B4F">
        <w:rPr>
          <w:rFonts w:ascii="Verdana" w:hAnsi="Verdana"/>
          <w:sz w:val="20"/>
          <w:szCs w:val="20"/>
        </w:rPr>
        <w:t xml:space="preserve"> повишаване на професионалните компетенции на преподавателите, а също така и </w:t>
      </w:r>
      <w:r w:rsidR="003E63BF" w:rsidRPr="00B45B4F">
        <w:rPr>
          <w:rFonts w:ascii="Verdana" w:hAnsi="Verdana"/>
          <w:sz w:val="20"/>
          <w:szCs w:val="20"/>
        </w:rPr>
        <w:t xml:space="preserve">възможностите за </w:t>
      </w:r>
      <w:r w:rsidR="00B128AC" w:rsidRPr="00B45B4F">
        <w:rPr>
          <w:rFonts w:ascii="Verdana" w:hAnsi="Verdana"/>
          <w:sz w:val="20"/>
          <w:szCs w:val="20"/>
        </w:rPr>
        <w:t xml:space="preserve">въвличане на студентите </w:t>
      </w:r>
      <w:r w:rsidR="0073210D" w:rsidRPr="00B45B4F">
        <w:rPr>
          <w:rFonts w:ascii="Verdana" w:hAnsi="Verdana"/>
          <w:sz w:val="20"/>
          <w:szCs w:val="20"/>
        </w:rPr>
        <w:t xml:space="preserve">и докторантите </w:t>
      </w:r>
      <w:r w:rsidR="006B742B" w:rsidRPr="00B45B4F">
        <w:rPr>
          <w:rFonts w:ascii="Verdana" w:hAnsi="Verdana"/>
          <w:sz w:val="20"/>
          <w:szCs w:val="20"/>
        </w:rPr>
        <w:t>в извън</w:t>
      </w:r>
      <w:r w:rsidR="00B128AC" w:rsidRPr="00B45B4F">
        <w:rPr>
          <w:rFonts w:ascii="Verdana" w:hAnsi="Verdana"/>
          <w:sz w:val="20"/>
          <w:szCs w:val="20"/>
        </w:rPr>
        <w:t>учебни дейности, включително срещу заплащане, което в същото време ще адресира проблема с финансовото подпомагане на следването.</w:t>
      </w:r>
      <w:r w:rsidR="00C66F33" w:rsidRPr="00B45B4F">
        <w:rPr>
          <w:rFonts w:ascii="Verdana" w:hAnsi="Verdana"/>
          <w:sz w:val="20"/>
          <w:szCs w:val="20"/>
        </w:rPr>
        <w:t xml:space="preserve"> </w:t>
      </w:r>
      <w:r w:rsidR="0073210D" w:rsidRPr="00B45B4F">
        <w:rPr>
          <w:rFonts w:ascii="Verdana" w:hAnsi="Verdana"/>
          <w:sz w:val="20"/>
          <w:szCs w:val="20"/>
        </w:rPr>
        <w:t>Предвижда се програмата да предостави допълнителен ресурс за студентско кредитиране</w:t>
      </w:r>
      <w:r w:rsidR="00C66F33" w:rsidRPr="00B45B4F">
        <w:rPr>
          <w:rFonts w:ascii="Verdana" w:hAnsi="Verdana"/>
          <w:sz w:val="20"/>
          <w:szCs w:val="20"/>
        </w:rPr>
        <w:t>.</w:t>
      </w:r>
    </w:p>
    <w:p w:rsidR="00EA126D" w:rsidRPr="00B45B4F" w:rsidRDefault="0073210D" w:rsidP="00F55866">
      <w:pPr>
        <w:pStyle w:val="BodyText"/>
        <w:tabs>
          <w:tab w:val="left" w:pos="0"/>
          <w:tab w:val="right" w:pos="9090"/>
        </w:tabs>
        <w:spacing w:line="276" w:lineRule="auto"/>
        <w:jc w:val="both"/>
        <w:rPr>
          <w:rFonts w:ascii="Verdana" w:hAnsi="Verdana"/>
          <w:sz w:val="20"/>
          <w:szCs w:val="20"/>
        </w:rPr>
      </w:pPr>
      <w:r w:rsidRPr="00B45B4F">
        <w:rPr>
          <w:rFonts w:ascii="Verdana" w:hAnsi="Verdana"/>
          <w:sz w:val="20"/>
          <w:szCs w:val="20"/>
        </w:rPr>
        <w:t xml:space="preserve">Темата за </w:t>
      </w:r>
      <w:r w:rsidRPr="00B45B4F">
        <w:rPr>
          <w:rFonts w:ascii="Verdana" w:hAnsi="Verdana"/>
          <w:color w:val="548DD4" w:themeColor="text2" w:themeTint="99"/>
          <w:sz w:val="20"/>
          <w:szCs w:val="20"/>
        </w:rPr>
        <w:t>у</w:t>
      </w:r>
      <w:r w:rsidR="00E36F9B" w:rsidRPr="00B45B4F">
        <w:rPr>
          <w:rFonts w:ascii="Verdana" w:hAnsi="Verdana"/>
          <w:color w:val="548DD4" w:themeColor="text2" w:themeTint="99"/>
          <w:sz w:val="20"/>
          <w:szCs w:val="20"/>
        </w:rPr>
        <w:t>чилищно образование, обучение и учене през целия живот</w:t>
      </w:r>
      <w:r w:rsidRPr="00B45B4F">
        <w:rPr>
          <w:rFonts w:ascii="Verdana" w:hAnsi="Verdana"/>
          <w:sz w:val="20"/>
          <w:szCs w:val="20"/>
        </w:rPr>
        <w:t xml:space="preserve"> анализира следните проблеми: отпадане от системата на училищно</w:t>
      </w:r>
      <w:r w:rsidR="006B742B" w:rsidRPr="00B45B4F">
        <w:rPr>
          <w:rFonts w:ascii="Verdana" w:hAnsi="Verdana"/>
          <w:sz w:val="20"/>
          <w:szCs w:val="20"/>
        </w:rPr>
        <w:t>то</w:t>
      </w:r>
      <w:r w:rsidRPr="00B45B4F">
        <w:rPr>
          <w:rFonts w:ascii="Verdana" w:hAnsi="Verdana"/>
          <w:sz w:val="20"/>
          <w:szCs w:val="20"/>
        </w:rPr>
        <w:t xml:space="preserve"> образование поради социални, етнически и културни причини</w:t>
      </w:r>
      <w:r w:rsidR="004502B2" w:rsidRPr="00B45B4F">
        <w:rPr>
          <w:rFonts w:ascii="Verdana" w:hAnsi="Verdana"/>
          <w:sz w:val="20"/>
          <w:szCs w:val="20"/>
        </w:rPr>
        <w:t xml:space="preserve">; </w:t>
      </w:r>
      <w:r w:rsidRPr="00B45B4F">
        <w:rPr>
          <w:rFonts w:ascii="Verdana" w:hAnsi="Verdana"/>
          <w:sz w:val="20"/>
          <w:szCs w:val="20"/>
        </w:rPr>
        <w:t>хронични дефицити на системата като инфраструктура, учебно съдържание и квалифи</w:t>
      </w:r>
      <w:r w:rsidR="004502B2" w:rsidRPr="00B45B4F">
        <w:rPr>
          <w:rFonts w:ascii="Verdana" w:hAnsi="Verdana"/>
          <w:sz w:val="20"/>
          <w:szCs w:val="20"/>
        </w:rPr>
        <w:t xml:space="preserve">кация и подготовка на учителите; ниско качество на образованието; липса на връзка между образованието и пазара на труда, липса на нагласи за учене през целия живот; необходимост от ограмотяване на възрастни и допълнително обучение за трудов ресурс с ниско образование и квалификация. </w:t>
      </w:r>
      <w:r w:rsidR="007C04EC" w:rsidRPr="00B45B4F">
        <w:rPr>
          <w:rFonts w:ascii="Verdana" w:hAnsi="Verdana"/>
          <w:sz w:val="20"/>
          <w:szCs w:val="20"/>
        </w:rPr>
        <w:t>Анализирани за причините за ниската квалификация на учителите и нуждите</w:t>
      </w:r>
      <w:r w:rsidR="00343660" w:rsidRPr="00B45B4F">
        <w:rPr>
          <w:rFonts w:ascii="Verdana" w:hAnsi="Verdana"/>
          <w:sz w:val="20"/>
          <w:szCs w:val="20"/>
        </w:rPr>
        <w:t xml:space="preserve"> в това отношение</w:t>
      </w:r>
      <w:r w:rsidR="007C04EC" w:rsidRPr="00B45B4F">
        <w:rPr>
          <w:rFonts w:ascii="Verdana" w:hAnsi="Verdana"/>
          <w:sz w:val="20"/>
          <w:szCs w:val="20"/>
        </w:rPr>
        <w:t>. В анализа липсва информация за системата за предучилищно образование и детските градини. Подходите за адресиране на нуждите включват мерки за интеграция на деца от етнически общности, мерки за деца със СОП и мерки за превенция на ранното отпад</w:t>
      </w:r>
      <w:r w:rsidR="00BB7869" w:rsidRPr="00B45B4F">
        <w:rPr>
          <w:rFonts w:ascii="Verdana" w:hAnsi="Verdana"/>
          <w:sz w:val="20"/>
          <w:szCs w:val="20"/>
        </w:rPr>
        <w:t>ане от училище. За подобряване на качеството на образование се предвижда</w:t>
      </w:r>
      <w:r w:rsidR="006B742B" w:rsidRPr="00B45B4F">
        <w:rPr>
          <w:rFonts w:ascii="Verdana" w:hAnsi="Verdana"/>
          <w:sz w:val="20"/>
          <w:szCs w:val="20"/>
        </w:rPr>
        <w:t>т</w:t>
      </w:r>
      <w:r w:rsidR="00BB7869" w:rsidRPr="00B45B4F">
        <w:rPr>
          <w:rFonts w:ascii="Verdana" w:hAnsi="Verdana"/>
          <w:sz w:val="20"/>
          <w:szCs w:val="20"/>
        </w:rPr>
        <w:t xml:space="preserve"> мерки за въвеждане на ИКТ в училище, развитие на системата за външно оценяване промяна и адаптиране на учебни програми, включително съгласно потребностите на икономиката, разширяване на възможностите за практическо обучение и развитие на условия за учене през целия живот. Не са анализирани възможности за подобряване на учебния процес чрез адресиране на индивидуалните нужди на учениците, извън класна работа и подготовка (включително в светлината на  целодневната организация на учебния процес) и подкрепа за развиване на дарбите на даровити деца и работа с деца с трудности за усвояване на учебния материал. Мерките по отношение на квалификацията на педагогическия персонал включват </w:t>
      </w:r>
      <w:r w:rsidR="006639BD" w:rsidRPr="00B45B4F">
        <w:rPr>
          <w:rFonts w:ascii="Verdana" w:hAnsi="Verdana"/>
          <w:sz w:val="20"/>
          <w:szCs w:val="20"/>
        </w:rPr>
        <w:t>продължаваща подготовка на специалистите, стимули за оставане в професията и кариерно развитие, но не адресират основния проблем – ниското заплащане.</w:t>
      </w:r>
    </w:p>
    <w:p w:rsidR="003A37FB" w:rsidRDefault="006B742B" w:rsidP="00C51BBC">
      <w:pPr>
        <w:pStyle w:val="BodyText"/>
        <w:tabs>
          <w:tab w:val="left" w:pos="0"/>
          <w:tab w:val="right" w:pos="9214"/>
        </w:tabs>
        <w:spacing w:line="276" w:lineRule="auto"/>
        <w:jc w:val="both"/>
        <w:rPr>
          <w:rFonts w:ascii="Verdana" w:hAnsi="Verdana"/>
          <w:sz w:val="20"/>
          <w:szCs w:val="20"/>
        </w:rPr>
      </w:pPr>
      <w:r w:rsidRPr="00B45B4F">
        <w:rPr>
          <w:rFonts w:ascii="Verdana" w:hAnsi="Verdana"/>
          <w:sz w:val="20"/>
          <w:szCs w:val="20"/>
        </w:rPr>
        <w:t xml:space="preserve">В </w:t>
      </w:r>
      <w:r w:rsidRPr="00B45B4F">
        <w:rPr>
          <w:rFonts w:ascii="Verdana" w:hAnsi="Verdana"/>
          <w:color w:val="548DD4" w:themeColor="text2" w:themeTint="99"/>
          <w:sz w:val="20"/>
          <w:szCs w:val="20"/>
        </w:rPr>
        <w:t xml:space="preserve">Таблица 1 </w:t>
      </w:r>
      <w:r w:rsidRPr="00B45B4F">
        <w:rPr>
          <w:rFonts w:ascii="Verdana" w:hAnsi="Verdana"/>
          <w:sz w:val="20"/>
          <w:szCs w:val="20"/>
        </w:rPr>
        <w:t xml:space="preserve">в текста на програмата е дадена обосновка за избора на инвестиционни приоритети. </w:t>
      </w:r>
      <w:r w:rsidR="002D5EDF">
        <w:rPr>
          <w:rFonts w:ascii="Verdana" w:hAnsi="Verdana"/>
          <w:sz w:val="20"/>
          <w:szCs w:val="20"/>
        </w:rPr>
        <w:t>О</w:t>
      </w:r>
      <w:r w:rsidR="00C51BBC" w:rsidRPr="00B45B4F">
        <w:rPr>
          <w:rFonts w:ascii="Verdana" w:hAnsi="Verdana"/>
          <w:sz w:val="20"/>
          <w:szCs w:val="20"/>
        </w:rPr>
        <w:t xml:space="preserve">босновката </w:t>
      </w:r>
      <w:r w:rsidR="002D5EDF">
        <w:rPr>
          <w:rFonts w:ascii="Verdana" w:hAnsi="Verdana"/>
          <w:sz w:val="20"/>
          <w:szCs w:val="20"/>
        </w:rPr>
        <w:t>беше подобрена като за всеки инвестиционен приоритет е представена отделна обосновка.</w:t>
      </w:r>
    </w:p>
    <w:p w:rsidR="00666C98" w:rsidRDefault="00666C98" w:rsidP="00C51BBC">
      <w:pPr>
        <w:pStyle w:val="BodyText"/>
        <w:tabs>
          <w:tab w:val="left" w:pos="0"/>
          <w:tab w:val="right" w:pos="9214"/>
        </w:tabs>
        <w:spacing w:line="276" w:lineRule="auto"/>
        <w:jc w:val="both"/>
        <w:rPr>
          <w:rFonts w:ascii="Verdana" w:hAnsi="Verdana"/>
          <w:sz w:val="20"/>
          <w:szCs w:val="20"/>
        </w:rPr>
      </w:pPr>
    </w:p>
    <w:tbl>
      <w:tblPr>
        <w:tblW w:w="0" w:type="auto"/>
        <w:tblLook w:val="04A0" w:firstRow="1" w:lastRow="0" w:firstColumn="1" w:lastColumn="0" w:noHBand="0" w:noVBand="1"/>
      </w:tblPr>
      <w:tblGrid>
        <w:gridCol w:w="531"/>
        <w:gridCol w:w="8775"/>
      </w:tblGrid>
      <w:tr w:rsidR="00162DA3" w:rsidRPr="00A300E4" w:rsidTr="00666C98">
        <w:tc>
          <w:tcPr>
            <w:tcW w:w="531" w:type="dxa"/>
            <w:vAlign w:val="center"/>
          </w:tcPr>
          <w:p w:rsidR="00162DA3" w:rsidRPr="00F85976" w:rsidRDefault="00162DA3" w:rsidP="009A761F">
            <w:pPr>
              <w:pStyle w:val="BodyText"/>
              <w:spacing w:after="0" w:line="276" w:lineRule="auto"/>
              <w:jc w:val="center"/>
              <w:rPr>
                <w:rFonts w:ascii="Verdana" w:hAnsi="Verdana"/>
                <w:b/>
                <w:color w:val="548DD4"/>
                <w:sz w:val="36"/>
                <w:szCs w:val="36"/>
              </w:rPr>
            </w:pPr>
            <w:r w:rsidRPr="00F85976">
              <w:rPr>
                <w:rFonts w:ascii="Verdana" w:hAnsi="Verdana"/>
                <w:b/>
                <w:color w:val="548DD4"/>
                <w:sz w:val="36"/>
                <w:szCs w:val="36"/>
              </w:rPr>
              <w:t>?</w:t>
            </w:r>
          </w:p>
        </w:tc>
        <w:tc>
          <w:tcPr>
            <w:tcW w:w="8775" w:type="dxa"/>
            <w:tcBorders>
              <w:top w:val="single" w:sz="4" w:space="0" w:color="auto"/>
              <w:bottom w:val="single" w:sz="4" w:space="0" w:color="auto"/>
              <w:right w:val="single" w:sz="4" w:space="0" w:color="auto"/>
            </w:tcBorders>
            <w:shd w:val="clear" w:color="auto" w:fill="B8CCE4"/>
          </w:tcPr>
          <w:p w:rsidR="00162DA3" w:rsidRPr="00F85976" w:rsidRDefault="00162DA3" w:rsidP="00162DA3">
            <w:pPr>
              <w:pStyle w:val="ListParagraph"/>
              <w:numPr>
                <w:ilvl w:val="0"/>
                <w:numId w:val="7"/>
              </w:numPr>
              <w:autoSpaceDE w:val="0"/>
              <w:autoSpaceDN w:val="0"/>
              <w:adjustRightInd w:val="0"/>
              <w:spacing w:before="120" w:after="120" w:line="240" w:lineRule="auto"/>
              <w:ind w:left="473"/>
              <w:rPr>
                <w:rFonts w:ascii="Verdana" w:hAnsi="Verdana"/>
                <w:sz w:val="18"/>
                <w:szCs w:val="18"/>
                <w:lang w:val="bg-BG"/>
              </w:rPr>
            </w:pPr>
            <w:r>
              <w:rPr>
                <w:rFonts w:ascii="Verdana" w:hAnsi="Verdana"/>
                <w:sz w:val="18"/>
                <w:szCs w:val="18"/>
                <w:lang w:val="bg-BG"/>
              </w:rPr>
              <w:t>Адекватност на мерките, заложени в програмата и степента, в която ще допринесат за постигане на целите й</w:t>
            </w:r>
          </w:p>
        </w:tc>
      </w:tr>
    </w:tbl>
    <w:p w:rsidR="00162DA3" w:rsidRPr="00B45B4F" w:rsidRDefault="00162DA3" w:rsidP="00C51BBC">
      <w:pPr>
        <w:pStyle w:val="BodyText"/>
        <w:tabs>
          <w:tab w:val="left" w:pos="0"/>
          <w:tab w:val="right" w:pos="9214"/>
        </w:tabs>
        <w:spacing w:line="276" w:lineRule="auto"/>
        <w:jc w:val="both"/>
        <w:rPr>
          <w:rFonts w:ascii="Verdana" w:hAnsi="Verdana"/>
          <w:sz w:val="20"/>
          <w:szCs w:val="20"/>
        </w:rPr>
      </w:pPr>
    </w:p>
    <w:p w:rsidR="00EC0769" w:rsidRDefault="00EC0769" w:rsidP="00EA126D">
      <w:pPr>
        <w:pStyle w:val="BodyText"/>
        <w:tabs>
          <w:tab w:val="left" w:pos="0"/>
          <w:tab w:val="right" w:pos="9214"/>
        </w:tabs>
        <w:spacing w:line="276" w:lineRule="auto"/>
        <w:jc w:val="both"/>
        <w:rPr>
          <w:rFonts w:ascii="Verdana" w:hAnsi="Verdana"/>
          <w:sz w:val="20"/>
          <w:szCs w:val="20"/>
        </w:rPr>
      </w:pPr>
      <w:r w:rsidRPr="00B45B4F">
        <w:rPr>
          <w:rFonts w:ascii="Verdana" w:hAnsi="Verdana"/>
          <w:sz w:val="20"/>
          <w:szCs w:val="20"/>
        </w:rPr>
        <w:lastRenderedPageBreak/>
        <w:t>По-долу</w:t>
      </w:r>
      <w:r w:rsidR="00F80489" w:rsidRPr="00B45B4F">
        <w:rPr>
          <w:rFonts w:ascii="Verdana" w:hAnsi="Verdana"/>
          <w:sz w:val="20"/>
          <w:szCs w:val="20"/>
        </w:rPr>
        <w:t xml:space="preserve"> в текста</w:t>
      </w:r>
      <w:r w:rsidRPr="00B45B4F">
        <w:rPr>
          <w:rFonts w:ascii="Verdana" w:hAnsi="Verdana"/>
          <w:sz w:val="20"/>
          <w:szCs w:val="20"/>
        </w:rPr>
        <w:t>, по приоритетни оси</w:t>
      </w:r>
      <w:r w:rsidR="00BC53E7" w:rsidRPr="00B45B4F">
        <w:rPr>
          <w:rFonts w:ascii="Verdana" w:hAnsi="Verdana"/>
          <w:sz w:val="20"/>
          <w:szCs w:val="20"/>
        </w:rPr>
        <w:t>,</w:t>
      </w:r>
      <w:r w:rsidRPr="00B45B4F">
        <w:rPr>
          <w:rFonts w:ascii="Verdana" w:hAnsi="Verdana"/>
          <w:sz w:val="20"/>
          <w:szCs w:val="20"/>
        </w:rPr>
        <w:t xml:space="preserve"> е анализирана обвързаността между идентифицираните нужди, инвестиционните приоритети, дейностите и заложените индикатори. По отношение на индикаторите</w:t>
      </w:r>
      <w:r w:rsidR="00BC53E7" w:rsidRPr="00B45B4F">
        <w:rPr>
          <w:rFonts w:ascii="Verdana" w:hAnsi="Verdana"/>
          <w:sz w:val="20"/>
          <w:szCs w:val="20"/>
        </w:rPr>
        <w:t xml:space="preserve"> е коментирано доколко заложените индикатори са адекватни към дефинираните продукти и специфични цели без </w:t>
      </w:r>
      <w:r w:rsidRPr="00B45B4F">
        <w:rPr>
          <w:rFonts w:ascii="Verdana" w:hAnsi="Verdana"/>
          <w:sz w:val="20"/>
          <w:szCs w:val="20"/>
        </w:rPr>
        <w:t xml:space="preserve">да се </w:t>
      </w:r>
      <w:r w:rsidR="00BC53E7" w:rsidRPr="00B45B4F">
        <w:rPr>
          <w:rFonts w:ascii="Verdana" w:hAnsi="Verdana"/>
          <w:sz w:val="20"/>
          <w:szCs w:val="20"/>
        </w:rPr>
        <w:t>анализират самите индикатори</w:t>
      </w:r>
      <w:r w:rsidRPr="00B45B4F">
        <w:rPr>
          <w:rFonts w:ascii="Verdana" w:hAnsi="Verdana"/>
          <w:sz w:val="20"/>
          <w:szCs w:val="20"/>
        </w:rPr>
        <w:t xml:space="preserve">. Индикаторите </w:t>
      </w:r>
      <w:r w:rsidR="00517E2D">
        <w:rPr>
          <w:rFonts w:ascii="Verdana" w:hAnsi="Verdana"/>
          <w:sz w:val="20"/>
          <w:szCs w:val="20"/>
        </w:rPr>
        <w:t>са</w:t>
      </w:r>
      <w:r w:rsidRPr="00B45B4F">
        <w:rPr>
          <w:rFonts w:ascii="Verdana" w:hAnsi="Verdana"/>
          <w:sz w:val="20"/>
          <w:szCs w:val="20"/>
        </w:rPr>
        <w:t xml:space="preserve"> подробно коментирани в Оценка 3. Логиката на интервенция на ОПНОИР</w:t>
      </w:r>
      <w:r w:rsidR="002D4C3A">
        <w:rPr>
          <w:rFonts w:ascii="Verdana" w:hAnsi="Verdana"/>
          <w:sz w:val="20"/>
          <w:szCs w:val="20"/>
        </w:rPr>
        <w:t xml:space="preserve"> </w:t>
      </w:r>
      <w:r w:rsidR="004934AB" w:rsidRPr="00B45B4F">
        <w:rPr>
          <w:rFonts w:ascii="Verdana" w:hAnsi="Verdana"/>
          <w:sz w:val="20"/>
          <w:szCs w:val="20"/>
        </w:rPr>
        <w:t xml:space="preserve">по </w:t>
      </w:r>
      <w:r w:rsidR="00BC53E7" w:rsidRPr="00B45B4F">
        <w:rPr>
          <w:rFonts w:ascii="Verdana" w:hAnsi="Verdana"/>
          <w:sz w:val="20"/>
          <w:szCs w:val="20"/>
        </w:rPr>
        <w:t xml:space="preserve">приоритетни оси </w:t>
      </w:r>
      <w:r w:rsidR="004934AB" w:rsidRPr="00B45B4F">
        <w:rPr>
          <w:rFonts w:ascii="Verdana" w:hAnsi="Verdana"/>
          <w:sz w:val="20"/>
          <w:szCs w:val="20"/>
        </w:rPr>
        <w:t xml:space="preserve">илюстрира </w:t>
      </w:r>
      <w:r w:rsidR="00BC53E7" w:rsidRPr="00B45B4F">
        <w:rPr>
          <w:rFonts w:ascii="Verdana" w:hAnsi="Verdana"/>
          <w:sz w:val="20"/>
          <w:szCs w:val="20"/>
        </w:rPr>
        <w:t xml:space="preserve">връзката между нужди, инвестиционни приоритети, специфични цели, дейности и индикатори. Графиките са </w:t>
      </w:r>
      <w:r w:rsidRPr="00B45B4F">
        <w:rPr>
          <w:rFonts w:ascii="Verdana" w:hAnsi="Verdana"/>
          <w:sz w:val="20"/>
          <w:szCs w:val="20"/>
        </w:rPr>
        <w:t>представен</w:t>
      </w:r>
      <w:r w:rsidR="00BC53E7" w:rsidRPr="00B45B4F">
        <w:rPr>
          <w:rFonts w:ascii="Verdana" w:hAnsi="Verdana"/>
          <w:sz w:val="20"/>
          <w:szCs w:val="20"/>
        </w:rPr>
        <w:t>и</w:t>
      </w:r>
      <w:r w:rsidRPr="00B45B4F">
        <w:rPr>
          <w:rFonts w:ascii="Verdana" w:hAnsi="Verdana"/>
          <w:sz w:val="20"/>
          <w:szCs w:val="20"/>
        </w:rPr>
        <w:t xml:space="preserve"> в Приложение </w:t>
      </w:r>
      <w:r w:rsidR="00162DA3">
        <w:rPr>
          <w:rFonts w:ascii="Verdana" w:hAnsi="Verdana"/>
          <w:sz w:val="20"/>
          <w:szCs w:val="20"/>
        </w:rPr>
        <w:t>5</w:t>
      </w:r>
      <w:r w:rsidRPr="00B45B4F">
        <w:rPr>
          <w:rFonts w:ascii="Verdana" w:hAnsi="Verdana"/>
          <w:sz w:val="20"/>
          <w:szCs w:val="20"/>
        </w:rPr>
        <w:t>.</w:t>
      </w:r>
    </w:p>
    <w:p w:rsidR="00EC0769" w:rsidRPr="00B45B4F" w:rsidRDefault="00EC0769" w:rsidP="00FA776A">
      <w:pPr>
        <w:keepNext/>
        <w:pBdr>
          <w:bottom w:val="single" w:sz="4" w:space="1" w:color="0070C0"/>
        </w:pBdr>
        <w:spacing w:before="360" w:after="120"/>
        <w:jc w:val="both"/>
        <w:rPr>
          <w:rFonts w:ascii="Verdana" w:hAnsi="Verdana"/>
          <w:color w:val="0070C0"/>
          <w:sz w:val="20"/>
          <w:szCs w:val="20"/>
          <w:lang w:val="bg-BG" w:eastAsia="cs-CZ"/>
        </w:rPr>
      </w:pPr>
      <w:r w:rsidRPr="00B45B4F">
        <w:rPr>
          <w:rFonts w:ascii="Verdana" w:hAnsi="Verdana"/>
          <w:color w:val="0070C0"/>
          <w:sz w:val="20"/>
          <w:szCs w:val="20"/>
          <w:lang w:val="bg-BG" w:eastAsia="cs-CZ"/>
        </w:rPr>
        <w:t xml:space="preserve">ПО1. </w:t>
      </w:r>
      <w:r w:rsidR="00D65F4D" w:rsidRPr="00B45B4F">
        <w:rPr>
          <w:rFonts w:ascii="Verdana" w:hAnsi="Verdana"/>
          <w:color w:val="0070C0"/>
          <w:sz w:val="20"/>
          <w:szCs w:val="20"/>
          <w:lang w:val="bg-BG" w:eastAsia="cs-CZ"/>
        </w:rPr>
        <w:t>Научни изследвания и технологично развитие</w:t>
      </w:r>
    </w:p>
    <w:p w:rsidR="004E3258" w:rsidRPr="00B45B4F" w:rsidRDefault="004E3258" w:rsidP="008410DF">
      <w:pPr>
        <w:pStyle w:val="BodyText"/>
        <w:keepNext/>
        <w:tabs>
          <w:tab w:val="left" w:pos="0"/>
          <w:tab w:val="right" w:pos="9214"/>
        </w:tabs>
        <w:spacing w:before="240" w:line="276" w:lineRule="auto"/>
        <w:jc w:val="both"/>
        <w:rPr>
          <w:rFonts w:ascii="Verdana" w:hAnsi="Verdana"/>
          <w:b/>
          <w:sz w:val="20"/>
          <w:szCs w:val="20"/>
        </w:rPr>
      </w:pPr>
      <w:bookmarkStart w:id="78" w:name="_Ref371086148"/>
      <w:bookmarkStart w:id="79" w:name="_Toc373747254"/>
      <w:bookmarkStart w:id="80" w:name="_Toc379364668"/>
      <w:bookmarkStart w:id="81" w:name="_Toc395612573"/>
      <w:r w:rsidRPr="00B45B4F">
        <w:rPr>
          <w:rFonts w:ascii="Verdana" w:hAnsi="Verdana"/>
          <w:b/>
          <w:color w:val="548DD4" w:themeColor="text2" w:themeTint="99"/>
          <w:sz w:val="20"/>
          <w:szCs w:val="20"/>
        </w:rPr>
        <w:t xml:space="preserve">Таблица </w:t>
      </w:r>
      <w:r w:rsidR="00BF1936" w:rsidRPr="00B45B4F">
        <w:rPr>
          <w:rFonts w:ascii="Verdana" w:hAnsi="Verdana"/>
          <w:b/>
          <w:color w:val="548DD4" w:themeColor="text2" w:themeTint="99"/>
          <w:sz w:val="20"/>
          <w:szCs w:val="20"/>
        </w:rPr>
        <w:fldChar w:fldCharType="begin"/>
      </w:r>
      <w:r w:rsidRPr="00B45B4F">
        <w:rPr>
          <w:rFonts w:ascii="Verdana" w:hAnsi="Verdana"/>
          <w:b/>
          <w:color w:val="548DD4" w:themeColor="text2" w:themeTint="99"/>
          <w:sz w:val="20"/>
          <w:szCs w:val="20"/>
        </w:rPr>
        <w:instrText xml:space="preserve"> SEQ таблица \* ARABIC </w:instrText>
      </w:r>
      <w:r w:rsidR="00BF1936" w:rsidRPr="00B45B4F">
        <w:rPr>
          <w:rFonts w:ascii="Verdana" w:hAnsi="Verdana"/>
          <w:b/>
          <w:color w:val="548DD4" w:themeColor="text2" w:themeTint="99"/>
          <w:sz w:val="20"/>
          <w:szCs w:val="20"/>
        </w:rPr>
        <w:fldChar w:fldCharType="separate"/>
      </w:r>
      <w:r w:rsidR="001361E0">
        <w:rPr>
          <w:rFonts w:ascii="Verdana" w:hAnsi="Verdana"/>
          <w:b/>
          <w:noProof/>
          <w:color w:val="548DD4" w:themeColor="text2" w:themeTint="99"/>
          <w:sz w:val="20"/>
          <w:szCs w:val="20"/>
        </w:rPr>
        <w:t>17</w:t>
      </w:r>
      <w:r w:rsidR="00BF1936" w:rsidRPr="00B45B4F">
        <w:rPr>
          <w:rFonts w:ascii="Verdana" w:hAnsi="Verdana"/>
          <w:b/>
          <w:color w:val="548DD4" w:themeColor="text2" w:themeTint="99"/>
          <w:sz w:val="20"/>
          <w:szCs w:val="20"/>
        </w:rPr>
        <w:fldChar w:fldCharType="end"/>
      </w:r>
      <w:bookmarkEnd w:id="78"/>
      <w:r w:rsidRPr="00B45B4F">
        <w:rPr>
          <w:rFonts w:ascii="Verdana" w:hAnsi="Verdana"/>
          <w:b/>
          <w:color w:val="548DD4" w:themeColor="text2" w:themeTint="99"/>
          <w:sz w:val="20"/>
          <w:szCs w:val="20"/>
        </w:rPr>
        <w:t>. ПО1 - Съответствие между нужди, ИП, дейности и индикатори</w:t>
      </w:r>
      <w:bookmarkEnd w:id="79"/>
      <w:bookmarkEnd w:id="80"/>
      <w:bookmarkEnd w:id="81"/>
    </w:p>
    <w:tbl>
      <w:tblPr>
        <w:tblW w:w="9090" w:type="dxa"/>
        <w:tblCellSpacing w:w="11" w:type="dxa"/>
        <w:tblInd w:w="130" w:type="dxa"/>
        <w:tblLook w:val="00A0" w:firstRow="1" w:lastRow="0" w:firstColumn="1" w:lastColumn="0" w:noHBand="0" w:noVBand="0"/>
      </w:tblPr>
      <w:tblGrid>
        <w:gridCol w:w="1829"/>
        <w:gridCol w:w="7261"/>
      </w:tblGrid>
      <w:tr w:rsidR="00711296" w:rsidRPr="00B45B4F" w:rsidTr="00AF6F4A">
        <w:trPr>
          <w:tblCellSpacing w:w="11" w:type="dxa"/>
        </w:trPr>
        <w:tc>
          <w:tcPr>
            <w:tcW w:w="1638" w:type="dxa"/>
            <w:shd w:val="clear" w:color="auto" w:fill="548DD4" w:themeFill="text2" w:themeFillTint="99"/>
          </w:tcPr>
          <w:p w:rsidR="00711296" w:rsidRPr="00B45B4F" w:rsidRDefault="00711296" w:rsidP="00757B38">
            <w:pPr>
              <w:pStyle w:val="BodyText"/>
              <w:spacing w:before="120" w:line="276" w:lineRule="auto"/>
              <w:jc w:val="center"/>
              <w:rPr>
                <w:rFonts w:ascii="Verdana" w:hAnsi="Verdana"/>
                <w:b/>
                <w:color w:val="FFFFFF"/>
                <w:sz w:val="20"/>
                <w:szCs w:val="20"/>
              </w:rPr>
            </w:pPr>
            <w:r w:rsidRPr="00B45B4F">
              <w:rPr>
                <w:rFonts w:ascii="Verdana" w:hAnsi="Verdana"/>
                <w:b/>
                <w:color w:val="FFFFFF"/>
                <w:sz w:val="20"/>
                <w:szCs w:val="20"/>
              </w:rPr>
              <w:t>Връзка</w:t>
            </w:r>
          </w:p>
        </w:tc>
        <w:tc>
          <w:tcPr>
            <w:tcW w:w="7386" w:type="dxa"/>
            <w:shd w:val="clear" w:color="auto" w:fill="548DD4" w:themeFill="text2" w:themeFillTint="99"/>
          </w:tcPr>
          <w:p w:rsidR="00711296" w:rsidRPr="00B45B4F" w:rsidRDefault="00711296" w:rsidP="00757B38">
            <w:pPr>
              <w:pStyle w:val="BodyText"/>
              <w:spacing w:before="120" w:line="276" w:lineRule="auto"/>
              <w:jc w:val="center"/>
              <w:rPr>
                <w:rFonts w:ascii="Verdana" w:hAnsi="Verdana"/>
                <w:b/>
                <w:color w:val="FFFFFF"/>
                <w:sz w:val="20"/>
                <w:szCs w:val="20"/>
              </w:rPr>
            </w:pPr>
            <w:r w:rsidRPr="00B45B4F">
              <w:rPr>
                <w:rFonts w:ascii="Verdana" w:hAnsi="Verdana"/>
                <w:b/>
                <w:color w:val="FFFFFF"/>
                <w:sz w:val="20"/>
                <w:szCs w:val="20"/>
              </w:rPr>
              <w:t>Коментар</w:t>
            </w:r>
          </w:p>
        </w:tc>
      </w:tr>
      <w:tr w:rsidR="00711296" w:rsidRPr="00B45B4F" w:rsidTr="00F55866">
        <w:trPr>
          <w:tblCellSpacing w:w="11" w:type="dxa"/>
        </w:trPr>
        <w:tc>
          <w:tcPr>
            <w:tcW w:w="9046" w:type="dxa"/>
            <w:gridSpan w:val="2"/>
            <w:shd w:val="clear" w:color="auto" w:fill="FBD4B4"/>
          </w:tcPr>
          <w:p w:rsidR="00711296" w:rsidRPr="00B45B4F" w:rsidRDefault="00711296" w:rsidP="00543A7A">
            <w:pPr>
              <w:autoSpaceDE w:val="0"/>
              <w:autoSpaceDN w:val="0"/>
              <w:adjustRightInd w:val="0"/>
              <w:spacing w:after="0" w:line="288" w:lineRule="auto"/>
              <w:jc w:val="both"/>
              <w:rPr>
                <w:rFonts w:ascii="Verdana" w:hAnsi="Verdana" w:cs="Arial Narrow"/>
                <w:color w:val="000000"/>
                <w:sz w:val="20"/>
                <w:szCs w:val="20"/>
                <w:lang w:val="bg-BG" w:eastAsia="bg-BG"/>
              </w:rPr>
            </w:pPr>
            <w:r w:rsidRPr="00B45B4F">
              <w:rPr>
                <w:rFonts w:ascii="Verdana" w:hAnsi="Verdana"/>
                <w:b/>
                <w:sz w:val="20"/>
                <w:szCs w:val="20"/>
                <w:lang w:val="bg-BG"/>
              </w:rPr>
              <w:t>Инвестиционен приоритет 1</w:t>
            </w:r>
            <w:r w:rsidRPr="00B45B4F">
              <w:rPr>
                <w:rFonts w:ascii="Verdana" w:hAnsi="Verdana"/>
                <w:sz w:val="20"/>
                <w:szCs w:val="20"/>
                <w:lang w:val="bg-BG"/>
              </w:rPr>
              <w:t xml:space="preserve">. </w:t>
            </w:r>
            <w:r w:rsidR="00543A7A" w:rsidRPr="00F86D34">
              <w:rPr>
                <w:rFonts w:ascii="Verdana" w:hAnsi="Verdana" w:cs="Arial Narrow"/>
                <w:i/>
                <w:color w:val="000000"/>
                <w:sz w:val="20"/>
                <w:szCs w:val="20"/>
                <w:lang w:val="bg-BG" w:eastAsia="bg-BG"/>
              </w:rPr>
              <w:t>Укрепване на инфраструктурата, необходима за научноизследователска и иновационна дейност (НИД) и на капацитета за реализиране на достижения в областта на научноизследователската и иновационната дейност и насърчаване на центрове на компетентност, по-специално центрове, които са от интерес за Европа</w:t>
            </w:r>
            <w:r w:rsidR="00772D54" w:rsidRPr="00F86D34">
              <w:rPr>
                <w:rFonts w:ascii="Verdana" w:hAnsi="Verdana" w:cs="Arial Narrow"/>
                <w:i/>
                <w:color w:val="000000"/>
                <w:sz w:val="20"/>
                <w:szCs w:val="20"/>
                <w:lang w:val="bg-BG" w:eastAsia="bg-BG"/>
              </w:rPr>
              <w:t>.</w:t>
            </w:r>
          </w:p>
        </w:tc>
      </w:tr>
      <w:tr w:rsidR="00711296" w:rsidRPr="00B45B4F" w:rsidTr="00F55866">
        <w:trPr>
          <w:tblCellSpacing w:w="11" w:type="dxa"/>
        </w:trPr>
        <w:tc>
          <w:tcPr>
            <w:tcW w:w="1638" w:type="dxa"/>
            <w:shd w:val="clear" w:color="auto" w:fill="FDE9D9"/>
          </w:tcPr>
          <w:p w:rsidR="00711296" w:rsidRPr="00B45B4F" w:rsidRDefault="00711296" w:rsidP="00757B38">
            <w:pPr>
              <w:pStyle w:val="BodyText"/>
              <w:spacing w:before="120" w:line="276" w:lineRule="auto"/>
              <w:rPr>
                <w:rFonts w:ascii="Verdana" w:hAnsi="Verdana"/>
                <w:sz w:val="20"/>
                <w:szCs w:val="20"/>
              </w:rPr>
            </w:pPr>
            <w:r w:rsidRPr="00B45B4F">
              <w:rPr>
                <w:rFonts w:ascii="Verdana" w:hAnsi="Verdana"/>
                <w:sz w:val="20"/>
                <w:szCs w:val="20"/>
              </w:rPr>
              <w:t xml:space="preserve">Нужди, инвестиционен приоритет и специфична цел </w:t>
            </w:r>
          </w:p>
        </w:tc>
        <w:tc>
          <w:tcPr>
            <w:tcW w:w="7386" w:type="dxa"/>
            <w:shd w:val="clear" w:color="auto" w:fill="DBE5F1"/>
          </w:tcPr>
          <w:p w:rsidR="003E1DB6" w:rsidRPr="00B45B4F" w:rsidRDefault="003E1DB6" w:rsidP="0055585E">
            <w:pPr>
              <w:pStyle w:val="BodyText"/>
              <w:spacing w:before="120" w:line="276" w:lineRule="auto"/>
              <w:jc w:val="both"/>
              <w:rPr>
                <w:rFonts w:ascii="Verdana" w:hAnsi="Verdana"/>
                <w:sz w:val="20"/>
                <w:szCs w:val="20"/>
              </w:rPr>
            </w:pPr>
            <w:r w:rsidRPr="00B45B4F">
              <w:rPr>
                <w:rFonts w:ascii="Verdana" w:hAnsi="Verdana"/>
                <w:sz w:val="20"/>
                <w:szCs w:val="20"/>
              </w:rPr>
              <w:t>Инвестиционния</w:t>
            </w:r>
            <w:r w:rsidR="00F80489" w:rsidRPr="00B45B4F">
              <w:rPr>
                <w:rFonts w:ascii="Verdana" w:hAnsi="Verdana"/>
                <w:sz w:val="20"/>
                <w:szCs w:val="20"/>
              </w:rPr>
              <w:t>т</w:t>
            </w:r>
            <w:r w:rsidRPr="00B45B4F">
              <w:rPr>
                <w:rFonts w:ascii="Verdana" w:hAnsi="Verdana"/>
                <w:sz w:val="20"/>
                <w:szCs w:val="20"/>
              </w:rPr>
              <w:t xml:space="preserve"> приоритет е разписан в две специфични цели</w:t>
            </w:r>
            <w:r w:rsidR="0031370A" w:rsidRPr="00B45B4F">
              <w:rPr>
                <w:rFonts w:ascii="Verdana" w:hAnsi="Verdana"/>
                <w:sz w:val="20"/>
                <w:szCs w:val="20"/>
              </w:rPr>
              <w:t>, които адресират темите посочени в приоритета</w:t>
            </w:r>
            <w:r w:rsidRPr="00B45B4F">
              <w:rPr>
                <w:rFonts w:ascii="Verdana" w:hAnsi="Verdana"/>
                <w:sz w:val="20"/>
                <w:szCs w:val="20"/>
              </w:rPr>
              <w:t xml:space="preserve">: (1) </w:t>
            </w:r>
            <w:r w:rsidR="0046665B">
              <w:rPr>
                <w:rFonts w:ascii="Verdana" w:hAnsi="Verdana"/>
                <w:sz w:val="20"/>
                <w:szCs w:val="20"/>
              </w:rPr>
              <w:t xml:space="preserve">модернизиране на съществуващи и </w:t>
            </w:r>
            <w:r w:rsidR="0031370A" w:rsidRPr="00B45B4F">
              <w:rPr>
                <w:rFonts w:ascii="Verdana" w:hAnsi="Verdana"/>
                <w:sz w:val="20"/>
                <w:szCs w:val="20"/>
              </w:rPr>
              <w:t>и</w:t>
            </w:r>
            <w:r w:rsidRPr="00B45B4F">
              <w:rPr>
                <w:rFonts w:ascii="Verdana" w:hAnsi="Verdana"/>
                <w:sz w:val="20"/>
                <w:szCs w:val="20"/>
              </w:rPr>
              <w:t xml:space="preserve">зграждане на </w:t>
            </w:r>
            <w:r w:rsidR="0046665B">
              <w:rPr>
                <w:rFonts w:ascii="Verdana" w:hAnsi="Verdana"/>
                <w:sz w:val="20"/>
                <w:szCs w:val="20"/>
              </w:rPr>
              <w:t xml:space="preserve">нови </w:t>
            </w:r>
            <w:r w:rsidRPr="00B45B4F">
              <w:rPr>
                <w:rFonts w:ascii="Verdana" w:hAnsi="Verdana"/>
                <w:sz w:val="20"/>
                <w:szCs w:val="20"/>
              </w:rPr>
              <w:t xml:space="preserve">центрове за върхови постижения и центрове за компетентност и (2) </w:t>
            </w:r>
            <w:r w:rsidR="0046665B">
              <w:rPr>
                <w:rFonts w:ascii="Verdana" w:hAnsi="Verdana"/>
                <w:sz w:val="20"/>
                <w:szCs w:val="20"/>
              </w:rPr>
              <w:t>развитие на научноизследователска</w:t>
            </w:r>
            <w:r w:rsidRPr="00B45B4F">
              <w:rPr>
                <w:rFonts w:ascii="Verdana" w:hAnsi="Verdana"/>
                <w:sz w:val="20"/>
                <w:szCs w:val="20"/>
              </w:rPr>
              <w:t xml:space="preserve"> инфраструктура.</w:t>
            </w:r>
          </w:p>
          <w:p w:rsidR="0055585E" w:rsidRPr="00B45B4F" w:rsidRDefault="0055585E" w:rsidP="005514BE">
            <w:pPr>
              <w:pStyle w:val="BodyText"/>
              <w:spacing w:before="120" w:line="276" w:lineRule="auto"/>
              <w:jc w:val="both"/>
              <w:rPr>
                <w:rFonts w:ascii="Verdana" w:hAnsi="Verdana"/>
                <w:sz w:val="20"/>
                <w:szCs w:val="20"/>
              </w:rPr>
            </w:pPr>
            <w:r w:rsidRPr="00B45B4F">
              <w:rPr>
                <w:rFonts w:ascii="Verdana" w:hAnsi="Verdana"/>
                <w:sz w:val="20"/>
                <w:szCs w:val="20"/>
              </w:rPr>
              <w:t xml:space="preserve">Обосновката на първата специфична цел </w:t>
            </w:r>
            <w:r w:rsidR="00BD56E6">
              <w:rPr>
                <w:rFonts w:ascii="Verdana" w:hAnsi="Verdana"/>
                <w:sz w:val="20"/>
                <w:szCs w:val="20"/>
              </w:rPr>
              <w:t>предоставя информация</w:t>
            </w:r>
            <w:r w:rsidR="002D4C3A">
              <w:rPr>
                <w:rFonts w:ascii="Verdana" w:hAnsi="Verdana"/>
                <w:sz w:val="20"/>
                <w:szCs w:val="20"/>
              </w:rPr>
              <w:t xml:space="preserve"> </w:t>
            </w:r>
            <w:r w:rsidR="00BD56E6">
              <w:rPr>
                <w:rFonts w:ascii="Verdana" w:hAnsi="Verdana"/>
                <w:sz w:val="20"/>
                <w:szCs w:val="20"/>
              </w:rPr>
              <w:t xml:space="preserve">за съществуващи </w:t>
            </w:r>
            <w:r w:rsidR="00BC53E7" w:rsidRPr="00B45B4F">
              <w:rPr>
                <w:rFonts w:ascii="Verdana" w:hAnsi="Verdana"/>
                <w:sz w:val="20"/>
                <w:szCs w:val="20"/>
              </w:rPr>
              <w:t xml:space="preserve">центрове </w:t>
            </w:r>
            <w:r w:rsidR="00BD56E6">
              <w:rPr>
                <w:rFonts w:ascii="Verdana" w:hAnsi="Verdana"/>
                <w:sz w:val="20"/>
                <w:szCs w:val="20"/>
              </w:rPr>
              <w:t>и</w:t>
            </w:r>
            <w:r w:rsidR="002D4C3A">
              <w:rPr>
                <w:rFonts w:ascii="Verdana" w:hAnsi="Verdana"/>
                <w:sz w:val="20"/>
                <w:szCs w:val="20"/>
              </w:rPr>
              <w:t xml:space="preserve"> </w:t>
            </w:r>
            <w:r w:rsidR="000568C3" w:rsidRPr="00B45B4F">
              <w:rPr>
                <w:rFonts w:ascii="Verdana" w:hAnsi="Verdana"/>
                <w:sz w:val="20"/>
                <w:szCs w:val="20"/>
              </w:rPr>
              <w:t xml:space="preserve">натрупан </w:t>
            </w:r>
            <w:r w:rsidRPr="00B45B4F">
              <w:rPr>
                <w:rFonts w:ascii="Verdana" w:hAnsi="Verdana"/>
                <w:sz w:val="20"/>
                <w:szCs w:val="20"/>
              </w:rPr>
              <w:t>предишен опит.</w:t>
            </w:r>
            <w:r w:rsidR="002D4C3A">
              <w:rPr>
                <w:rFonts w:ascii="Verdana" w:hAnsi="Verdana"/>
                <w:sz w:val="20"/>
                <w:szCs w:val="20"/>
              </w:rPr>
              <w:t xml:space="preserve"> Текстът</w:t>
            </w:r>
            <w:r w:rsidR="002E35DB">
              <w:rPr>
                <w:rFonts w:ascii="Verdana" w:hAnsi="Verdana"/>
                <w:sz w:val="20"/>
                <w:szCs w:val="20"/>
              </w:rPr>
              <w:t xml:space="preserve"> се нуждае от структуриране, така че да се избегне посочването на всички финансирани проекти по 7ма рамкова програма</w:t>
            </w:r>
            <w:r w:rsidR="00F33701">
              <w:rPr>
                <w:rFonts w:ascii="Verdana" w:hAnsi="Verdana"/>
                <w:sz w:val="20"/>
                <w:szCs w:val="20"/>
              </w:rPr>
              <w:t>.</w:t>
            </w:r>
            <w:r w:rsidR="002D4C3A">
              <w:rPr>
                <w:rFonts w:ascii="Verdana" w:hAnsi="Verdana"/>
                <w:sz w:val="20"/>
                <w:szCs w:val="20"/>
              </w:rPr>
              <w:t xml:space="preserve"> </w:t>
            </w:r>
            <w:r w:rsidR="00F33701">
              <w:rPr>
                <w:rFonts w:ascii="Verdana" w:hAnsi="Verdana"/>
                <w:sz w:val="20"/>
                <w:szCs w:val="20"/>
              </w:rPr>
              <w:t xml:space="preserve">Редакцията трябва да е в посока на обобщаване и анализ на </w:t>
            </w:r>
            <w:r w:rsidR="002E35DB">
              <w:rPr>
                <w:rFonts w:ascii="Verdana" w:hAnsi="Verdana"/>
                <w:sz w:val="20"/>
                <w:szCs w:val="20"/>
              </w:rPr>
              <w:t xml:space="preserve">работата и ефективността на съществуващите центрове. </w:t>
            </w:r>
            <w:r w:rsidR="00BD56E6">
              <w:rPr>
                <w:rFonts w:ascii="Verdana" w:hAnsi="Verdana"/>
                <w:sz w:val="20"/>
                <w:szCs w:val="20"/>
              </w:rPr>
              <w:t xml:space="preserve">Посочено е значението на центровете за подобряване на изключително ниските показатели на страната в областта на научните изследвания и приносът им за подобряване на конкурентоспособността на икономиката. </w:t>
            </w:r>
            <w:r w:rsidR="005514BE" w:rsidRPr="00B45B4F">
              <w:rPr>
                <w:rFonts w:ascii="Verdana" w:hAnsi="Verdana"/>
                <w:sz w:val="20"/>
                <w:szCs w:val="20"/>
              </w:rPr>
              <w:t>Относно областите, в които центровете ще бъдат изграждани, обосновката се позовава на Националната стратегия за развитие на научните изследвания и Иновационната стратегия за интелигентна специализация</w:t>
            </w:r>
            <w:r w:rsidR="00F33701">
              <w:rPr>
                <w:rFonts w:ascii="Verdana" w:hAnsi="Verdana"/>
                <w:sz w:val="20"/>
                <w:szCs w:val="20"/>
              </w:rPr>
              <w:t xml:space="preserve">. В допълнение </w:t>
            </w:r>
            <w:r w:rsidR="009E3DB8">
              <w:rPr>
                <w:rFonts w:ascii="Verdana" w:hAnsi="Verdana"/>
                <w:sz w:val="20"/>
                <w:szCs w:val="20"/>
              </w:rPr>
              <w:t xml:space="preserve">са анализирани областите, </w:t>
            </w:r>
            <w:r w:rsidR="002E35DB">
              <w:rPr>
                <w:rFonts w:ascii="Verdana" w:hAnsi="Verdana"/>
                <w:sz w:val="20"/>
                <w:szCs w:val="20"/>
              </w:rPr>
              <w:t>които са от значение за страната и областите където са показани добри резултати. Направен е и анализ за ситуирането на научноизследователските организации на територията на страната.</w:t>
            </w:r>
          </w:p>
          <w:p w:rsidR="00813A31" w:rsidRPr="00B45B4F" w:rsidRDefault="00FB3AF7" w:rsidP="00065C14">
            <w:pPr>
              <w:pStyle w:val="BodyText"/>
              <w:spacing w:before="120" w:line="276" w:lineRule="auto"/>
              <w:jc w:val="both"/>
              <w:rPr>
                <w:rFonts w:ascii="Verdana" w:hAnsi="Verdana"/>
                <w:sz w:val="20"/>
                <w:szCs w:val="20"/>
              </w:rPr>
            </w:pPr>
            <w:r>
              <w:rPr>
                <w:rFonts w:ascii="Verdana" w:hAnsi="Verdana"/>
                <w:sz w:val="20"/>
                <w:szCs w:val="20"/>
              </w:rPr>
              <w:t>В обосновката на втората специфична цел е п</w:t>
            </w:r>
            <w:r w:rsidR="009729BF">
              <w:rPr>
                <w:rFonts w:ascii="Verdana" w:hAnsi="Verdana"/>
                <w:sz w:val="20"/>
                <w:szCs w:val="20"/>
              </w:rPr>
              <w:t xml:space="preserve">осочено значението на научноизследователската инфраструктура за икономиката и обществото. Анализирани са институциите, които имат капацитет </w:t>
            </w:r>
            <w:r w:rsidR="009729BF">
              <w:rPr>
                <w:rFonts w:ascii="Verdana" w:hAnsi="Verdana"/>
                <w:sz w:val="20"/>
                <w:szCs w:val="20"/>
              </w:rPr>
              <w:lastRenderedPageBreak/>
              <w:t xml:space="preserve">и области, където не е предоставяно финансиране, но съществува потенциал за развитие. Оценено е и териториалното разпределение на съществуващата научноизследователска инфраструктура. Специфичната цел предвижда целево финансиране за модернизиране и изграждане на научна инфраструктура в институти и висши учебни заведения, включително инвестиции в информационна и комуникационна инфраструктура, особено тези които са разположени в по-слабо развитите части на страната. Подкрепа ще получат и идентифицираните обекти в Националната пътна карта за научна инфраструктура с цел изграждане на </w:t>
            </w:r>
            <w:r w:rsidR="009729BF" w:rsidRPr="00FE5A49">
              <w:rPr>
                <w:rFonts w:ascii="Verdana" w:hAnsi="Verdana"/>
                <w:sz w:val="20"/>
                <w:szCs w:val="20"/>
              </w:rPr>
              <w:t>регионални партньорски съоръжения (РПС) и/ или разпределени възли към паневропейските научни съоръжения.</w:t>
            </w:r>
            <w:r w:rsidR="002D4C3A">
              <w:rPr>
                <w:rFonts w:ascii="Verdana" w:hAnsi="Verdana"/>
                <w:sz w:val="20"/>
                <w:szCs w:val="20"/>
              </w:rPr>
              <w:t xml:space="preserve"> </w:t>
            </w:r>
            <w:r w:rsidR="00813A31" w:rsidRPr="00B45B4F">
              <w:rPr>
                <w:rFonts w:ascii="Verdana" w:hAnsi="Verdana"/>
                <w:sz w:val="20"/>
                <w:szCs w:val="20"/>
              </w:rPr>
              <w:t xml:space="preserve">Не е </w:t>
            </w:r>
            <w:r w:rsidR="00DA7B97" w:rsidRPr="00B45B4F">
              <w:rPr>
                <w:rFonts w:ascii="Verdana" w:hAnsi="Verdana"/>
                <w:sz w:val="20"/>
                <w:szCs w:val="20"/>
              </w:rPr>
              <w:t xml:space="preserve">коментирано евентуално участие </w:t>
            </w:r>
            <w:r w:rsidR="00813A31" w:rsidRPr="00B45B4F">
              <w:rPr>
                <w:rFonts w:ascii="Verdana" w:hAnsi="Verdana"/>
                <w:sz w:val="20"/>
                <w:szCs w:val="20"/>
              </w:rPr>
              <w:t>или партньорство с бизнеса.</w:t>
            </w:r>
          </w:p>
        </w:tc>
      </w:tr>
      <w:tr w:rsidR="00711296" w:rsidRPr="00B45B4F" w:rsidTr="00F55866">
        <w:trPr>
          <w:tblCellSpacing w:w="11" w:type="dxa"/>
        </w:trPr>
        <w:tc>
          <w:tcPr>
            <w:tcW w:w="1638" w:type="dxa"/>
            <w:shd w:val="clear" w:color="auto" w:fill="FDE9D9"/>
          </w:tcPr>
          <w:p w:rsidR="00711296" w:rsidRPr="00B45B4F" w:rsidRDefault="00711296" w:rsidP="00757B38">
            <w:pPr>
              <w:pStyle w:val="BodyText"/>
              <w:spacing w:before="120" w:line="276" w:lineRule="auto"/>
              <w:rPr>
                <w:rFonts w:ascii="Verdana" w:hAnsi="Verdana"/>
                <w:sz w:val="20"/>
                <w:szCs w:val="20"/>
              </w:rPr>
            </w:pPr>
            <w:r w:rsidRPr="00B45B4F">
              <w:rPr>
                <w:rFonts w:ascii="Verdana" w:hAnsi="Verdana"/>
                <w:sz w:val="20"/>
                <w:szCs w:val="20"/>
              </w:rPr>
              <w:lastRenderedPageBreak/>
              <w:t>Нужди и предвидени дейности</w:t>
            </w:r>
          </w:p>
        </w:tc>
        <w:tc>
          <w:tcPr>
            <w:tcW w:w="7386" w:type="dxa"/>
            <w:shd w:val="clear" w:color="auto" w:fill="C6D9F1"/>
          </w:tcPr>
          <w:p w:rsidR="00711296" w:rsidRPr="00B45B4F" w:rsidRDefault="00D87E2D" w:rsidP="00065C14">
            <w:pPr>
              <w:pStyle w:val="BodyText"/>
              <w:spacing w:before="120" w:line="276" w:lineRule="auto"/>
              <w:jc w:val="both"/>
              <w:rPr>
                <w:rFonts w:ascii="Verdana" w:hAnsi="Verdana"/>
                <w:sz w:val="20"/>
                <w:szCs w:val="20"/>
              </w:rPr>
            </w:pPr>
            <w:r w:rsidRPr="00B45B4F">
              <w:rPr>
                <w:rFonts w:ascii="Verdana" w:hAnsi="Verdana"/>
                <w:sz w:val="20"/>
                <w:szCs w:val="20"/>
              </w:rPr>
              <w:t>В</w:t>
            </w:r>
            <w:r w:rsidR="00CB587B" w:rsidRPr="00B45B4F">
              <w:rPr>
                <w:rFonts w:ascii="Verdana" w:hAnsi="Verdana"/>
                <w:sz w:val="20"/>
                <w:szCs w:val="20"/>
              </w:rPr>
              <w:t xml:space="preserve"> т.2.А.2.1 </w:t>
            </w:r>
            <w:r w:rsidRPr="00B45B4F">
              <w:rPr>
                <w:rFonts w:ascii="Verdana" w:hAnsi="Verdana"/>
                <w:sz w:val="20"/>
                <w:szCs w:val="20"/>
              </w:rPr>
              <w:t xml:space="preserve">са изброени примерни </w:t>
            </w:r>
            <w:r w:rsidR="00CB587B" w:rsidRPr="00B45B4F">
              <w:rPr>
                <w:rFonts w:ascii="Verdana" w:hAnsi="Verdana"/>
                <w:sz w:val="20"/>
                <w:szCs w:val="20"/>
              </w:rPr>
              <w:t>дейности</w:t>
            </w:r>
            <w:r w:rsidRPr="00B45B4F">
              <w:rPr>
                <w:rFonts w:ascii="Verdana" w:hAnsi="Verdana"/>
                <w:sz w:val="20"/>
                <w:szCs w:val="20"/>
              </w:rPr>
              <w:t>, които са</w:t>
            </w:r>
            <w:r w:rsidR="00CB587B" w:rsidRPr="00B45B4F">
              <w:rPr>
                <w:rFonts w:ascii="Verdana" w:hAnsi="Verdana"/>
                <w:sz w:val="20"/>
                <w:szCs w:val="20"/>
              </w:rPr>
              <w:t xml:space="preserve"> адекватни </w:t>
            </w:r>
            <w:r w:rsidR="00505682">
              <w:rPr>
                <w:rFonts w:ascii="Verdana" w:hAnsi="Verdana"/>
                <w:sz w:val="20"/>
                <w:szCs w:val="20"/>
              </w:rPr>
              <w:t>към заложените цели.</w:t>
            </w:r>
          </w:p>
        </w:tc>
      </w:tr>
      <w:tr w:rsidR="00EC0769" w:rsidRPr="00B45B4F" w:rsidTr="00F55866">
        <w:trPr>
          <w:tblCellSpacing w:w="11" w:type="dxa"/>
        </w:trPr>
        <w:tc>
          <w:tcPr>
            <w:tcW w:w="1638" w:type="dxa"/>
            <w:shd w:val="clear" w:color="auto" w:fill="FDE9D9"/>
          </w:tcPr>
          <w:p w:rsidR="00EC0769" w:rsidRPr="00B45B4F" w:rsidRDefault="00EC0769" w:rsidP="00D65F4D">
            <w:pPr>
              <w:pStyle w:val="BodyText"/>
              <w:spacing w:before="120" w:line="276" w:lineRule="auto"/>
              <w:rPr>
                <w:rFonts w:ascii="Verdana" w:hAnsi="Verdana"/>
                <w:sz w:val="20"/>
                <w:szCs w:val="20"/>
              </w:rPr>
            </w:pPr>
            <w:r w:rsidRPr="00B45B4F">
              <w:rPr>
                <w:rFonts w:ascii="Verdana" w:hAnsi="Verdana"/>
                <w:sz w:val="20"/>
                <w:szCs w:val="20"/>
              </w:rPr>
              <w:t>Индикатори за продукт и предвидени дейности</w:t>
            </w:r>
          </w:p>
        </w:tc>
        <w:tc>
          <w:tcPr>
            <w:tcW w:w="7386" w:type="dxa"/>
            <w:shd w:val="clear" w:color="auto" w:fill="DBE5F1"/>
          </w:tcPr>
          <w:p w:rsidR="00EC0769" w:rsidRPr="00B45B4F" w:rsidRDefault="004B397A" w:rsidP="004B397A">
            <w:pPr>
              <w:pStyle w:val="BodyText"/>
              <w:spacing w:before="120" w:line="276" w:lineRule="auto"/>
              <w:jc w:val="both"/>
              <w:rPr>
                <w:rFonts w:ascii="Verdana" w:hAnsi="Verdana"/>
                <w:i/>
                <w:sz w:val="20"/>
                <w:szCs w:val="20"/>
              </w:rPr>
            </w:pPr>
            <w:r w:rsidRPr="00B45B4F">
              <w:rPr>
                <w:rFonts w:ascii="Verdana" w:hAnsi="Verdana"/>
                <w:sz w:val="20"/>
                <w:szCs w:val="20"/>
              </w:rPr>
              <w:t>Предвидени са два индикатора за продукт</w:t>
            </w:r>
            <w:r w:rsidR="004F6CC2">
              <w:rPr>
                <w:rFonts w:ascii="Verdana" w:hAnsi="Verdana"/>
                <w:sz w:val="20"/>
                <w:szCs w:val="20"/>
              </w:rPr>
              <w:t>, които са уместни и отговарят на общите индикатори на Регламент 1301/2013 г.</w:t>
            </w:r>
            <w:r w:rsidRPr="00B45B4F">
              <w:rPr>
                <w:rFonts w:ascii="Verdana" w:hAnsi="Verdana"/>
                <w:sz w:val="20"/>
                <w:szCs w:val="20"/>
              </w:rPr>
              <w:t>:</w:t>
            </w:r>
          </w:p>
          <w:p w:rsidR="004B397A" w:rsidRPr="004F6CC2" w:rsidRDefault="00E95827" w:rsidP="006861B0">
            <w:pPr>
              <w:pStyle w:val="BodyText"/>
              <w:numPr>
                <w:ilvl w:val="0"/>
                <w:numId w:val="21"/>
              </w:numPr>
              <w:spacing w:before="120" w:line="276" w:lineRule="auto"/>
              <w:jc w:val="both"/>
              <w:rPr>
                <w:rFonts w:ascii="Verdana" w:hAnsi="Verdana"/>
                <w:i/>
                <w:sz w:val="20"/>
                <w:szCs w:val="20"/>
              </w:rPr>
            </w:pPr>
            <w:r w:rsidRPr="004F6CC2">
              <w:rPr>
                <w:rFonts w:ascii="Verdana" w:hAnsi="Verdana"/>
                <w:i/>
                <w:sz w:val="20"/>
                <w:szCs w:val="20"/>
              </w:rPr>
              <w:t>Брой изследователи, работещи в подобрени инфраструктури за научни изследвания</w:t>
            </w:r>
            <w:r w:rsidR="005643D9" w:rsidRPr="004F6CC2">
              <w:rPr>
                <w:rFonts w:ascii="Verdana" w:hAnsi="Verdana"/>
                <w:i/>
                <w:sz w:val="20"/>
                <w:szCs w:val="20"/>
              </w:rPr>
              <w:t>;</w:t>
            </w:r>
          </w:p>
          <w:p w:rsidR="00E95827" w:rsidRPr="00B45B4F" w:rsidRDefault="00E95827" w:rsidP="006861B0">
            <w:pPr>
              <w:pStyle w:val="BodyText"/>
              <w:numPr>
                <w:ilvl w:val="0"/>
                <w:numId w:val="21"/>
              </w:numPr>
              <w:spacing w:before="120" w:line="276" w:lineRule="auto"/>
              <w:jc w:val="both"/>
              <w:rPr>
                <w:rFonts w:ascii="Verdana" w:hAnsi="Verdana"/>
                <w:i/>
                <w:sz w:val="20"/>
                <w:szCs w:val="20"/>
              </w:rPr>
            </w:pPr>
            <w:r w:rsidRPr="004F6CC2">
              <w:rPr>
                <w:rFonts w:ascii="Verdana" w:hAnsi="Verdana"/>
                <w:i/>
                <w:sz w:val="20"/>
                <w:szCs w:val="20"/>
              </w:rPr>
              <w:t xml:space="preserve">Брой нови изследователи в подпомогнатите </w:t>
            </w:r>
            <w:r w:rsidR="005643D9" w:rsidRPr="004F6CC2">
              <w:rPr>
                <w:rFonts w:ascii="Verdana" w:hAnsi="Verdana"/>
                <w:i/>
                <w:sz w:val="20"/>
                <w:szCs w:val="20"/>
              </w:rPr>
              <w:t>центрове за върхови постижения и центрове за компетентност.</w:t>
            </w:r>
          </w:p>
        </w:tc>
      </w:tr>
      <w:tr w:rsidR="00EC0769" w:rsidRPr="00B45B4F" w:rsidTr="00F55866">
        <w:trPr>
          <w:tblCellSpacing w:w="11" w:type="dxa"/>
        </w:trPr>
        <w:tc>
          <w:tcPr>
            <w:tcW w:w="1638" w:type="dxa"/>
            <w:shd w:val="clear" w:color="auto" w:fill="FDE9D9"/>
          </w:tcPr>
          <w:p w:rsidR="00EC0769" w:rsidRPr="00B45B4F" w:rsidRDefault="00EC0769" w:rsidP="00D65F4D">
            <w:pPr>
              <w:pStyle w:val="BodyText"/>
              <w:spacing w:before="120" w:line="276" w:lineRule="auto"/>
              <w:rPr>
                <w:rFonts w:ascii="Verdana" w:hAnsi="Verdana"/>
                <w:sz w:val="20"/>
                <w:szCs w:val="20"/>
              </w:rPr>
            </w:pPr>
            <w:r w:rsidRPr="00B45B4F">
              <w:rPr>
                <w:rFonts w:ascii="Verdana" w:hAnsi="Verdana"/>
                <w:sz w:val="20"/>
                <w:szCs w:val="20"/>
              </w:rPr>
              <w:t>Индикатори за резултат и специфични цели</w:t>
            </w:r>
          </w:p>
        </w:tc>
        <w:tc>
          <w:tcPr>
            <w:tcW w:w="7386" w:type="dxa"/>
            <w:shd w:val="clear" w:color="auto" w:fill="C6D9F1"/>
          </w:tcPr>
          <w:p w:rsidR="00E95827" w:rsidRPr="00B45B4F" w:rsidRDefault="00E95827" w:rsidP="00E95827">
            <w:pPr>
              <w:pStyle w:val="BodyText"/>
              <w:spacing w:before="120" w:line="276" w:lineRule="auto"/>
              <w:jc w:val="both"/>
              <w:rPr>
                <w:rFonts w:ascii="Verdana" w:hAnsi="Verdana"/>
                <w:sz w:val="20"/>
                <w:szCs w:val="20"/>
              </w:rPr>
            </w:pPr>
            <w:r w:rsidRPr="00B45B4F">
              <w:rPr>
                <w:rFonts w:ascii="Verdana" w:hAnsi="Verdana"/>
                <w:sz w:val="20"/>
                <w:szCs w:val="20"/>
              </w:rPr>
              <w:t>Предвиден</w:t>
            </w:r>
            <w:r w:rsidR="004F6CC2">
              <w:rPr>
                <w:rFonts w:ascii="Verdana" w:hAnsi="Verdana"/>
                <w:sz w:val="20"/>
                <w:szCs w:val="20"/>
              </w:rPr>
              <w:t xml:space="preserve"> е един</w:t>
            </w:r>
            <w:r w:rsidRPr="00B45B4F">
              <w:rPr>
                <w:rFonts w:ascii="Verdana" w:hAnsi="Verdana"/>
                <w:sz w:val="20"/>
                <w:szCs w:val="20"/>
              </w:rPr>
              <w:t xml:space="preserve"> индикатор за резултат</w:t>
            </w:r>
            <w:r w:rsidR="005643D9">
              <w:rPr>
                <w:rFonts w:ascii="Verdana" w:hAnsi="Verdana"/>
                <w:sz w:val="20"/>
                <w:szCs w:val="20"/>
              </w:rPr>
              <w:t>:</w:t>
            </w:r>
          </w:p>
          <w:p w:rsidR="005643D9" w:rsidRPr="004F6CC2" w:rsidRDefault="005643D9" w:rsidP="006861B0">
            <w:pPr>
              <w:pStyle w:val="BodyText"/>
              <w:numPr>
                <w:ilvl w:val="0"/>
                <w:numId w:val="21"/>
              </w:numPr>
              <w:spacing w:before="120" w:line="276" w:lineRule="auto"/>
              <w:jc w:val="both"/>
              <w:rPr>
                <w:rFonts w:ascii="Verdana" w:hAnsi="Verdana"/>
                <w:i/>
                <w:sz w:val="20"/>
                <w:szCs w:val="20"/>
              </w:rPr>
            </w:pPr>
            <w:r w:rsidRPr="004F6CC2">
              <w:rPr>
                <w:rFonts w:ascii="Verdana" w:hAnsi="Verdana"/>
                <w:i/>
                <w:sz w:val="20"/>
                <w:szCs w:val="20"/>
              </w:rPr>
              <w:t>Брой подкрепени центрове за върхови постижения и центрове за компетентност;</w:t>
            </w:r>
          </w:p>
          <w:p w:rsidR="009158D1" w:rsidRPr="00B45B4F" w:rsidRDefault="009158D1" w:rsidP="004F6CC2">
            <w:pPr>
              <w:pStyle w:val="BodyText"/>
              <w:spacing w:before="120" w:line="276" w:lineRule="auto"/>
              <w:jc w:val="both"/>
              <w:rPr>
                <w:rFonts w:ascii="Verdana" w:hAnsi="Verdana"/>
                <w:sz w:val="20"/>
                <w:szCs w:val="20"/>
              </w:rPr>
            </w:pPr>
            <w:r>
              <w:rPr>
                <w:rFonts w:ascii="Verdana" w:hAnsi="Verdana"/>
                <w:sz w:val="20"/>
                <w:szCs w:val="20"/>
              </w:rPr>
              <w:t>Индикаторът е по-скоро индикатор за продукт. Не е предложен индикатор за втората специфична цел.</w:t>
            </w:r>
          </w:p>
        </w:tc>
      </w:tr>
      <w:tr w:rsidR="000F74E8" w:rsidRPr="00B45B4F" w:rsidTr="00F55866">
        <w:trPr>
          <w:tblCellSpacing w:w="11" w:type="dxa"/>
        </w:trPr>
        <w:tc>
          <w:tcPr>
            <w:tcW w:w="9046" w:type="dxa"/>
            <w:gridSpan w:val="2"/>
            <w:shd w:val="clear" w:color="auto" w:fill="FBD4B4"/>
          </w:tcPr>
          <w:p w:rsidR="000F74E8" w:rsidRPr="00B45B4F" w:rsidRDefault="000F74E8" w:rsidP="00F55866">
            <w:pPr>
              <w:autoSpaceDE w:val="0"/>
              <w:autoSpaceDN w:val="0"/>
              <w:adjustRightInd w:val="0"/>
              <w:spacing w:after="0" w:line="288" w:lineRule="auto"/>
              <w:ind w:right="-40"/>
              <w:jc w:val="both"/>
              <w:rPr>
                <w:rFonts w:ascii="Verdana" w:hAnsi="Verdana" w:cs="Arial Narrow"/>
                <w:color w:val="000000"/>
                <w:sz w:val="20"/>
                <w:szCs w:val="20"/>
                <w:lang w:val="bg-BG" w:eastAsia="bg-BG"/>
              </w:rPr>
            </w:pPr>
            <w:r w:rsidRPr="00B45B4F">
              <w:rPr>
                <w:rFonts w:ascii="Verdana" w:hAnsi="Verdana"/>
                <w:b/>
                <w:sz w:val="20"/>
                <w:szCs w:val="20"/>
                <w:lang w:val="bg-BG"/>
              </w:rPr>
              <w:t>Инвестиционен приоритет 2</w:t>
            </w:r>
            <w:r w:rsidRPr="00B45B4F">
              <w:rPr>
                <w:rFonts w:ascii="Verdana" w:hAnsi="Verdana"/>
                <w:sz w:val="20"/>
                <w:szCs w:val="20"/>
                <w:lang w:val="bg-BG"/>
              </w:rPr>
              <w:t xml:space="preserve">.  </w:t>
            </w:r>
            <w:r w:rsidR="00543A7A" w:rsidRPr="00F86D34">
              <w:rPr>
                <w:rFonts w:ascii="Verdana" w:hAnsi="Verdana" w:cs="Arial Narrow"/>
                <w:i/>
                <w:color w:val="000000"/>
                <w:sz w:val="20"/>
                <w:szCs w:val="20"/>
                <w:lang w:val="bg-BG" w:eastAsia="bg-BG"/>
              </w:rPr>
              <w:t xml:space="preserve">Насърчаване на инвестициите на предприятията в НИД, разработване на връзки и взаимодействие между предприятията, центровете за научноизследователска и развойна дейност и сектора на висшите учебни заведения, по-специално поощряване на инвестициите в разработването на продукти и услуги, на трансфера на технологии, на социалната иновация, </w:t>
            </w:r>
            <w:proofErr w:type="spellStart"/>
            <w:r w:rsidR="00543A7A" w:rsidRPr="00F86D34">
              <w:rPr>
                <w:rFonts w:ascii="Verdana" w:hAnsi="Verdana" w:cs="Arial Narrow"/>
                <w:i/>
                <w:color w:val="000000"/>
                <w:sz w:val="20"/>
                <w:szCs w:val="20"/>
                <w:lang w:val="bg-BG" w:eastAsia="bg-BG"/>
              </w:rPr>
              <w:t>екоиновациите</w:t>
            </w:r>
            <w:proofErr w:type="spellEnd"/>
            <w:r w:rsidR="00543A7A" w:rsidRPr="00F86D34">
              <w:rPr>
                <w:rFonts w:ascii="Verdana" w:hAnsi="Verdana" w:cs="Arial Narrow"/>
                <w:i/>
                <w:color w:val="000000"/>
                <w:sz w:val="20"/>
                <w:szCs w:val="20"/>
                <w:lang w:val="bg-BG" w:eastAsia="bg-BG"/>
              </w:rPr>
              <w:t xml:space="preserve"> и приложенията за публични услуги, на стимулирането на търсенето, на изграждането на мрежи, на клъстерите и на отворените иновации посредством интелигентна специализация и подпомагане на технологичните и приложните научни изследвания, пилотни линии, действия за одобрение на продуктите на начален етап, усъвършенствани производствени възможности и пилотно производство, по-специално в ключови базови технологии, както и разпространението на технологии с общо предназначение</w:t>
            </w:r>
            <w:r w:rsidR="00772D54" w:rsidRPr="00F86D34">
              <w:rPr>
                <w:rFonts w:ascii="Verdana" w:hAnsi="Verdana" w:cs="Arial Narrow"/>
                <w:i/>
                <w:color w:val="000000"/>
                <w:sz w:val="20"/>
                <w:szCs w:val="20"/>
                <w:lang w:val="bg-BG" w:eastAsia="bg-BG"/>
              </w:rPr>
              <w:t>.</w:t>
            </w:r>
          </w:p>
        </w:tc>
      </w:tr>
      <w:tr w:rsidR="000F74E8" w:rsidRPr="00B45B4F" w:rsidTr="00F55866">
        <w:trPr>
          <w:tblCellSpacing w:w="11" w:type="dxa"/>
        </w:trPr>
        <w:tc>
          <w:tcPr>
            <w:tcW w:w="1638" w:type="dxa"/>
            <w:shd w:val="clear" w:color="auto" w:fill="FDE9D9"/>
          </w:tcPr>
          <w:p w:rsidR="000F74E8" w:rsidRPr="00B45B4F" w:rsidRDefault="000F74E8" w:rsidP="000F74E8">
            <w:pPr>
              <w:pStyle w:val="BodyText"/>
              <w:spacing w:before="120" w:line="276" w:lineRule="auto"/>
              <w:rPr>
                <w:rFonts w:ascii="Verdana" w:hAnsi="Verdana"/>
                <w:sz w:val="20"/>
                <w:szCs w:val="20"/>
              </w:rPr>
            </w:pPr>
            <w:r w:rsidRPr="00B45B4F">
              <w:rPr>
                <w:rFonts w:ascii="Verdana" w:hAnsi="Verdana"/>
                <w:sz w:val="20"/>
                <w:szCs w:val="20"/>
              </w:rPr>
              <w:lastRenderedPageBreak/>
              <w:t xml:space="preserve">Нужди, инвестиционен приоритет и специфична цел </w:t>
            </w:r>
          </w:p>
        </w:tc>
        <w:tc>
          <w:tcPr>
            <w:tcW w:w="7386" w:type="dxa"/>
            <w:shd w:val="clear" w:color="auto" w:fill="DBE5F1"/>
          </w:tcPr>
          <w:p w:rsidR="000F74E8" w:rsidRPr="00B45B4F" w:rsidRDefault="008154FA" w:rsidP="000F74E8">
            <w:pPr>
              <w:pStyle w:val="BodyText"/>
              <w:spacing w:before="120" w:line="276" w:lineRule="auto"/>
              <w:jc w:val="both"/>
              <w:rPr>
                <w:rFonts w:ascii="Verdana" w:hAnsi="Verdana"/>
                <w:sz w:val="20"/>
                <w:szCs w:val="20"/>
              </w:rPr>
            </w:pPr>
            <w:r w:rsidRPr="00B45B4F">
              <w:rPr>
                <w:rFonts w:ascii="Verdana" w:hAnsi="Verdana"/>
                <w:sz w:val="20"/>
                <w:szCs w:val="20"/>
              </w:rPr>
              <w:t>Инвестиционният приоритет е разписан в една специфична цел за подкрепа за приложни изследвания и експериментално развитие в приоритетни за икономиката области.</w:t>
            </w:r>
          </w:p>
          <w:p w:rsidR="00C45E8A" w:rsidRPr="00B45B4F" w:rsidRDefault="00C45E8A" w:rsidP="00265D85">
            <w:pPr>
              <w:pStyle w:val="BodyText"/>
              <w:spacing w:before="120" w:line="276" w:lineRule="auto"/>
              <w:jc w:val="both"/>
              <w:rPr>
                <w:rFonts w:ascii="Verdana" w:hAnsi="Verdana"/>
                <w:sz w:val="20"/>
                <w:szCs w:val="20"/>
              </w:rPr>
            </w:pPr>
            <w:r w:rsidRPr="00B45B4F">
              <w:rPr>
                <w:rFonts w:ascii="Verdana" w:hAnsi="Verdana"/>
                <w:sz w:val="20"/>
                <w:szCs w:val="20"/>
              </w:rPr>
              <w:t xml:space="preserve">Обосновката е оскъдна откъм факти и посочване на нуждите. Не е ясно колко от научните институти или висши училища в България осъществяват експериментални изследвания в тясна връзка с бизнеса, какво е участието на бизнеса, в кои области са тези изследвания, какви са нуждите. Посочени са твърдения, които не са подкрепени с повече информация и поради това изглеждат необосновани </w:t>
            </w:r>
            <w:r w:rsidR="00265D85" w:rsidRPr="00B45B4F">
              <w:rPr>
                <w:rFonts w:ascii="Verdana" w:hAnsi="Verdana"/>
                <w:sz w:val="20"/>
                <w:szCs w:val="20"/>
              </w:rPr>
              <w:t xml:space="preserve">и дори противоречащи си </w:t>
            </w:r>
            <w:r w:rsidRPr="00B45B4F">
              <w:rPr>
                <w:rFonts w:ascii="Verdana" w:hAnsi="Verdana"/>
                <w:sz w:val="20"/>
                <w:szCs w:val="20"/>
              </w:rPr>
              <w:t xml:space="preserve">като: </w:t>
            </w:r>
            <w:r w:rsidR="00265D85" w:rsidRPr="00B45B4F">
              <w:rPr>
                <w:rFonts w:ascii="Verdana" w:hAnsi="Verdana"/>
                <w:sz w:val="20"/>
                <w:szCs w:val="20"/>
              </w:rPr>
              <w:t>„</w:t>
            </w:r>
            <w:r w:rsidRPr="00B45B4F">
              <w:rPr>
                <w:rFonts w:ascii="Verdana" w:hAnsi="Verdana"/>
                <w:i/>
                <w:sz w:val="20"/>
                <w:szCs w:val="20"/>
              </w:rPr>
              <w:t xml:space="preserve">България е изправена пред предизвикателствата, пред които са изправени и развитите страни-членки на </w:t>
            </w:r>
            <w:proofErr w:type="spellStart"/>
            <w:r w:rsidRPr="00B45B4F">
              <w:rPr>
                <w:rFonts w:ascii="Verdana" w:hAnsi="Verdana"/>
                <w:i/>
                <w:sz w:val="20"/>
                <w:szCs w:val="20"/>
              </w:rPr>
              <w:t>ЕС</w:t>
            </w:r>
            <w:r w:rsidR="006C54B0" w:rsidRPr="00B45B4F">
              <w:rPr>
                <w:rFonts w:ascii="Verdana" w:hAnsi="Verdana"/>
                <w:i/>
                <w:sz w:val="20"/>
                <w:szCs w:val="20"/>
              </w:rPr>
              <w:t>“</w:t>
            </w:r>
            <w:r w:rsidR="00265D85" w:rsidRPr="00B45B4F">
              <w:rPr>
                <w:rFonts w:ascii="Verdana" w:hAnsi="Verdana"/>
                <w:sz w:val="20"/>
                <w:szCs w:val="20"/>
              </w:rPr>
              <w:t>и</w:t>
            </w:r>
            <w:proofErr w:type="spellEnd"/>
            <w:r w:rsidR="00265D85" w:rsidRPr="00B45B4F">
              <w:rPr>
                <w:rFonts w:ascii="Verdana" w:hAnsi="Verdana"/>
                <w:sz w:val="20"/>
                <w:szCs w:val="20"/>
              </w:rPr>
              <w:t xml:space="preserve"> след </w:t>
            </w:r>
            <w:proofErr w:type="spellStart"/>
            <w:r w:rsidR="00265D85" w:rsidRPr="00B45B4F">
              <w:rPr>
                <w:rFonts w:ascii="Verdana" w:hAnsi="Verdana"/>
                <w:sz w:val="20"/>
                <w:szCs w:val="20"/>
              </w:rPr>
              <w:t>това</w:t>
            </w:r>
            <w:r w:rsidR="006C54B0" w:rsidRPr="00B45B4F">
              <w:rPr>
                <w:rFonts w:ascii="Verdana" w:hAnsi="Verdana"/>
                <w:i/>
                <w:sz w:val="20"/>
                <w:szCs w:val="20"/>
              </w:rPr>
              <w:t>„</w:t>
            </w:r>
            <w:r w:rsidR="00951219" w:rsidRPr="00B45B4F">
              <w:rPr>
                <w:rFonts w:ascii="Verdana" w:hAnsi="Verdana"/>
                <w:i/>
                <w:sz w:val="20"/>
                <w:szCs w:val="20"/>
              </w:rPr>
              <w:t>като</w:t>
            </w:r>
            <w:proofErr w:type="spellEnd"/>
            <w:r w:rsidR="00951219" w:rsidRPr="00B45B4F">
              <w:rPr>
                <w:rFonts w:ascii="Verdana" w:hAnsi="Verdana"/>
                <w:i/>
                <w:sz w:val="20"/>
                <w:szCs w:val="20"/>
              </w:rPr>
              <w:t xml:space="preserve"> това се случва в условията на тежък преход след </w:t>
            </w:r>
            <w:r w:rsidR="00265D85" w:rsidRPr="00B45B4F">
              <w:rPr>
                <w:rFonts w:ascii="Verdana" w:hAnsi="Verdana"/>
                <w:i/>
                <w:sz w:val="20"/>
                <w:szCs w:val="20"/>
              </w:rPr>
              <w:t>дългогодишна изолация от научно-изследователския международен живот</w:t>
            </w:r>
            <w:r w:rsidR="006C54B0" w:rsidRPr="00B45B4F">
              <w:rPr>
                <w:rFonts w:ascii="Verdana" w:hAnsi="Verdana"/>
                <w:sz w:val="20"/>
                <w:szCs w:val="20"/>
              </w:rPr>
              <w:t>“</w:t>
            </w:r>
            <w:r w:rsidR="00265D85" w:rsidRPr="00B45B4F">
              <w:rPr>
                <w:rFonts w:ascii="Verdana" w:hAnsi="Verdana"/>
                <w:sz w:val="20"/>
                <w:szCs w:val="20"/>
              </w:rPr>
              <w:t xml:space="preserve">. </w:t>
            </w:r>
          </w:p>
          <w:p w:rsidR="00265D85" w:rsidRPr="00B45B4F" w:rsidRDefault="00265D85" w:rsidP="007777A0">
            <w:pPr>
              <w:pStyle w:val="BodyText"/>
              <w:spacing w:before="120" w:line="276" w:lineRule="auto"/>
              <w:jc w:val="both"/>
              <w:rPr>
                <w:rFonts w:ascii="Verdana" w:hAnsi="Verdana"/>
                <w:sz w:val="20"/>
                <w:szCs w:val="20"/>
              </w:rPr>
            </w:pPr>
            <w:r w:rsidRPr="00B45B4F">
              <w:rPr>
                <w:rFonts w:ascii="Verdana" w:hAnsi="Verdana"/>
                <w:sz w:val="20"/>
                <w:szCs w:val="20"/>
              </w:rPr>
              <w:t xml:space="preserve">Обосновката също така поставя различни теми, които са посочени като необходими подходи, но не са доразвити като: </w:t>
            </w:r>
            <w:r w:rsidR="006C54B0" w:rsidRPr="00B45B4F">
              <w:rPr>
                <w:rFonts w:ascii="Verdana" w:hAnsi="Verdana"/>
                <w:sz w:val="20"/>
                <w:szCs w:val="20"/>
              </w:rPr>
              <w:t>„</w:t>
            </w:r>
            <w:r w:rsidRPr="00B45B4F">
              <w:rPr>
                <w:rFonts w:ascii="Verdana" w:hAnsi="Verdana"/>
                <w:i/>
                <w:sz w:val="20"/>
                <w:szCs w:val="20"/>
              </w:rPr>
              <w:t>развитие на връзки между предприятията, научноизследователски и развойни центрове и институциите за висше образование</w:t>
            </w:r>
            <w:r w:rsidR="006C54B0" w:rsidRPr="00B45B4F">
              <w:rPr>
                <w:rFonts w:ascii="Verdana" w:hAnsi="Verdana"/>
                <w:sz w:val="20"/>
                <w:szCs w:val="20"/>
              </w:rPr>
              <w:t>“</w:t>
            </w:r>
            <w:r w:rsidRPr="00B45B4F">
              <w:rPr>
                <w:rFonts w:ascii="Verdana" w:hAnsi="Verdana"/>
                <w:sz w:val="20"/>
                <w:szCs w:val="20"/>
              </w:rPr>
              <w:t xml:space="preserve"> без да де посочва чрез какви подходи това ще се осъществи; </w:t>
            </w:r>
            <w:r w:rsidR="006C54B0" w:rsidRPr="00B45B4F">
              <w:rPr>
                <w:rFonts w:ascii="Verdana" w:hAnsi="Verdana"/>
                <w:sz w:val="20"/>
                <w:szCs w:val="20"/>
              </w:rPr>
              <w:t>„</w:t>
            </w:r>
            <w:r w:rsidRPr="00B45B4F">
              <w:rPr>
                <w:rFonts w:ascii="Verdana" w:hAnsi="Verdana"/>
                <w:i/>
                <w:sz w:val="20"/>
                <w:szCs w:val="20"/>
              </w:rPr>
              <w:t>подпомагане на приложните научни изследвания в приоритетните за страната направления</w:t>
            </w:r>
            <w:r w:rsidR="006C54B0" w:rsidRPr="00B45B4F">
              <w:rPr>
                <w:rFonts w:ascii="Verdana" w:hAnsi="Verdana"/>
                <w:sz w:val="20"/>
                <w:szCs w:val="20"/>
              </w:rPr>
              <w:t>“</w:t>
            </w:r>
            <w:r w:rsidRPr="00B45B4F">
              <w:rPr>
                <w:rFonts w:ascii="Verdana" w:hAnsi="Verdana"/>
                <w:sz w:val="20"/>
                <w:szCs w:val="20"/>
              </w:rPr>
              <w:t xml:space="preserve"> без да се посочват кои са тези направления; </w:t>
            </w:r>
            <w:r w:rsidR="006C54B0" w:rsidRPr="00B45B4F">
              <w:rPr>
                <w:rFonts w:ascii="Verdana" w:hAnsi="Verdana"/>
                <w:sz w:val="20"/>
                <w:szCs w:val="20"/>
              </w:rPr>
              <w:t>„</w:t>
            </w:r>
            <w:r w:rsidRPr="00B45B4F">
              <w:rPr>
                <w:rFonts w:ascii="Verdana" w:hAnsi="Verdana"/>
                <w:i/>
                <w:sz w:val="20"/>
                <w:szCs w:val="20"/>
              </w:rPr>
              <w:t>диференциация на образователните институции и на тази база определяне на тези, които ще развиват силна научна дейност</w:t>
            </w:r>
            <w:r w:rsidR="006C54B0" w:rsidRPr="00B45B4F">
              <w:rPr>
                <w:rFonts w:ascii="Verdana" w:hAnsi="Verdana"/>
                <w:sz w:val="20"/>
                <w:szCs w:val="20"/>
              </w:rPr>
              <w:t>“</w:t>
            </w:r>
            <w:r w:rsidRPr="00B45B4F">
              <w:rPr>
                <w:rFonts w:ascii="Verdana" w:hAnsi="Verdana"/>
                <w:sz w:val="20"/>
                <w:szCs w:val="20"/>
              </w:rPr>
              <w:t xml:space="preserve"> без да се посочва как тази диференциация ще бъде осъществена и дали е предварително условия за отпускане на помощта. Освен това се говори за научна дейност, а не за приложни изследвания, както е дефинирано в специфичната цел.</w:t>
            </w:r>
          </w:p>
          <w:p w:rsidR="007777A0" w:rsidRPr="00B45B4F" w:rsidRDefault="007777A0" w:rsidP="006C54B0">
            <w:pPr>
              <w:pStyle w:val="BodyText"/>
              <w:spacing w:before="120" w:line="276" w:lineRule="auto"/>
              <w:jc w:val="both"/>
              <w:rPr>
                <w:rFonts w:ascii="Verdana" w:hAnsi="Verdana"/>
                <w:i/>
                <w:sz w:val="20"/>
                <w:szCs w:val="20"/>
              </w:rPr>
            </w:pPr>
            <w:r w:rsidRPr="00B45B4F">
              <w:rPr>
                <w:rFonts w:ascii="Verdana" w:hAnsi="Verdana"/>
                <w:sz w:val="20"/>
                <w:szCs w:val="20"/>
              </w:rPr>
              <w:t xml:space="preserve">В обосновката трябва да се предостави и информация относно </w:t>
            </w:r>
            <w:proofErr w:type="spellStart"/>
            <w:r w:rsidRPr="00B45B4F">
              <w:rPr>
                <w:rFonts w:ascii="Verdana" w:hAnsi="Verdana"/>
                <w:sz w:val="20"/>
                <w:szCs w:val="20"/>
              </w:rPr>
              <w:t>синергичния</w:t>
            </w:r>
            <w:proofErr w:type="spellEnd"/>
            <w:r w:rsidRPr="00B45B4F">
              <w:rPr>
                <w:rFonts w:ascii="Verdana" w:hAnsi="Verdana"/>
                <w:sz w:val="20"/>
                <w:szCs w:val="20"/>
              </w:rPr>
              <w:t xml:space="preserve"> ефект, който се очаква да се получи чрез подкрепата по ОПИК.</w:t>
            </w:r>
            <w:r w:rsidR="000E672E" w:rsidRPr="00B45B4F">
              <w:rPr>
                <w:rFonts w:ascii="Verdana" w:hAnsi="Verdana"/>
                <w:sz w:val="20"/>
                <w:szCs w:val="20"/>
              </w:rPr>
              <w:t xml:space="preserve"> Необходим е пълен и ясен анализ на нуждите, включително опит от изпълнение</w:t>
            </w:r>
            <w:r w:rsidR="006C54B0" w:rsidRPr="00B45B4F">
              <w:rPr>
                <w:rFonts w:ascii="Verdana" w:hAnsi="Verdana"/>
                <w:sz w:val="20"/>
                <w:szCs w:val="20"/>
              </w:rPr>
              <w:t>то</w:t>
            </w:r>
            <w:r w:rsidR="000E672E" w:rsidRPr="00B45B4F">
              <w:rPr>
                <w:rFonts w:ascii="Verdana" w:hAnsi="Verdana"/>
                <w:sz w:val="20"/>
                <w:szCs w:val="20"/>
              </w:rPr>
              <w:t xml:space="preserve"> на проекти в тази сфера по Оперативна програма </w:t>
            </w:r>
            <w:r w:rsidR="006C54B0" w:rsidRPr="00B45B4F">
              <w:rPr>
                <w:rFonts w:ascii="Verdana" w:hAnsi="Verdana"/>
                <w:sz w:val="20"/>
                <w:szCs w:val="20"/>
              </w:rPr>
              <w:t>„</w:t>
            </w:r>
            <w:r w:rsidR="000E672E" w:rsidRPr="00B45B4F">
              <w:rPr>
                <w:rFonts w:ascii="Verdana" w:hAnsi="Verdana"/>
                <w:sz w:val="20"/>
                <w:szCs w:val="20"/>
              </w:rPr>
              <w:t xml:space="preserve">Развитие на конкурентоспособността на </w:t>
            </w:r>
            <w:r w:rsidR="006C54B0" w:rsidRPr="00B45B4F">
              <w:rPr>
                <w:rFonts w:ascii="Verdana" w:hAnsi="Verdana"/>
                <w:sz w:val="20"/>
                <w:szCs w:val="20"/>
              </w:rPr>
              <w:t>българската икономика“</w:t>
            </w:r>
            <w:r w:rsidR="005106CE" w:rsidRPr="00B45B4F">
              <w:rPr>
                <w:rFonts w:ascii="Verdana" w:hAnsi="Verdana"/>
                <w:sz w:val="20"/>
                <w:szCs w:val="20"/>
              </w:rPr>
              <w:t>2007–2013</w:t>
            </w:r>
            <w:r w:rsidR="000E672E" w:rsidRPr="00B45B4F">
              <w:rPr>
                <w:rFonts w:ascii="Verdana" w:hAnsi="Verdana"/>
                <w:sz w:val="20"/>
                <w:szCs w:val="20"/>
              </w:rPr>
              <w:t>. Необходим е ясен анализ на причините</w:t>
            </w:r>
            <w:r w:rsidR="00D2275A">
              <w:rPr>
                <w:rFonts w:ascii="Verdana" w:hAnsi="Verdana"/>
                <w:sz w:val="20"/>
                <w:szCs w:val="20"/>
              </w:rPr>
              <w:t>,</w:t>
            </w:r>
            <w:r w:rsidR="000E672E" w:rsidRPr="00B45B4F">
              <w:rPr>
                <w:rFonts w:ascii="Verdana" w:hAnsi="Verdana"/>
                <w:sz w:val="20"/>
                <w:szCs w:val="20"/>
              </w:rPr>
              <w:t xml:space="preserve"> поради които връзката наука-бизнес не е достатъчно силна.</w:t>
            </w:r>
          </w:p>
        </w:tc>
      </w:tr>
      <w:tr w:rsidR="000F74E8" w:rsidRPr="00B45B4F" w:rsidTr="00F55866">
        <w:trPr>
          <w:tblCellSpacing w:w="11" w:type="dxa"/>
        </w:trPr>
        <w:tc>
          <w:tcPr>
            <w:tcW w:w="1638" w:type="dxa"/>
            <w:shd w:val="clear" w:color="auto" w:fill="FDE9D9"/>
          </w:tcPr>
          <w:p w:rsidR="000F74E8" w:rsidRPr="00B45B4F" w:rsidRDefault="000F74E8" w:rsidP="000F74E8">
            <w:pPr>
              <w:pStyle w:val="BodyText"/>
              <w:spacing w:before="120" w:line="276" w:lineRule="auto"/>
              <w:rPr>
                <w:rFonts w:ascii="Verdana" w:hAnsi="Verdana"/>
                <w:sz w:val="20"/>
                <w:szCs w:val="20"/>
              </w:rPr>
            </w:pPr>
            <w:r w:rsidRPr="00B45B4F">
              <w:rPr>
                <w:rFonts w:ascii="Verdana" w:hAnsi="Verdana"/>
                <w:sz w:val="20"/>
                <w:szCs w:val="20"/>
              </w:rPr>
              <w:t>Нужди и предвидени дейности</w:t>
            </w:r>
          </w:p>
        </w:tc>
        <w:tc>
          <w:tcPr>
            <w:tcW w:w="7386" w:type="dxa"/>
            <w:shd w:val="clear" w:color="auto" w:fill="C6D9F1"/>
          </w:tcPr>
          <w:p w:rsidR="000F74E8" w:rsidRPr="00B45B4F" w:rsidRDefault="007777A0" w:rsidP="00065C14">
            <w:pPr>
              <w:pStyle w:val="BodyText"/>
              <w:spacing w:before="120" w:line="276" w:lineRule="auto"/>
              <w:jc w:val="both"/>
              <w:rPr>
                <w:rFonts w:ascii="Verdana" w:hAnsi="Verdana"/>
                <w:sz w:val="20"/>
                <w:szCs w:val="20"/>
              </w:rPr>
            </w:pPr>
            <w:r w:rsidRPr="00B45B4F">
              <w:rPr>
                <w:rFonts w:ascii="Verdana" w:hAnsi="Verdana"/>
                <w:sz w:val="20"/>
                <w:szCs w:val="20"/>
              </w:rPr>
              <w:t>Липсват дейности</w:t>
            </w:r>
            <w:r w:rsidR="00B75EAE" w:rsidRPr="00B45B4F">
              <w:rPr>
                <w:rFonts w:ascii="Verdana" w:hAnsi="Verdana"/>
                <w:sz w:val="20"/>
                <w:szCs w:val="20"/>
              </w:rPr>
              <w:t>, които да покрият основната т</w:t>
            </w:r>
            <w:r w:rsidR="00AD5B6A" w:rsidRPr="00B45B4F">
              <w:rPr>
                <w:rFonts w:ascii="Verdana" w:hAnsi="Verdana"/>
                <w:sz w:val="20"/>
                <w:szCs w:val="20"/>
              </w:rPr>
              <w:t xml:space="preserve">ема на инвестиционния приоритет </w:t>
            </w:r>
            <w:r w:rsidR="00B75EAE" w:rsidRPr="00B45B4F">
              <w:rPr>
                <w:rFonts w:ascii="Verdana" w:hAnsi="Verdana"/>
                <w:sz w:val="20"/>
                <w:szCs w:val="20"/>
              </w:rPr>
              <w:t xml:space="preserve">- </w:t>
            </w:r>
            <w:r w:rsidRPr="00B45B4F">
              <w:rPr>
                <w:rFonts w:ascii="Verdana" w:hAnsi="Verdana"/>
                <w:sz w:val="20"/>
                <w:szCs w:val="20"/>
              </w:rPr>
              <w:t xml:space="preserve">за развитие на </w:t>
            </w:r>
            <w:proofErr w:type="spellStart"/>
            <w:r w:rsidRPr="00B45B4F">
              <w:rPr>
                <w:rFonts w:ascii="Verdana" w:hAnsi="Verdana"/>
                <w:sz w:val="20"/>
                <w:szCs w:val="20"/>
              </w:rPr>
              <w:t>синергични</w:t>
            </w:r>
            <w:proofErr w:type="spellEnd"/>
            <w:r w:rsidRPr="00B45B4F">
              <w:rPr>
                <w:rFonts w:ascii="Verdana" w:hAnsi="Verdana"/>
                <w:sz w:val="20"/>
                <w:szCs w:val="20"/>
              </w:rPr>
              <w:t xml:space="preserve"> връзки между </w:t>
            </w:r>
            <w:r w:rsidR="00AD5B6A" w:rsidRPr="00B45B4F">
              <w:rPr>
                <w:rFonts w:ascii="Verdana" w:hAnsi="Verdana"/>
                <w:sz w:val="20"/>
                <w:szCs w:val="20"/>
              </w:rPr>
              <w:t>предприятията,</w:t>
            </w:r>
            <w:r w:rsidR="00F224CD">
              <w:rPr>
                <w:rFonts w:ascii="Verdana" w:hAnsi="Verdana"/>
                <w:sz w:val="20"/>
                <w:szCs w:val="20"/>
              </w:rPr>
              <w:t xml:space="preserve"> </w:t>
            </w:r>
            <w:r w:rsidR="00B75EAE" w:rsidRPr="00B45B4F">
              <w:rPr>
                <w:rFonts w:ascii="Verdana" w:hAnsi="Verdana"/>
                <w:sz w:val="20"/>
                <w:szCs w:val="20"/>
              </w:rPr>
              <w:t>научноизследователските и развойни центрове и висшето образование</w:t>
            </w:r>
            <w:r w:rsidRPr="00B45B4F">
              <w:rPr>
                <w:rFonts w:ascii="Verdana" w:hAnsi="Verdana"/>
                <w:sz w:val="20"/>
                <w:szCs w:val="20"/>
              </w:rPr>
              <w:t>.</w:t>
            </w:r>
          </w:p>
        </w:tc>
      </w:tr>
      <w:tr w:rsidR="000F74E8" w:rsidRPr="00B45B4F" w:rsidTr="00F55866">
        <w:trPr>
          <w:tblCellSpacing w:w="11" w:type="dxa"/>
        </w:trPr>
        <w:tc>
          <w:tcPr>
            <w:tcW w:w="1638" w:type="dxa"/>
            <w:shd w:val="clear" w:color="auto" w:fill="FDE9D9"/>
          </w:tcPr>
          <w:p w:rsidR="000F74E8" w:rsidRPr="00B45B4F" w:rsidRDefault="000F74E8" w:rsidP="000F74E8">
            <w:pPr>
              <w:pStyle w:val="BodyText"/>
              <w:spacing w:before="120" w:line="276" w:lineRule="auto"/>
              <w:rPr>
                <w:rFonts w:ascii="Verdana" w:hAnsi="Verdana"/>
                <w:sz w:val="20"/>
                <w:szCs w:val="20"/>
              </w:rPr>
            </w:pPr>
            <w:r w:rsidRPr="00B45B4F">
              <w:rPr>
                <w:rFonts w:ascii="Verdana" w:hAnsi="Verdana"/>
                <w:sz w:val="20"/>
                <w:szCs w:val="20"/>
              </w:rPr>
              <w:t xml:space="preserve">Индикатори за продукт и предвидени </w:t>
            </w:r>
            <w:r w:rsidRPr="00B45B4F">
              <w:rPr>
                <w:rFonts w:ascii="Verdana" w:hAnsi="Verdana"/>
                <w:sz w:val="20"/>
                <w:szCs w:val="20"/>
              </w:rPr>
              <w:lastRenderedPageBreak/>
              <w:t>дейности</w:t>
            </w:r>
          </w:p>
        </w:tc>
        <w:tc>
          <w:tcPr>
            <w:tcW w:w="7386" w:type="dxa"/>
            <w:shd w:val="clear" w:color="auto" w:fill="DBE5F1"/>
          </w:tcPr>
          <w:p w:rsidR="00E839B6" w:rsidRPr="00B45B4F" w:rsidRDefault="00E839B6" w:rsidP="0044269B">
            <w:pPr>
              <w:pStyle w:val="BodyText"/>
              <w:spacing w:before="120" w:line="276" w:lineRule="auto"/>
              <w:jc w:val="both"/>
              <w:rPr>
                <w:rFonts w:ascii="Verdana" w:hAnsi="Verdana"/>
                <w:sz w:val="20"/>
                <w:szCs w:val="20"/>
              </w:rPr>
            </w:pPr>
            <w:r w:rsidRPr="00B45B4F">
              <w:rPr>
                <w:rFonts w:ascii="Verdana" w:hAnsi="Verdana"/>
                <w:sz w:val="20"/>
                <w:szCs w:val="20"/>
              </w:rPr>
              <w:lastRenderedPageBreak/>
              <w:t xml:space="preserve">Предвидени са </w:t>
            </w:r>
            <w:r w:rsidR="009158D1">
              <w:rPr>
                <w:rFonts w:ascii="Verdana" w:hAnsi="Verdana"/>
                <w:sz w:val="20"/>
                <w:szCs w:val="20"/>
              </w:rPr>
              <w:t>пет</w:t>
            </w:r>
            <w:r w:rsidRPr="00B45B4F">
              <w:rPr>
                <w:rFonts w:ascii="Verdana" w:hAnsi="Verdana"/>
                <w:sz w:val="20"/>
                <w:szCs w:val="20"/>
              </w:rPr>
              <w:t xml:space="preserve"> индикатора за продукт</w:t>
            </w:r>
            <w:r w:rsidR="00D2275A">
              <w:rPr>
                <w:rFonts w:ascii="Verdana" w:hAnsi="Verdana"/>
                <w:sz w:val="20"/>
                <w:szCs w:val="20"/>
              </w:rPr>
              <w:t>, които адресират предвидени основни дейности за подкрепа</w:t>
            </w:r>
            <w:r w:rsidRPr="00B45B4F">
              <w:rPr>
                <w:rFonts w:ascii="Verdana" w:hAnsi="Verdana"/>
                <w:sz w:val="20"/>
                <w:szCs w:val="20"/>
              </w:rPr>
              <w:t>:</w:t>
            </w:r>
          </w:p>
          <w:p w:rsidR="009158D1" w:rsidRPr="009158D1" w:rsidRDefault="009158D1" w:rsidP="006861B0">
            <w:pPr>
              <w:pStyle w:val="BodyText"/>
              <w:numPr>
                <w:ilvl w:val="0"/>
                <w:numId w:val="22"/>
              </w:numPr>
              <w:spacing w:before="120" w:line="276" w:lineRule="auto"/>
              <w:jc w:val="both"/>
              <w:rPr>
                <w:rFonts w:ascii="Verdana" w:hAnsi="Verdana"/>
                <w:i/>
                <w:iCs/>
                <w:sz w:val="20"/>
                <w:szCs w:val="20"/>
                <w:lang w:eastAsia="en-US"/>
              </w:rPr>
            </w:pPr>
            <w:r w:rsidRPr="009158D1">
              <w:rPr>
                <w:rFonts w:ascii="Verdana" w:hAnsi="Verdana"/>
                <w:i/>
                <w:iCs/>
                <w:sz w:val="20"/>
                <w:szCs w:val="20"/>
                <w:lang w:eastAsia="en-US"/>
              </w:rPr>
              <w:lastRenderedPageBreak/>
              <w:t>Брой предприятия, които си сътрудничат с подпомогнатите научноизследователски институции</w:t>
            </w:r>
            <w:r>
              <w:rPr>
                <w:rFonts w:ascii="Verdana" w:hAnsi="Verdana"/>
                <w:i/>
                <w:iCs/>
                <w:sz w:val="20"/>
                <w:szCs w:val="20"/>
                <w:lang w:eastAsia="en-US"/>
              </w:rPr>
              <w:t>;</w:t>
            </w:r>
          </w:p>
          <w:p w:rsidR="009158D1" w:rsidRPr="009158D1" w:rsidRDefault="009158D1" w:rsidP="006861B0">
            <w:pPr>
              <w:pStyle w:val="BodyText"/>
              <w:numPr>
                <w:ilvl w:val="0"/>
                <w:numId w:val="22"/>
              </w:numPr>
              <w:spacing w:before="120" w:line="276" w:lineRule="auto"/>
              <w:jc w:val="both"/>
              <w:rPr>
                <w:rFonts w:ascii="Verdana" w:hAnsi="Verdana"/>
                <w:i/>
                <w:iCs/>
                <w:sz w:val="20"/>
                <w:szCs w:val="20"/>
                <w:lang w:eastAsia="en-US"/>
              </w:rPr>
            </w:pPr>
            <w:r w:rsidRPr="009158D1">
              <w:rPr>
                <w:rFonts w:ascii="Verdana" w:hAnsi="Verdana"/>
                <w:i/>
                <w:iCs/>
                <w:sz w:val="20"/>
                <w:szCs w:val="20"/>
                <w:lang w:eastAsia="en-US"/>
              </w:rPr>
              <w:t>Брой предприятия, въвели нови или значително подобрени продукти на пазара и създадени в резултат от подпомогнатите иновации или научноизс</w:t>
            </w:r>
            <w:r>
              <w:rPr>
                <w:rFonts w:ascii="Verdana" w:hAnsi="Verdana"/>
                <w:i/>
                <w:iCs/>
                <w:sz w:val="20"/>
                <w:szCs w:val="20"/>
                <w:lang w:eastAsia="en-US"/>
              </w:rPr>
              <w:t>ледователски и развойни проекти;</w:t>
            </w:r>
          </w:p>
          <w:p w:rsidR="009158D1" w:rsidRPr="009158D1" w:rsidRDefault="009158D1" w:rsidP="006861B0">
            <w:pPr>
              <w:pStyle w:val="BodyText"/>
              <w:numPr>
                <w:ilvl w:val="0"/>
                <w:numId w:val="22"/>
              </w:numPr>
              <w:spacing w:before="120" w:line="276" w:lineRule="auto"/>
              <w:jc w:val="both"/>
              <w:rPr>
                <w:rFonts w:ascii="Verdana" w:hAnsi="Verdana"/>
                <w:i/>
                <w:iCs/>
                <w:sz w:val="20"/>
                <w:szCs w:val="20"/>
                <w:lang w:eastAsia="en-US"/>
              </w:rPr>
            </w:pPr>
            <w:r w:rsidRPr="009158D1">
              <w:rPr>
                <w:rFonts w:ascii="Verdana" w:hAnsi="Verdana"/>
                <w:i/>
                <w:iCs/>
                <w:sz w:val="20"/>
                <w:szCs w:val="20"/>
                <w:lang w:eastAsia="en-US"/>
              </w:rPr>
              <w:t>Брой висши училища, подкрепили или осигурили достъп на български научни организации до различни европейски технологични платформи, осъществили съ</w:t>
            </w:r>
            <w:r>
              <w:rPr>
                <w:rFonts w:ascii="Verdana" w:hAnsi="Verdana"/>
                <w:i/>
                <w:iCs/>
                <w:sz w:val="20"/>
                <w:szCs w:val="20"/>
                <w:lang w:eastAsia="en-US"/>
              </w:rPr>
              <w:t>вместни технологични инициативи;</w:t>
            </w:r>
          </w:p>
          <w:p w:rsidR="009158D1" w:rsidRPr="009158D1" w:rsidRDefault="009158D1" w:rsidP="006861B0">
            <w:pPr>
              <w:pStyle w:val="BodyText"/>
              <w:numPr>
                <w:ilvl w:val="0"/>
                <w:numId w:val="22"/>
              </w:numPr>
              <w:spacing w:before="120" w:line="276" w:lineRule="auto"/>
              <w:jc w:val="both"/>
              <w:rPr>
                <w:rFonts w:ascii="Verdana" w:hAnsi="Verdana"/>
                <w:i/>
                <w:iCs/>
                <w:sz w:val="20"/>
                <w:szCs w:val="20"/>
                <w:lang w:eastAsia="en-US"/>
              </w:rPr>
            </w:pPr>
            <w:r w:rsidRPr="009158D1">
              <w:rPr>
                <w:rFonts w:ascii="Verdana" w:hAnsi="Verdana"/>
                <w:i/>
                <w:iCs/>
                <w:sz w:val="20"/>
                <w:szCs w:val="20"/>
                <w:lang w:eastAsia="en-US"/>
              </w:rPr>
              <w:t>Брой обучени студенти по заявка и с финансовото участие на бизнеса</w:t>
            </w:r>
            <w:r>
              <w:rPr>
                <w:rFonts w:ascii="Verdana" w:hAnsi="Verdana"/>
                <w:i/>
                <w:iCs/>
                <w:sz w:val="20"/>
                <w:szCs w:val="20"/>
                <w:lang w:eastAsia="en-US"/>
              </w:rPr>
              <w:t>;</w:t>
            </w:r>
          </w:p>
          <w:p w:rsidR="00E839B6" w:rsidRPr="00B45B4F" w:rsidRDefault="009158D1" w:rsidP="006861B0">
            <w:pPr>
              <w:pStyle w:val="BodyText"/>
              <w:numPr>
                <w:ilvl w:val="0"/>
                <w:numId w:val="22"/>
              </w:numPr>
              <w:spacing w:before="120" w:line="276" w:lineRule="auto"/>
              <w:jc w:val="both"/>
              <w:rPr>
                <w:rFonts w:ascii="Verdana" w:hAnsi="Verdana"/>
                <w:sz w:val="20"/>
                <w:szCs w:val="20"/>
              </w:rPr>
            </w:pPr>
            <w:r w:rsidRPr="009158D1">
              <w:rPr>
                <w:rFonts w:ascii="Verdana" w:hAnsi="Verdana"/>
                <w:i/>
                <w:iCs/>
                <w:sz w:val="20"/>
                <w:szCs w:val="20"/>
                <w:lang w:eastAsia="en-US"/>
              </w:rPr>
              <w:t>Брой изградени пилотни производствени центрове във ВУ и научните институти</w:t>
            </w:r>
            <w:r>
              <w:rPr>
                <w:rFonts w:ascii="Verdana" w:hAnsi="Verdana"/>
                <w:i/>
                <w:iCs/>
                <w:sz w:val="20"/>
                <w:szCs w:val="20"/>
                <w:lang w:eastAsia="en-US"/>
              </w:rPr>
              <w:t>.</w:t>
            </w:r>
          </w:p>
        </w:tc>
      </w:tr>
      <w:tr w:rsidR="000F74E8" w:rsidRPr="00B45B4F" w:rsidTr="00F55866">
        <w:trPr>
          <w:tblCellSpacing w:w="11" w:type="dxa"/>
        </w:trPr>
        <w:tc>
          <w:tcPr>
            <w:tcW w:w="1638" w:type="dxa"/>
            <w:shd w:val="clear" w:color="auto" w:fill="FDE9D9"/>
          </w:tcPr>
          <w:p w:rsidR="000F74E8" w:rsidRPr="00B45B4F" w:rsidRDefault="000F74E8" w:rsidP="000F74E8">
            <w:pPr>
              <w:pStyle w:val="BodyText"/>
              <w:spacing w:before="120" w:line="276" w:lineRule="auto"/>
              <w:rPr>
                <w:rFonts w:ascii="Verdana" w:hAnsi="Verdana"/>
                <w:sz w:val="20"/>
                <w:szCs w:val="20"/>
              </w:rPr>
            </w:pPr>
            <w:r w:rsidRPr="00B45B4F">
              <w:rPr>
                <w:rFonts w:ascii="Verdana" w:hAnsi="Verdana"/>
                <w:sz w:val="20"/>
                <w:szCs w:val="20"/>
              </w:rPr>
              <w:lastRenderedPageBreak/>
              <w:t>Индикатори за резултат и специфични цели</w:t>
            </w:r>
          </w:p>
        </w:tc>
        <w:tc>
          <w:tcPr>
            <w:tcW w:w="7386" w:type="dxa"/>
            <w:shd w:val="clear" w:color="auto" w:fill="C6D9F1"/>
          </w:tcPr>
          <w:p w:rsidR="000F74E8" w:rsidRPr="00B45B4F" w:rsidRDefault="0044269B" w:rsidP="0044269B">
            <w:pPr>
              <w:pStyle w:val="BodyText"/>
              <w:spacing w:before="120" w:line="276" w:lineRule="auto"/>
              <w:jc w:val="both"/>
              <w:rPr>
                <w:rFonts w:ascii="Verdana" w:hAnsi="Verdana"/>
                <w:sz w:val="20"/>
                <w:szCs w:val="20"/>
              </w:rPr>
            </w:pPr>
            <w:r w:rsidRPr="00B45B4F">
              <w:rPr>
                <w:rFonts w:ascii="Verdana" w:hAnsi="Verdana"/>
                <w:sz w:val="20"/>
                <w:szCs w:val="20"/>
              </w:rPr>
              <w:t>Посочен е един индикатор за резултат:</w:t>
            </w:r>
          </w:p>
          <w:p w:rsidR="009158D1" w:rsidRPr="002C6A7A" w:rsidRDefault="009158D1" w:rsidP="006861B0">
            <w:pPr>
              <w:pStyle w:val="BodyText"/>
              <w:numPr>
                <w:ilvl w:val="0"/>
                <w:numId w:val="21"/>
              </w:numPr>
              <w:spacing w:before="120" w:line="276" w:lineRule="auto"/>
              <w:jc w:val="both"/>
              <w:rPr>
                <w:rFonts w:ascii="Verdana" w:hAnsi="Verdana"/>
                <w:i/>
                <w:sz w:val="20"/>
                <w:szCs w:val="20"/>
              </w:rPr>
            </w:pPr>
            <w:r w:rsidRPr="002C6A7A">
              <w:rPr>
                <w:rFonts w:ascii="Verdana" w:hAnsi="Verdana"/>
                <w:i/>
                <w:sz w:val="20"/>
                <w:szCs w:val="20"/>
              </w:rPr>
              <w:t>Частни инвестиции в НИРД, допълващи публичната подкрепа в лв./евро</w:t>
            </w:r>
          </w:p>
          <w:p w:rsidR="00E839B6" w:rsidRPr="00B45B4F" w:rsidRDefault="009158D1" w:rsidP="00220BE3">
            <w:pPr>
              <w:pStyle w:val="BodyText"/>
              <w:spacing w:before="120" w:line="276" w:lineRule="auto"/>
              <w:jc w:val="both"/>
              <w:rPr>
                <w:rFonts w:ascii="Verdana" w:hAnsi="Verdana"/>
                <w:sz w:val="20"/>
                <w:szCs w:val="20"/>
              </w:rPr>
            </w:pPr>
            <w:r>
              <w:rPr>
                <w:rFonts w:ascii="Verdana" w:hAnsi="Verdana"/>
                <w:sz w:val="20"/>
                <w:szCs w:val="20"/>
              </w:rPr>
              <w:t xml:space="preserve">Индикаторът </w:t>
            </w:r>
            <w:r w:rsidR="00220BE3">
              <w:rPr>
                <w:rFonts w:ascii="Verdana" w:hAnsi="Verdana"/>
                <w:sz w:val="20"/>
                <w:szCs w:val="20"/>
              </w:rPr>
              <w:t xml:space="preserve">не е ясно свързан с поставената специфична цел и </w:t>
            </w:r>
            <w:r w:rsidR="004F6CC2">
              <w:rPr>
                <w:rFonts w:ascii="Verdana" w:hAnsi="Verdana"/>
                <w:sz w:val="20"/>
                <w:szCs w:val="20"/>
              </w:rPr>
              <w:t xml:space="preserve"> съгласно Регламент 1301/2013 е индикатор за продукт.</w:t>
            </w:r>
          </w:p>
        </w:tc>
      </w:tr>
    </w:tbl>
    <w:p w:rsidR="00444CBE" w:rsidRPr="00B45B4F" w:rsidRDefault="00444CBE" w:rsidP="00FA776A">
      <w:pPr>
        <w:keepNext/>
        <w:pBdr>
          <w:bottom w:val="single" w:sz="4" w:space="1" w:color="0070C0"/>
        </w:pBdr>
        <w:spacing w:before="360" w:after="120"/>
        <w:jc w:val="both"/>
        <w:rPr>
          <w:rFonts w:ascii="Verdana" w:hAnsi="Verdana"/>
          <w:color w:val="0070C0"/>
          <w:sz w:val="20"/>
          <w:szCs w:val="20"/>
          <w:lang w:val="bg-BG" w:eastAsia="cs-CZ"/>
        </w:rPr>
      </w:pPr>
      <w:r w:rsidRPr="00B45B4F">
        <w:rPr>
          <w:rFonts w:ascii="Verdana" w:hAnsi="Verdana"/>
          <w:color w:val="0070C0"/>
          <w:sz w:val="20"/>
          <w:szCs w:val="20"/>
          <w:lang w:val="bg-BG" w:eastAsia="cs-CZ"/>
        </w:rPr>
        <w:t>ПО2. Образование и учене през целия живот</w:t>
      </w:r>
    </w:p>
    <w:p w:rsidR="00444CBE" w:rsidRPr="00B45B4F" w:rsidRDefault="00444CBE" w:rsidP="008410DF">
      <w:pPr>
        <w:pStyle w:val="BodyText"/>
        <w:tabs>
          <w:tab w:val="left" w:pos="0"/>
          <w:tab w:val="right" w:pos="9214"/>
        </w:tabs>
        <w:spacing w:before="240" w:line="276" w:lineRule="auto"/>
        <w:jc w:val="both"/>
        <w:rPr>
          <w:rFonts w:ascii="Verdana" w:hAnsi="Verdana"/>
          <w:b/>
          <w:sz w:val="20"/>
          <w:szCs w:val="20"/>
        </w:rPr>
      </w:pPr>
      <w:bookmarkStart w:id="82" w:name="_Toc395612574"/>
      <w:r w:rsidRPr="00B45B4F">
        <w:rPr>
          <w:rFonts w:ascii="Verdana" w:hAnsi="Verdana"/>
          <w:b/>
          <w:color w:val="548DD4" w:themeColor="text2" w:themeTint="99"/>
          <w:sz w:val="20"/>
          <w:szCs w:val="20"/>
        </w:rPr>
        <w:t xml:space="preserve">Таблица </w:t>
      </w:r>
      <w:r w:rsidR="00BF1936" w:rsidRPr="00B45B4F">
        <w:rPr>
          <w:rFonts w:ascii="Verdana" w:hAnsi="Verdana"/>
          <w:b/>
          <w:color w:val="548DD4" w:themeColor="text2" w:themeTint="99"/>
          <w:sz w:val="20"/>
          <w:szCs w:val="20"/>
        </w:rPr>
        <w:fldChar w:fldCharType="begin"/>
      </w:r>
      <w:r w:rsidRPr="00B45B4F">
        <w:rPr>
          <w:rFonts w:ascii="Verdana" w:hAnsi="Verdana"/>
          <w:b/>
          <w:color w:val="548DD4" w:themeColor="text2" w:themeTint="99"/>
          <w:sz w:val="20"/>
          <w:szCs w:val="20"/>
        </w:rPr>
        <w:instrText xml:space="preserve"> SEQ таблица \* ARABIC </w:instrText>
      </w:r>
      <w:r w:rsidR="00BF1936" w:rsidRPr="00B45B4F">
        <w:rPr>
          <w:rFonts w:ascii="Verdana" w:hAnsi="Verdana"/>
          <w:b/>
          <w:color w:val="548DD4" w:themeColor="text2" w:themeTint="99"/>
          <w:sz w:val="20"/>
          <w:szCs w:val="20"/>
        </w:rPr>
        <w:fldChar w:fldCharType="separate"/>
      </w:r>
      <w:r w:rsidR="001361E0">
        <w:rPr>
          <w:rFonts w:ascii="Verdana" w:hAnsi="Verdana"/>
          <w:b/>
          <w:noProof/>
          <w:color w:val="548DD4" w:themeColor="text2" w:themeTint="99"/>
          <w:sz w:val="20"/>
          <w:szCs w:val="20"/>
        </w:rPr>
        <w:t>18</w:t>
      </w:r>
      <w:r w:rsidR="00BF1936" w:rsidRPr="00B45B4F">
        <w:rPr>
          <w:rFonts w:ascii="Verdana" w:hAnsi="Verdana"/>
          <w:b/>
          <w:color w:val="548DD4" w:themeColor="text2" w:themeTint="99"/>
          <w:sz w:val="20"/>
          <w:szCs w:val="20"/>
        </w:rPr>
        <w:fldChar w:fldCharType="end"/>
      </w:r>
      <w:r w:rsidRPr="00B45B4F">
        <w:rPr>
          <w:rFonts w:ascii="Verdana" w:hAnsi="Verdana"/>
          <w:b/>
          <w:color w:val="548DD4" w:themeColor="text2" w:themeTint="99"/>
          <w:sz w:val="20"/>
          <w:szCs w:val="20"/>
        </w:rPr>
        <w:t>. ПО2 - Съответствие между нужди, ИП, дейности и индикатори</w:t>
      </w:r>
      <w:bookmarkEnd w:id="82"/>
    </w:p>
    <w:tbl>
      <w:tblPr>
        <w:tblW w:w="9090" w:type="dxa"/>
        <w:tblCellSpacing w:w="11" w:type="dxa"/>
        <w:tblInd w:w="130" w:type="dxa"/>
        <w:tblLook w:val="00A0" w:firstRow="1" w:lastRow="0" w:firstColumn="1" w:lastColumn="0" w:noHBand="0" w:noVBand="0"/>
      </w:tblPr>
      <w:tblGrid>
        <w:gridCol w:w="1829"/>
        <w:gridCol w:w="7261"/>
      </w:tblGrid>
      <w:tr w:rsidR="00444CBE" w:rsidRPr="00B45B4F" w:rsidTr="00AF6F4A">
        <w:trPr>
          <w:tblCellSpacing w:w="11" w:type="dxa"/>
        </w:trPr>
        <w:tc>
          <w:tcPr>
            <w:tcW w:w="1677" w:type="dxa"/>
            <w:shd w:val="clear" w:color="auto" w:fill="548DD4" w:themeFill="text2" w:themeFillTint="99"/>
          </w:tcPr>
          <w:p w:rsidR="00444CBE" w:rsidRPr="00B45B4F" w:rsidRDefault="00444CBE" w:rsidP="0076200A">
            <w:pPr>
              <w:pStyle w:val="BodyText"/>
              <w:spacing w:before="120" w:line="276" w:lineRule="auto"/>
              <w:jc w:val="center"/>
              <w:rPr>
                <w:rFonts w:ascii="Verdana" w:hAnsi="Verdana"/>
                <w:b/>
                <w:color w:val="FFFFFF"/>
                <w:sz w:val="20"/>
                <w:szCs w:val="20"/>
              </w:rPr>
            </w:pPr>
            <w:r w:rsidRPr="00B45B4F">
              <w:rPr>
                <w:rFonts w:ascii="Verdana" w:hAnsi="Verdana"/>
                <w:b/>
                <w:color w:val="FFFFFF"/>
                <w:sz w:val="20"/>
                <w:szCs w:val="20"/>
              </w:rPr>
              <w:t>Връзка</w:t>
            </w:r>
          </w:p>
        </w:tc>
        <w:tc>
          <w:tcPr>
            <w:tcW w:w="7347" w:type="dxa"/>
            <w:shd w:val="clear" w:color="auto" w:fill="548DD4" w:themeFill="text2" w:themeFillTint="99"/>
          </w:tcPr>
          <w:p w:rsidR="00444CBE" w:rsidRPr="00B45B4F" w:rsidRDefault="00444CBE" w:rsidP="0076200A">
            <w:pPr>
              <w:pStyle w:val="BodyText"/>
              <w:spacing w:before="120" w:line="276" w:lineRule="auto"/>
              <w:jc w:val="center"/>
              <w:rPr>
                <w:rFonts w:ascii="Verdana" w:hAnsi="Verdana"/>
                <w:b/>
                <w:color w:val="FFFFFF"/>
                <w:sz w:val="20"/>
                <w:szCs w:val="20"/>
              </w:rPr>
            </w:pPr>
            <w:r w:rsidRPr="00B45B4F">
              <w:rPr>
                <w:rFonts w:ascii="Verdana" w:hAnsi="Verdana"/>
                <w:b/>
                <w:color w:val="FFFFFF"/>
                <w:sz w:val="20"/>
                <w:szCs w:val="20"/>
              </w:rPr>
              <w:t>Коментар</w:t>
            </w:r>
          </w:p>
        </w:tc>
      </w:tr>
      <w:tr w:rsidR="00444CBE" w:rsidRPr="00B45B4F" w:rsidTr="00F55866">
        <w:trPr>
          <w:trHeight w:val="1456"/>
          <w:tblCellSpacing w:w="11" w:type="dxa"/>
        </w:trPr>
        <w:tc>
          <w:tcPr>
            <w:tcW w:w="9046" w:type="dxa"/>
            <w:gridSpan w:val="2"/>
            <w:shd w:val="clear" w:color="auto" w:fill="FBD4B4"/>
          </w:tcPr>
          <w:p w:rsidR="00444CBE" w:rsidRPr="00B45B4F" w:rsidRDefault="00444CBE" w:rsidP="00AD5B6A">
            <w:pPr>
              <w:autoSpaceDE w:val="0"/>
              <w:autoSpaceDN w:val="0"/>
              <w:adjustRightInd w:val="0"/>
              <w:spacing w:before="120" w:after="120" w:line="288" w:lineRule="auto"/>
              <w:jc w:val="both"/>
              <w:rPr>
                <w:rFonts w:ascii="Verdana" w:hAnsi="Verdana" w:cs="Arial Narrow"/>
                <w:color w:val="000000"/>
                <w:sz w:val="20"/>
                <w:szCs w:val="20"/>
                <w:lang w:val="bg-BG" w:eastAsia="bg-BG"/>
              </w:rPr>
            </w:pPr>
            <w:r w:rsidRPr="00B45B4F">
              <w:rPr>
                <w:rFonts w:ascii="Verdana" w:hAnsi="Verdana"/>
                <w:b/>
                <w:sz w:val="20"/>
                <w:szCs w:val="20"/>
                <w:lang w:val="bg-BG"/>
              </w:rPr>
              <w:t>Инвестиционен приоритет 1</w:t>
            </w:r>
            <w:r w:rsidRPr="00B45B4F">
              <w:rPr>
                <w:rFonts w:ascii="Verdana" w:hAnsi="Verdana"/>
                <w:sz w:val="20"/>
                <w:szCs w:val="20"/>
                <w:lang w:val="bg-BG"/>
              </w:rPr>
              <w:t xml:space="preserve">. </w:t>
            </w:r>
            <w:r w:rsidR="00543A7A" w:rsidRPr="00F86D34">
              <w:rPr>
                <w:rFonts w:ascii="Verdana" w:hAnsi="Verdana" w:cs="Arial Narrow"/>
                <w:i/>
                <w:color w:val="000000"/>
                <w:sz w:val="20"/>
                <w:szCs w:val="20"/>
                <w:lang w:val="bg-BG" w:eastAsia="bg-BG"/>
              </w:rPr>
              <w:t xml:space="preserve">Намаляване и предотвратяване на преждевременното напускане на училище и насърчаване на равния достъп до висококачествено предучилищно, основно и средно образование, включващо формални, неформални и неофициални начини на учене за повторно включване в образователната система и системата на </w:t>
            </w:r>
            <w:r w:rsidR="00AD5B6A" w:rsidRPr="00F86D34">
              <w:rPr>
                <w:rFonts w:ascii="Verdana" w:hAnsi="Verdana" w:cs="Arial Narrow"/>
                <w:i/>
                <w:color w:val="000000"/>
                <w:sz w:val="20"/>
                <w:szCs w:val="20"/>
                <w:lang w:val="bg-BG" w:eastAsia="bg-BG"/>
              </w:rPr>
              <w:t>обучение</w:t>
            </w:r>
            <w:r w:rsidR="00772D54" w:rsidRPr="00F86D34">
              <w:rPr>
                <w:rFonts w:ascii="Verdana" w:hAnsi="Verdana" w:cs="Arial Narrow"/>
                <w:i/>
                <w:color w:val="000000"/>
                <w:sz w:val="20"/>
                <w:szCs w:val="20"/>
                <w:lang w:val="bg-BG" w:eastAsia="bg-BG"/>
              </w:rPr>
              <w:t>.</w:t>
            </w:r>
          </w:p>
        </w:tc>
      </w:tr>
      <w:tr w:rsidR="00444CBE" w:rsidRPr="00B45B4F" w:rsidTr="00F55866">
        <w:trPr>
          <w:tblCellSpacing w:w="11" w:type="dxa"/>
        </w:trPr>
        <w:tc>
          <w:tcPr>
            <w:tcW w:w="1677" w:type="dxa"/>
            <w:shd w:val="clear" w:color="auto" w:fill="FDE9D9"/>
          </w:tcPr>
          <w:p w:rsidR="00444CBE" w:rsidRPr="00B45B4F" w:rsidRDefault="00444CBE" w:rsidP="0076200A">
            <w:pPr>
              <w:pStyle w:val="BodyText"/>
              <w:spacing w:before="120" w:line="276" w:lineRule="auto"/>
              <w:rPr>
                <w:rFonts w:ascii="Verdana" w:hAnsi="Verdana"/>
                <w:sz w:val="20"/>
                <w:szCs w:val="20"/>
              </w:rPr>
            </w:pPr>
            <w:r w:rsidRPr="00B45B4F">
              <w:rPr>
                <w:rFonts w:ascii="Verdana" w:hAnsi="Verdana"/>
                <w:sz w:val="20"/>
                <w:szCs w:val="20"/>
              </w:rPr>
              <w:t xml:space="preserve">Нужди, инвестиционен приоритет и специфична цел </w:t>
            </w:r>
          </w:p>
        </w:tc>
        <w:tc>
          <w:tcPr>
            <w:tcW w:w="7347" w:type="dxa"/>
            <w:shd w:val="clear" w:color="auto" w:fill="DBE5F1"/>
          </w:tcPr>
          <w:p w:rsidR="001B1CFD" w:rsidRPr="00B45B4F" w:rsidRDefault="006E0310" w:rsidP="006E0310">
            <w:pPr>
              <w:pStyle w:val="BodyText"/>
              <w:spacing w:before="120" w:line="276" w:lineRule="auto"/>
              <w:jc w:val="both"/>
              <w:rPr>
                <w:rFonts w:ascii="Verdana" w:hAnsi="Verdana"/>
                <w:sz w:val="20"/>
                <w:szCs w:val="20"/>
              </w:rPr>
            </w:pPr>
            <w:r w:rsidRPr="00B45B4F">
              <w:rPr>
                <w:rFonts w:ascii="Verdana" w:hAnsi="Verdana"/>
                <w:sz w:val="20"/>
                <w:szCs w:val="20"/>
              </w:rPr>
              <w:t>Инвестиционният приоритет е разписан в три специфични цели, които: (1) подобряване постиженията на децата; (2) обхващане и задържане на децата в училище и (3)управление на качеството на образованието</w:t>
            </w:r>
            <w:r w:rsidR="0031370A" w:rsidRPr="00B45B4F">
              <w:rPr>
                <w:rFonts w:ascii="Verdana" w:hAnsi="Verdana"/>
                <w:sz w:val="20"/>
                <w:szCs w:val="20"/>
              </w:rPr>
              <w:t>.</w:t>
            </w:r>
          </w:p>
          <w:p w:rsidR="00444CBE" w:rsidRPr="00B45B4F" w:rsidRDefault="001B1CFD" w:rsidP="006E0310">
            <w:pPr>
              <w:pStyle w:val="BodyText"/>
              <w:spacing w:before="120" w:line="276" w:lineRule="auto"/>
              <w:jc w:val="both"/>
              <w:rPr>
                <w:rFonts w:ascii="Verdana" w:hAnsi="Verdana"/>
                <w:sz w:val="20"/>
                <w:szCs w:val="20"/>
              </w:rPr>
            </w:pPr>
            <w:r w:rsidRPr="00B45B4F">
              <w:rPr>
                <w:rFonts w:ascii="Verdana" w:hAnsi="Verdana"/>
                <w:sz w:val="20"/>
                <w:szCs w:val="20"/>
              </w:rPr>
              <w:t>Обосновката на СЦ1 е уместна и информативна. Посочени са основните проблеми, свързани с постиженията на децата в овладяването на ключови компетентности, сегашната ситуация, както и направеното до момента.</w:t>
            </w:r>
          </w:p>
          <w:p w:rsidR="00D638DE" w:rsidRDefault="001B1CFD" w:rsidP="00B57A71">
            <w:pPr>
              <w:pStyle w:val="BodyText"/>
              <w:spacing w:before="120" w:line="276" w:lineRule="auto"/>
              <w:jc w:val="both"/>
              <w:rPr>
                <w:rFonts w:ascii="Verdana" w:hAnsi="Verdana"/>
                <w:sz w:val="20"/>
                <w:szCs w:val="20"/>
              </w:rPr>
            </w:pPr>
            <w:r w:rsidRPr="00B45B4F">
              <w:rPr>
                <w:rFonts w:ascii="Verdana" w:hAnsi="Verdana"/>
                <w:sz w:val="20"/>
                <w:szCs w:val="20"/>
              </w:rPr>
              <w:t xml:space="preserve">СЦ2 също е добре обоснована, като е описана </w:t>
            </w:r>
            <w:r w:rsidR="00772D54" w:rsidRPr="00B45B4F">
              <w:rPr>
                <w:rFonts w:ascii="Verdana" w:hAnsi="Verdana"/>
                <w:sz w:val="20"/>
                <w:szCs w:val="20"/>
              </w:rPr>
              <w:t>настоящата</w:t>
            </w:r>
            <w:r w:rsidRPr="00B45B4F">
              <w:rPr>
                <w:rFonts w:ascii="Verdana" w:hAnsi="Verdana"/>
                <w:sz w:val="20"/>
                <w:szCs w:val="20"/>
              </w:rPr>
              <w:t xml:space="preserve"> </w:t>
            </w:r>
            <w:r w:rsidRPr="00B45B4F">
              <w:rPr>
                <w:rFonts w:ascii="Verdana" w:hAnsi="Verdana"/>
                <w:sz w:val="20"/>
                <w:szCs w:val="20"/>
              </w:rPr>
              <w:lastRenderedPageBreak/>
              <w:t>ситуация, целите, които трябва да бъдат постигнати, както и основните причини за преждевременно</w:t>
            </w:r>
            <w:r w:rsidR="00772D54" w:rsidRPr="00B45B4F">
              <w:rPr>
                <w:rFonts w:ascii="Verdana" w:hAnsi="Verdana"/>
                <w:sz w:val="20"/>
                <w:szCs w:val="20"/>
              </w:rPr>
              <w:t>то</w:t>
            </w:r>
            <w:r w:rsidRPr="00B45B4F">
              <w:rPr>
                <w:rFonts w:ascii="Verdana" w:hAnsi="Verdana"/>
                <w:sz w:val="20"/>
                <w:szCs w:val="20"/>
              </w:rPr>
              <w:t xml:space="preserve"> напускане на училище. Сред причините за напускане на училище е посочено социалното положение на семействата, което наред с други комплексни причини също е основна движеща сила за </w:t>
            </w:r>
            <w:proofErr w:type="spellStart"/>
            <w:r w:rsidR="009B0002" w:rsidRPr="00B45B4F">
              <w:rPr>
                <w:rFonts w:ascii="Verdana" w:hAnsi="Verdana"/>
                <w:sz w:val="20"/>
                <w:szCs w:val="20"/>
              </w:rPr>
              <w:t>непосещаване</w:t>
            </w:r>
            <w:proofErr w:type="spellEnd"/>
            <w:r w:rsidR="009B0002" w:rsidRPr="00B45B4F">
              <w:rPr>
                <w:rFonts w:ascii="Verdana" w:hAnsi="Verdana"/>
                <w:sz w:val="20"/>
                <w:szCs w:val="20"/>
              </w:rPr>
              <w:t xml:space="preserve"> и </w:t>
            </w:r>
            <w:r w:rsidRPr="00B45B4F">
              <w:rPr>
                <w:rFonts w:ascii="Verdana" w:hAnsi="Verdana"/>
                <w:sz w:val="20"/>
                <w:szCs w:val="20"/>
              </w:rPr>
              <w:t>напускане на училище</w:t>
            </w:r>
            <w:r w:rsidR="00D638DE">
              <w:rPr>
                <w:rFonts w:ascii="Verdana" w:hAnsi="Verdana"/>
                <w:sz w:val="20"/>
                <w:szCs w:val="20"/>
              </w:rPr>
              <w:t xml:space="preserve">. Не е посочено обаче, дали този проблем се адресира </w:t>
            </w:r>
            <w:r w:rsidR="009B0002" w:rsidRPr="00B45B4F">
              <w:rPr>
                <w:rFonts w:ascii="Verdana" w:hAnsi="Verdana"/>
                <w:sz w:val="20"/>
                <w:szCs w:val="20"/>
              </w:rPr>
              <w:t xml:space="preserve">понастоящем </w:t>
            </w:r>
            <w:r w:rsidR="00D638DE">
              <w:rPr>
                <w:rFonts w:ascii="Verdana" w:hAnsi="Verdana"/>
                <w:sz w:val="20"/>
                <w:szCs w:val="20"/>
              </w:rPr>
              <w:t>и как</w:t>
            </w:r>
            <w:r w:rsidRPr="00B45B4F">
              <w:rPr>
                <w:rFonts w:ascii="Verdana" w:hAnsi="Verdana"/>
                <w:sz w:val="20"/>
                <w:szCs w:val="20"/>
              </w:rPr>
              <w:t>.</w:t>
            </w:r>
          </w:p>
          <w:p w:rsidR="001B1CFD" w:rsidRPr="00B45B4F" w:rsidRDefault="00BF5004" w:rsidP="00FB3AF7">
            <w:pPr>
              <w:pStyle w:val="BodyText"/>
              <w:spacing w:before="120" w:line="276" w:lineRule="auto"/>
              <w:jc w:val="both"/>
              <w:rPr>
                <w:rFonts w:ascii="Verdana" w:hAnsi="Verdana"/>
                <w:sz w:val="20"/>
                <w:szCs w:val="20"/>
              </w:rPr>
            </w:pPr>
            <w:r w:rsidRPr="00B45B4F">
              <w:rPr>
                <w:rFonts w:ascii="Verdana" w:hAnsi="Verdana"/>
                <w:sz w:val="20"/>
                <w:szCs w:val="20"/>
              </w:rPr>
              <w:t>Третата специфична цел посочва проблемите</w:t>
            </w:r>
            <w:r w:rsidR="00702120">
              <w:rPr>
                <w:rFonts w:ascii="Verdana" w:hAnsi="Verdana"/>
                <w:sz w:val="20"/>
                <w:szCs w:val="20"/>
              </w:rPr>
              <w:t xml:space="preserve"> и </w:t>
            </w:r>
            <w:r w:rsidRPr="00B45B4F">
              <w:rPr>
                <w:rFonts w:ascii="Verdana" w:hAnsi="Verdana"/>
                <w:sz w:val="20"/>
                <w:szCs w:val="20"/>
              </w:rPr>
              <w:t>недостатъци</w:t>
            </w:r>
            <w:r w:rsidR="00702120">
              <w:rPr>
                <w:rFonts w:ascii="Verdana" w:hAnsi="Verdana"/>
                <w:sz w:val="20"/>
                <w:szCs w:val="20"/>
              </w:rPr>
              <w:t>те</w:t>
            </w:r>
            <w:r w:rsidRPr="00B45B4F">
              <w:rPr>
                <w:rFonts w:ascii="Verdana" w:hAnsi="Verdana"/>
                <w:sz w:val="20"/>
                <w:szCs w:val="20"/>
              </w:rPr>
              <w:t xml:space="preserve"> в системата на управление на качеството на образованието.</w:t>
            </w:r>
          </w:p>
        </w:tc>
      </w:tr>
      <w:tr w:rsidR="00444CBE" w:rsidRPr="00B45B4F" w:rsidTr="00F55866">
        <w:trPr>
          <w:tblCellSpacing w:w="11" w:type="dxa"/>
        </w:trPr>
        <w:tc>
          <w:tcPr>
            <w:tcW w:w="1677" w:type="dxa"/>
            <w:shd w:val="clear" w:color="auto" w:fill="FDE9D9"/>
          </w:tcPr>
          <w:p w:rsidR="00444CBE" w:rsidRPr="00B45B4F" w:rsidRDefault="00444CBE" w:rsidP="0076200A">
            <w:pPr>
              <w:pStyle w:val="BodyText"/>
              <w:spacing w:before="120" w:line="276" w:lineRule="auto"/>
              <w:rPr>
                <w:rFonts w:ascii="Verdana" w:hAnsi="Verdana"/>
                <w:sz w:val="20"/>
                <w:szCs w:val="20"/>
              </w:rPr>
            </w:pPr>
            <w:r w:rsidRPr="00B45B4F">
              <w:rPr>
                <w:rFonts w:ascii="Verdana" w:hAnsi="Verdana"/>
                <w:sz w:val="20"/>
                <w:szCs w:val="20"/>
              </w:rPr>
              <w:lastRenderedPageBreak/>
              <w:t>Нужди и предвидени дейности</w:t>
            </w:r>
          </w:p>
        </w:tc>
        <w:tc>
          <w:tcPr>
            <w:tcW w:w="7347" w:type="dxa"/>
            <w:shd w:val="clear" w:color="auto" w:fill="C6D9F1"/>
          </w:tcPr>
          <w:p w:rsidR="00444CBE" w:rsidRPr="00B45B4F" w:rsidRDefault="0076200A" w:rsidP="00065C14">
            <w:pPr>
              <w:pStyle w:val="BodyText"/>
              <w:spacing w:before="120" w:line="276" w:lineRule="auto"/>
              <w:jc w:val="both"/>
              <w:rPr>
                <w:rFonts w:ascii="Verdana" w:hAnsi="Verdana"/>
                <w:sz w:val="20"/>
                <w:szCs w:val="20"/>
              </w:rPr>
            </w:pPr>
            <w:r w:rsidRPr="00B45B4F">
              <w:rPr>
                <w:rFonts w:ascii="Verdana" w:hAnsi="Verdana"/>
                <w:sz w:val="20"/>
                <w:szCs w:val="20"/>
              </w:rPr>
              <w:t xml:space="preserve">Предвидени са множество дейности, някои от които са много близки като съдържание. </w:t>
            </w:r>
            <w:r w:rsidR="00EB2718">
              <w:rPr>
                <w:rFonts w:ascii="Verdana" w:hAnsi="Verdana"/>
                <w:sz w:val="20"/>
                <w:szCs w:val="20"/>
              </w:rPr>
              <w:t>О</w:t>
            </w:r>
            <w:r w:rsidRPr="00B45B4F">
              <w:rPr>
                <w:rFonts w:ascii="Verdana" w:hAnsi="Verdana"/>
                <w:sz w:val="20"/>
                <w:szCs w:val="20"/>
              </w:rPr>
              <w:t xml:space="preserve">бединяването на някои от тях </w:t>
            </w:r>
            <w:r w:rsidR="00EB2718">
              <w:rPr>
                <w:rFonts w:ascii="Verdana" w:hAnsi="Verdana"/>
                <w:sz w:val="20"/>
                <w:szCs w:val="20"/>
              </w:rPr>
              <w:t xml:space="preserve">(например има 4 дейности, свързани с ИКТ) </w:t>
            </w:r>
            <w:r w:rsidRPr="00B45B4F">
              <w:rPr>
                <w:rFonts w:ascii="Verdana" w:hAnsi="Verdana"/>
                <w:sz w:val="20"/>
                <w:szCs w:val="20"/>
              </w:rPr>
              <w:t xml:space="preserve">и прецизирането на формулировката на други, ще допринесе за подобряване яснотата на </w:t>
            </w:r>
            <w:r w:rsidR="00772D54" w:rsidRPr="00B45B4F">
              <w:rPr>
                <w:rFonts w:ascii="Verdana" w:hAnsi="Verdana"/>
                <w:sz w:val="20"/>
                <w:szCs w:val="20"/>
              </w:rPr>
              <w:t>изложението</w:t>
            </w:r>
            <w:r w:rsidRPr="00B45B4F">
              <w:rPr>
                <w:rFonts w:ascii="Verdana" w:hAnsi="Verdana"/>
                <w:sz w:val="20"/>
                <w:szCs w:val="20"/>
              </w:rPr>
              <w:t>.</w:t>
            </w:r>
          </w:p>
        </w:tc>
      </w:tr>
      <w:tr w:rsidR="00444CBE" w:rsidRPr="00B45B4F" w:rsidTr="00F55866">
        <w:trPr>
          <w:tblCellSpacing w:w="11" w:type="dxa"/>
        </w:trPr>
        <w:tc>
          <w:tcPr>
            <w:tcW w:w="1677" w:type="dxa"/>
            <w:shd w:val="clear" w:color="auto" w:fill="FDE9D9"/>
          </w:tcPr>
          <w:p w:rsidR="00444CBE" w:rsidRPr="00B45B4F" w:rsidRDefault="00444CBE" w:rsidP="0076200A">
            <w:pPr>
              <w:pStyle w:val="BodyText"/>
              <w:spacing w:before="120" w:line="276" w:lineRule="auto"/>
              <w:rPr>
                <w:rFonts w:ascii="Verdana" w:hAnsi="Verdana"/>
                <w:sz w:val="20"/>
                <w:szCs w:val="20"/>
              </w:rPr>
            </w:pPr>
            <w:r w:rsidRPr="00B45B4F">
              <w:rPr>
                <w:rFonts w:ascii="Verdana" w:hAnsi="Verdana"/>
                <w:sz w:val="20"/>
                <w:szCs w:val="20"/>
              </w:rPr>
              <w:t>Индикатори за продукт и предвидени дейности</w:t>
            </w:r>
          </w:p>
        </w:tc>
        <w:tc>
          <w:tcPr>
            <w:tcW w:w="7347" w:type="dxa"/>
            <w:shd w:val="clear" w:color="auto" w:fill="DBE5F1"/>
          </w:tcPr>
          <w:p w:rsidR="00444CBE" w:rsidRDefault="002C6A7A" w:rsidP="00661F30">
            <w:pPr>
              <w:pStyle w:val="BodyText"/>
              <w:spacing w:before="120" w:line="276" w:lineRule="auto"/>
              <w:jc w:val="both"/>
              <w:rPr>
                <w:rFonts w:ascii="Verdana" w:hAnsi="Verdana"/>
                <w:sz w:val="20"/>
                <w:szCs w:val="20"/>
              </w:rPr>
            </w:pPr>
            <w:r>
              <w:rPr>
                <w:rFonts w:ascii="Verdana" w:hAnsi="Verdana"/>
                <w:sz w:val="20"/>
                <w:szCs w:val="20"/>
              </w:rPr>
              <w:t>Посочени са следните индикатори за продукт:</w:t>
            </w:r>
          </w:p>
          <w:p w:rsidR="002C6A7A" w:rsidRPr="002C6A7A" w:rsidRDefault="002C6A7A" w:rsidP="006861B0">
            <w:pPr>
              <w:pStyle w:val="BodyText"/>
              <w:numPr>
                <w:ilvl w:val="0"/>
                <w:numId w:val="21"/>
              </w:numPr>
              <w:spacing w:before="120" w:line="276" w:lineRule="auto"/>
              <w:jc w:val="both"/>
              <w:rPr>
                <w:rFonts w:ascii="Verdana" w:hAnsi="Verdana"/>
                <w:i/>
                <w:sz w:val="20"/>
                <w:szCs w:val="20"/>
              </w:rPr>
            </w:pPr>
            <w:r w:rsidRPr="002C6A7A">
              <w:rPr>
                <w:rFonts w:ascii="Verdana" w:hAnsi="Verdana"/>
                <w:i/>
                <w:sz w:val="20"/>
                <w:szCs w:val="20"/>
              </w:rPr>
              <w:t>Брой деца на възраст от 4 години до започване на училище, обхванати в предучилищно образование</w:t>
            </w:r>
          </w:p>
          <w:p w:rsidR="002C6A7A" w:rsidRPr="002C6A7A" w:rsidRDefault="002C6A7A" w:rsidP="006861B0">
            <w:pPr>
              <w:pStyle w:val="BodyText"/>
              <w:numPr>
                <w:ilvl w:val="0"/>
                <w:numId w:val="21"/>
              </w:numPr>
              <w:spacing w:before="120" w:line="276" w:lineRule="auto"/>
              <w:jc w:val="both"/>
              <w:rPr>
                <w:rFonts w:ascii="Verdana" w:hAnsi="Verdana"/>
                <w:i/>
                <w:sz w:val="20"/>
                <w:szCs w:val="20"/>
              </w:rPr>
            </w:pPr>
            <w:r w:rsidRPr="002C6A7A">
              <w:rPr>
                <w:rFonts w:ascii="Verdana" w:hAnsi="Verdana"/>
                <w:i/>
                <w:sz w:val="20"/>
                <w:szCs w:val="20"/>
              </w:rPr>
              <w:t>Брой ученици, получили стипендии;</w:t>
            </w:r>
          </w:p>
          <w:p w:rsidR="002C6A7A" w:rsidRPr="002C6A7A" w:rsidRDefault="002C6A7A" w:rsidP="006861B0">
            <w:pPr>
              <w:pStyle w:val="BodyText"/>
              <w:numPr>
                <w:ilvl w:val="0"/>
                <w:numId w:val="21"/>
              </w:numPr>
              <w:spacing w:before="120" w:line="276" w:lineRule="auto"/>
              <w:jc w:val="both"/>
              <w:rPr>
                <w:rFonts w:ascii="Verdana" w:hAnsi="Verdana"/>
                <w:i/>
                <w:sz w:val="20"/>
                <w:szCs w:val="20"/>
              </w:rPr>
            </w:pPr>
            <w:r w:rsidRPr="002C6A7A">
              <w:rPr>
                <w:rFonts w:ascii="Verdana" w:hAnsi="Verdana"/>
                <w:i/>
                <w:sz w:val="20"/>
                <w:szCs w:val="20"/>
              </w:rPr>
              <w:t>Брой ученици, включени в извънкласни и извънучилищни дейности</w:t>
            </w:r>
          </w:p>
          <w:p w:rsidR="002C6A7A" w:rsidRPr="002C6A7A" w:rsidRDefault="002C6A7A" w:rsidP="006861B0">
            <w:pPr>
              <w:pStyle w:val="BodyText"/>
              <w:numPr>
                <w:ilvl w:val="0"/>
                <w:numId w:val="21"/>
              </w:numPr>
              <w:spacing w:before="120" w:line="276" w:lineRule="auto"/>
              <w:jc w:val="both"/>
              <w:rPr>
                <w:rFonts w:ascii="Verdana" w:hAnsi="Verdana"/>
                <w:i/>
                <w:sz w:val="20"/>
                <w:szCs w:val="20"/>
              </w:rPr>
            </w:pPr>
            <w:r w:rsidRPr="002C6A7A">
              <w:rPr>
                <w:rFonts w:ascii="Verdana" w:hAnsi="Verdana"/>
                <w:i/>
                <w:sz w:val="20"/>
                <w:szCs w:val="20"/>
              </w:rPr>
              <w:t>Брой ученици явили се на национално и регионално външно оценяване;</w:t>
            </w:r>
          </w:p>
          <w:p w:rsidR="002C6A7A" w:rsidRPr="002C6A7A" w:rsidRDefault="002C6A7A" w:rsidP="006861B0">
            <w:pPr>
              <w:pStyle w:val="BodyText"/>
              <w:numPr>
                <w:ilvl w:val="0"/>
                <w:numId w:val="21"/>
              </w:numPr>
              <w:spacing w:before="120" w:line="276" w:lineRule="auto"/>
              <w:jc w:val="both"/>
              <w:rPr>
                <w:rFonts w:ascii="Verdana" w:hAnsi="Verdana"/>
                <w:i/>
                <w:sz w:val="20"/>
                <w:szCs w:val="20"/>
              </w:rPr>
            </w:pPr>
            <w:r w:rsidRPr="002C6A7A">
              <w:rPr>
                <w:rFonts w:ascii="Verdana" w:hAnsi="Verdana"/>
                <w:i/>
                <w:sz w:val="20"/>
                <w:szCs w:val="20"/>
              </w:rPr>
              <w:t>Брой проведени национални и регионални външни оценявания;</w:t>
            </w:r>
          </w:p>
          <w:p w:rsidR="002C6A7A" w:rsidRDefault="002C6A7A" w:rsidP="006861B0">
            <w:pPr>
              <w:pStyle w:val="BodyText"/>
              <w:numPr>
                <w:ilvl w:val="0"/>
                <w:numId w:val="21"/>
              </w:numPr>
              <w:spacing w:before="120" w:line="276" w:lineRule="auto"/>
              <w:jc w:val="both"/>
              <w:rPr>
                <w:rFonts w:ascii="Verdana" w:hAnsi="Verdana"/>
                <w:i/>
                <w:sz w:val="20"/>
                <w:szCs w:val="20"/>
              </w:rPr>
            </w:pPr>
            <w:r w:rsidRPr="002C6A7A">
              <w:rPr>
                <w:rFonts w:ascii="Verdana" w:hAnsi="Verdana"/>
                <w:i/>
                <w:sz w:val="20"/>
                <w:szCs w:val="20"/>
              </w:rPr>
              <w:t>Брой педагогически специалисти преминали обучения за прилагане на международни стандарти за оценяване на учениците;</w:t>
            </w:r>
          </w:p>
          <w:p w:rsidR="00220BE3" w:rsidRPr="00220BE3" w:rsidRDefault="00220BE3" w:rsidP="00220BE3">
            <w:pPr>
              <w:pStyle w:val="BodyText"/>
              <w:spacing w:before="120" w:line="276" w:lineRule="auto"/>
              <w:jc w:val="both"/>
              <w:rPr>
                <w:rFonts w:ascii="Verdana" w:hAnsi="Verdana"/>
                <w:sz w:val="20"/>
                <w:szCs w:val="20"/>
              </w:rPr>
            </w:pPr>
            <w:r>
              <w:rPr>
                <w:rFonts w:ascii="Verdana" w:hAnsi="Verdana"/>
                <w:sz w:val="20"/>
                <w:szCs w:val="20"/>
              </w:rPr>
              <w:t>Четвъртият и петият индикатор имат един и същ смисъл, като четвъртият индикатор не  е обвързан с дейностите за подкрепа и е извън контрола на програмата.</w:t>
            </w:r>
          </w:p>
        </w:tc>
      </w:tr>
      <w:tr w:rsidR="00444CBE" w:rsidRPr="00B45B4F" w:rsidTr="00F55866">
        <w:trPr>
          <w:tblCellSpacing w:w="11" w:type="dxa"/>
        </w:trPr>
        <w:tc>
          <w:tcPr>
            <w:tcW w:w="1677" w:type="dxa"/>
            <w:shd w:val="clear" w:color="auto" w:fill="FDE9D9"/>
          </w:tcPr>
          <w:p w:rsidR="00444CBE" w:rsidRPr="00B45B4F" w:rsidRDefault="00444CBE" w:rsidP="0076200A">
            <w:pPr>
              <w:pStyle w:val="BodyText"/>
              <w:spacing w:before="120" w:line="276" w:lineRule="auto"/>
              <w:rPr>
                <w:rFonts w:ascii="Verdana" w:hAnsi="Verdana"/>
                <w:sz w:val="20"/>
                <w:szCs w:val="20"/>
              </w:rPr>
            </w:pPr>
            <w:r w:rsidRPr="00B45B4F">
              <w:rPr>
                <w:rFonts w:ascii="Verdana" w:hAnsi="Verdana"/>
                <w:sz w:val="20"/>
                <w:szCs w:val="20"/>
              </w:rPr>
              <w:t>Индикатори за резултат и специфични цели</w:t>
            </w:r>
          </w:p>
        </w:tc>
        <w:tc>
          <w:tcPr>
            <w:tcW w:w="7347" w:type="dxa"/>
            <w:shd w:val="clear" w:color="auto" w:fill="C6D9F1"/>
          </w:tcPr>
          <w:p w:rsidR="00444CBE" w:rsidRPr="00B45B4F" w:rsidRDefault="00444CBE" w:rsidP="0076200A">
            <w:pPr>
              <w:pStyle w:val="BodyText"/>
              <w:spacing w:before="120" w:line="276" w:lineRule="auto"/>
              <w:jc w:val="both"/>
              <w:rPr>
                <w:rFonts w:ascii="Verdana" w:hAnsi="Verdana"/>
                <w:sz w:val="20"/>
                <w:szCs w:val="20"/>
              </w:rPr>
            </w:pPr>
            <w:r w:rsidRPr="00B45B4F">
              <w:rPr>
                <w:rFonts w:ascii="Verdana" w:hAnsi="Verdana"/>
                <w:sz w:val="20"/>
                <w:szCs w:val="20"/>
              </w:rPr>
              <w:t xml:space="preserve">Предвидени са </w:t>
            </w:r>
            <w:r w:rsidR="00BF5004" w:rsidRPr="00B45B4F">
              <w:rPr>
                <w:rFonts w:ascii="Verdana" w:hAnsi="Verdana"/>
                <w:sz w:val="20"/>
                <w:szCs w:val="20"/>
              </w:rPr>
              <w:t>следните</w:t>
            </w:r>
            <w:r w:rsidRPr="00B45B4F">
              <w:rPr>
                <w:rFonts w:ascii="Verdana" w:hAnsi="Verdana"/>
                <w:sz w:val="20"/>
                <w:szCs w:val="20"/>
              </w:rPr>
              <w:t xml:space="preserve"> индикатор</w:t>
            </w:r>
            <w:r w:rsidR="00BF5004" w:rsidRPr="00B45B4F">
              <w:rPr>
                <w:rFonts w:ascii="Verdana" w:hAnsi="Verdana"/>
                <w:sz w:val="20"/>
                <w:szCs w:val="20"/>
              </w:rPr>
              <w:t>и</w:t>
            </w:r>
            <w:r w:rsidRPr="00B45B4F">
              <w:rPr>
                <w:rFonts w:ascii="Verdana" w:hAnsi="Verdana"/>
                <w:sz w:val="20"/>
                <w:szCs w:val="20"/>
              </w:rPr>
              <w:t xml:space="preserve"> за резултат</w:t>
            </w:r>
            <w:r w:rsidR="00BF5004" w:rsidRPr="00B45B4F">
              <w:rPr>
                <w:rFonts w:ascii="Verdana" w:hAnsi="Verdana"/>
                <w:sz w:val="20"/>
                <w:szCs w:val="20"/>
              </w:rPr>
              <w:t>:</w:t>
            </w:r>
          </w:p>
          <w:p w:rsidR="002C6A7A" w:rsidRPr="002C6A7A" w:rsidRDefault="002C6A7A" w:rsidP="006861B0">
            <w:pPr>
              <w:pStyle w:val="BodyText"/>
              <w:numPr>
                <w:ilvl w:val="0"/>
                <w:numId w:val="21"/>
              </w:numPr>
              <w:spacing w:before="120" w:line="276" w:lineRule="auto"/>
              <w:jc w:val="both"/>
              <w:rPr>
                <w:rFonts w:ascii="Verdana" w:hAnsi="Verdana"/>
                <w:i/>
                <w:sz w:val="20"/>
                <w:szCs w:val="20"/>
              </w:rPr>
            </w:pPr>
            <w:r w:rsidRPr="002C6A7A">
              <w:rPr>
                <w:rFonts w:ascii="Verdana" w:hAnsi="Verdana"/>
                <w:i/>
                <w:sz w:val="20"/>
                <w:szCs w:val="20"/>
              </w:rPr>
              <w:t>Най-много 11% ПНУ от лицата на възраст между 18 и 24 г.</w:t>
            </w:r>
          </w:p>
          <w:p w:rsidR="002C6A7A" w:rsidRPr="002C6A7A" w:rsidRDefault="002C6A7A" w:rsidP="006861B0">
            <w:pPr>
              <w:pStyle w:val="BodyText"/>
              <w:numPr>
                <w:ilvl w:val="0"/>
                <w:numId w:val="21"/>
              </w:numPr>
              <w:spacing w:before="120" w:line="276" w:lineRule="auto"/>
              <w:jc w:val="both"/>
              <w:rPr>
                <w:rFonts w:ascii="Verdana" w:hAnsi="Verdana"/>
                <w:i/>
                <w:sz w:val="20"/>
                <w:szCs w:val="20"/>
              </w:rPr>
            </w:pPr>
            <w:proofErr w:type="spellStart"/>
            <w:r w:rsidRPr="002C6A7A">
              <w:rPr>
                <w:rFonts w:ascii="Verdana" w:hAnsi="Verdana"/>
                <w:i/>
                <w:sz w:val="20"/>
                <w:szCs w:val="20"/>
              </w:rPr>
              <w:t>Повишeн</w:t>
            </w:r>
            <w:proofErr w:type="spellEnd"/>
            <w:r w:rsidRPr="002C6A7A">
              <w:rPr>
                <w:rFonts w:ascii="Verdana" w:hAnsi="Verdana"/>
                <w:i/>
                <w:sz w:val="20"/>
                <w:szCs w:val="20"/>
              </w:rPr>
              <w:t xml:space="preserve"> среден резултат на българските четвъртокласници по PIRLS – до 540 точки</w:t>
            </w:r>
          </w:p>
          <w:p w:rsidR="002C6A7A" w:rsidRPr="002C6A7A" w:rsidRDefault="002C6A7A" w:rsidP="006861B0">
            <w:pPr>
              <w:pStyle w:val="BodyText"/>
              <w:numPr>
                <w:ilvl w:val="0"/>
                <w:numId w:val="21"/>
              </w:numPr>
              <w:spacing w:before="120" w:line="276" w:lineRule="auto"/>
              <w:jc w:val="both"/>
              <w:rPr>
                <w:rFonts w:ascii="Verdana" w:hAnsi="Verdana"/>
                <w:i/>
                <w:sz w:val="20"/>
                <w:szCs w:val="20"/>
              </w:rPr>
            </w:pPr>
            <w:proofErr w:type="spellStart"/>
            <w:r w:rsidRPr="002C6A7A">
              <w:rPr>
                <w:rFonts w:ascii="Verdana" w:hAnsi="Verdana"/>
                <w:i/>
                <w:sz w:val="20"/>
                <w:szCs w:val="20"/>
              </w:rPr>
              <w:t>Повишeн</w:t>
            </w:r>
            <w:proofErr w:type="spellEnd"/>
            <w:r w:rsidRPr="002C6A7A">
              <w:rPr>
                <w:rFonts w:ascii="Verdana" w:hAnsi="Verdana"/>
                <w:i/>
                <w:sz w:val="20"/>
                <w:szCs w:val="20"/>
              </w:rPr>
              <w:t xml:space="preserve"> среден резултат на момичетата по PIRLS – до 549 точки</w:t>
            </w:r>
          </w:p>
          <w:p w:rsidR="00661F30" w:rsidRPr="002C6A7A" w:rsidRDefault="002C6A7A" w:rsidP="006861B0">
            <w:pPr>
              <w:pStyle w:val="BodyText"/>
              <w:numPr>
                <w:ilvl w:val="0"/>
                <w:numId w:val="21"/>
              </w:numPr>
              <w:spacing w:before="120" w:line="276" w:lineRule="auto"/>
              <w:jc w:val="both"/>
              <w:rPr>
                <w:rFonts w:ascii="Verdana" w:hAnsi="Verdana"/>
                <w:sz w:val="20"/>
                <w:szCs w:val="20"/>
              </w:rPr>
            </w:pPr>
            <w:proofErr w:type="spellStart"/>
            <w:r w:rsidRPr="002C6A7A">
              <w:rPr>
                <w:rFonts w:ascii="Verdana" w:hAnsi="Verdana"/>
                <w:i/>
                <w:sz w:val="20"/>
                <w:szCs w:val="20"/>
              </w:rPr>
              <w:t>Повишeн</w:t>
            </w:r>
            <w:proofErr w:type="spellEnd"/>
            <w:r w:rsidRPr="002C6A7A">
              <w:rPr>
                <w:rFonts w:ascii="Verdana" w:hAnsi="Verdana"/>
                <w:i/>
                <w:sz w:val="20"/>
                <w:szCs w:val="20"/>
              </w:rPr>
              <w:t xml:space="preserve"> среден резултат на момчетата по PIRLS – до 531 точки </w:t>
            </w:r>
          </w:p>
          <w:p w:rsidR="002C6A7A" w:rsidRPr="002C6A7A" w:rsidRDefault="002C6A7A" w:rsidP="006861B0">
            <w:pPr>
              <w:pStyle w:val="BodyText"/>
              <w:numPr>
                <w:ilvl w:val="0"/>
                <w:numId w:val="21"/>
              </w:numPr>
              <w:spacing w:before="120" w:line="276" w:lineRule="auto"/>
              <w:jc w:val="both"/>
              <w:rPr>
                <w:rFonts w:ascii="Verdana" w:hAnsi="Verdana"/>
                <w:i/>
                <w:sz w:val="20"/>
                <w:szCs w:val="20"/>
              </w:rPr>
            </w:pPr>
            <w:r w:rsidRPr="002C6A7A">
              <w:rPr>
                <w:rFonts w:ascii="Verdana" w:hAnsi="Verdana"/>
                <w:i/>
                <w:sz w:val="20"/>
                <w:szCs w:val="20"/>
              </w:rPr>
              <w:lastRenderedPageBreak/>
              <w:t xml:space="preserve">Най-много 30% от 15-годишните ученици с умения, оценени под критичния втори праг в познавателна област „четене“ по скалата на PISA. </w:t>
            </w:r>
          </w:p>
          <w:p w:rsidR="002C6A7A" w:rsidRPr="002C6A7A" w:rsidRDefault="002C6A7A" w:rsidP="006861B0">
            <w:pPr>
              <w:pStyle w:val="BodyText"/>
              <w:numPr>
                <w:ilvl w:val="0"/>
                <w:numId w:val="21"/>
              </w:numPr>
              <w:spacing w:before="120" w:line="276" w:lineRule="auto"/>
              <w:jc w:val="both"/>
              <w:rPr>
                <w:rFonts w:ascii="Verdana" w:hAnsi="Verdana"/>
                <w:i/>
                <w:sz w:val="20"/>
                <w:szCs w:val="20"/>
              </w:rPr>
            </w:pPr>
            <w:r w:rsidRPr="002C6A7A">
              <w:rPr>
                <w:rFonts w:ascii="Verdana" w:hAnsi="Verdana"/>
                <w:i/>
                <w:sz w:val="20"/>
                <w:szCs w:val="20"/>
              </w:rPr>
              <w:t xml:space="preserve">Най-много 35% от 15-годишните ученици с умения, оценени под критичния втори праг в познавателна област „математика“ по скалата на PISA. </w:t>
            </w:r>
          </w:p>
          <w:p w:rsidR="002C6A7A" w:rsidRPr="002C6A7A" w:rsidRDefault="002C6A7A" w:rsidP="006861B0">
            <w:pPr>
              <w:pStyle w:val="BodyText"/>
              <w:numPr>
                <w:ilvl w:val="0"/>
                <w:numId w:val="21"/>
              </w:numPr>
              <w:spacing w:before="120" w:line="276" w:lineRule="auto"/>
              <w:jc w:val="both"/>
              <w:rPr>
                <w:rFonts w:ascii="Verdana" w:hAnsi="Verdana"/>
                <w:i/>
                <w:sz w:val="20"/>
                <w:szCs w:val="20"/>
              </w:rPr>
            </w:pPr>
            <w:r w:rsidRPr="002C6A7A">
              <w:rPr>
                <w:rFonts w:ascii="Verdana" w:hAnsi="Verdana"/>
                <w:i/>
                <w:sz w:val="20"/>
                <w:szCs w:val="20"/>
              </w:rPr>
              <w:t xml:space="preserve">Най-много 30% от 15-годишните ученици с умения, оценени под критичния втори праг в познавателна област „природни науки“ по скалата на PISA. </w:t>
            </w:r>
          </w:p>
          <w:p w:rsidR="002C6A7A" w:rsidRPr="002C6A7A" w:rsidRDefault="002C6A7A" w:rsidP="002C6A7A">
            <w:pPr>
              <w:pStyle w:val="BodyText"/>
              <w:spacing w:before="120" w:line="276" w:lineRule="auto"/>
              <w:jc w:val="both"/>
              <w:rPr>
                <w:rFonts w:ascii="Verdana" w:hAnsi="Verdana"/>
                <w:sz w:val="20"/>
                <w:szCs w:val="20"/>
              </w:rPr>
            </w:pPr>
            <w:r>
              <w:rPr>
                <w:rFonts w:ascii="Verdana" w:hAnsi="Verdana"/>
                <w:sz w:val="20"/>
                <w:szCs w:val="20"/>
              </w:rPr>
              <w:t>Предвидените индикатори за резултат са твърде много. Съгласно насоките на ЕК броят на индикаторите за резултат трябва да бъде ограничен до 1-2 за специфична цел. Предвидените индикатори не измерват пряко постигането на третата специфична цел.</w:t>
            </w:r>
          </w:p>
        </w:tc>
      </w:tr>
      <w:tr w:rsidR="00444CBE" w:rsidRPr="00B45B4F" w:rsidTr="00F55866">
        <w:trPr>
          <w:tblCellSpacing w:w="11" w:type="dxa"/>
        </w:trPr>
        <w:tc>
          <w:tcPr>
            <w:tcW w:w="9046" w:type="dxa"/>
            <w:gridSpan w:val="2"/>
            <w:shd w:val="clear" w:color="auto" w:fill="FBD4B4"/>
          </w:tcPr>
          <w:p w:rsidR="00543A7A" w:rsidRPr="00B45B4F" w:rsidRDefault="00444CBE" w:rsidP="00DB7D26">
            <w:pPr>
              <w:spacing w:before="120" w:after="120"/>
              <w:jc w:val="both"/>
              <w:rPr>
                <w:rFonts w:ascii="Verdana" w:hAnsi="Verdana"/>
                <w:sz w:val="20"/>
                <w:szCs w:val="20"/>
                <w:lang w:val="bg-BG"/>
              </w:rPr>
            </w:pPr>
            <w:r w:rsidRPr="00B45B4F">
              <w:rPr>
                <w:rFonts w:ascii="Verdana" w:hAnsi="Verdana"/>
                <w:b/>
                <w:sz w:val="20"/>
                <w:szCs w:val="20"/>
                <w:lang w:val="bg-BG"/>
              </w:rPr>
              <w:lastRenderedPageBreak/>
              <w:t>Инвестиционен приоритет 2</w:t>
            </w:r>
            <w:r w:rsidRPr="00B45B4F">
              <w:rPr>
                <w:rFonts w:ascii="Verdana" w:hAnsi="Verdana"/>
                <w:sz w:val="20"/>
                <w:szCs w:val="20"/>
                <w:lang w:val="bg-BG"/>
              </w:rPr>
              <w:t xml:space="preserve">. </w:t>
            </w:r>
            <w:r w:rsidR="00543A7A" w:rsidRPr="00F86D34">
              <w:rPr>
                <w:rFonts w:ascii="Verdana" w:hAnsi="Verdana" w:cs="Arial Narrow"/>
                <w:i/>
                <w:color w:val="000000"/>
                <w:sz w:val="20"/>
                <w:szCs w:val="20"/>
                <w:lang w:val="bg-BG" w:eastAsia="bg-BG"/>
              </w:rPr>
              <w:t>Подобряване на качеството и ефикасността и достъпа до висшето и равностойното на него образование с цел увеличаване на участието и подобряване на равнищата на образование, особено за групите в неравностойно положение</w:t>
            </w:r>
            <w:r w:rsidR="00DB7D26" w:rsidRPr="00F86D34">
              <w:rPr>
                <w:rFonts w:ascii="Verdana" w:hAnsi="Verdana" w:cs="Arial Narrow"/>
                <w:i/>
                <w:color w:val="000000"/>
                <w:sz w:val="20"/>
                <w:szCs w:val="20"/>
                <w:lang w:val="bg-BG" w:eastAsia="bg-BG"/>
              </w:rPr>
              <w:t>.</w:t>
            </w:r>
          </w:p>
        </w:tc>
      </w:tr>
      <w:tr w:rsidR="00444CBE" w:rsidRPr="00B45B4F" w:rsidTr="00F55866">
        <w:trPr>
          <w:tblCellSpacing w:w="11" w:type="dxa"/>
        </w:trPr>
        <w:tc>
          <w:tcPr>
            <w:tcW w:w="1677" w:type="dxa"/>
            <w:shd w:val="clear" w:color="auto" w:fill="FDE9D9"/>
          </w:tcPr>
          <w:p w:rsidR="00444CBE" w:rsidRPr="00B45B4F" w:rsidRDefault="00444CBE" w:rsidP="0076200A">
            <w:pPr>
              <w:pStyle w:val="BodyText"/>
              <w:spacing w:before="120" w:line="276" w:lineRule="auto"/>
              <w:rPr>
                <w:rFonts w:ascii="Verdana" w:hAnsi="Verdana"/>
                <w:sz w:val="20"/>
                <w:szCs w:val="20"/>
              </w:rPr>
            </w:pPr>
            <w:r w:rsidRPr="00B45B4F">
              <w:rPr>
                <w:rFonts w:ascii="Verdana" w:hAnsi="Verdana"/>
                <w:sz w:val="20"/>
                <w:szCs w:val="20"/>
              </w:rPr>
              <w:t xml:space="preserve">Нужди, инвестиционен приоритет и специфична цел </w:t>
            </w:r>
          </w:p>
        </w:tc>
        <w:tc>
          <w:tcPr>
            <w:tcW w:w="7347" w:type="dxa"/>
            <w:shd w:val="clear" w:color="auto" w:fill="DBE5F1"/>
          </w:tcPr>
          <w:p w:rsidR="00047F73" w:rsidRPr="00B45B4F" w:rsidRDefault="00047F73" w:rsidP="0076200A">
            <w:pPr>
              <w:pStyle w:val="BodyText"/>
              <w:spacing w:before="120" w:line="276" w:lineRule="auto"/>
              <w:jc w:val="both"/>
              <w:rPr>
                <w:rFonts w:ascii="Verdana" w:hAnsi="Verdana"/>
                <w:sz w:val="20"/>
                <w:szCs w:val="20"/>
              </w:rPr>
            </w:pPr>
            <w:r w:rsidRPr="00B45B4F">
              <w:rPr>
                <w:rFonts w:ascii="Verdana" w:hAnsi="Verdana"/>
                <w:sz w:val="20"/>
                <w:szCs w:val="20"/>
              </w:rPr>
              <w:t>Инвестиционният приоритет е разписан в три специфични цели (1) подобряване на знанията и уменията на студентите и възможностите за реализация на завършилите висше образование (2) оптимизиране дейността на висшите училища (3) подобряване на достъпа до висше образование.</w:t>
            </w:r>
          </w:p>
          <w:p w:rsidR="00000D32" w:rsidRDefault="00740F6D" w:rsidP="00065C14">
            <w:pPr>
              <w:pStyle w:val="BodyText"/>
              <w:spacing w:before="120" w:line="276" w:lineRule="auto"/>
              <w:jc w:val="both"/>
              <w:rPr>
                <w:rFonts w:ascii="Verdana" w:hAnsi="Verdana"/>
                <w:sz w:val="20"/>
                <w:szCs w:val="20"/>
              </w:rPr>
            </w:pPr>
            <w:r>
              <w:rPr>
                <w:rFonts w:ascii="Verdana" w:hAnsi="Verdana"/>
                <w:sz w:val="20"/>
                <w:szCs w:val="20"/>
              </w:rPr>
              <w:t xml:space="preserve">Обосновката на първата специфична цел посочва като основни предизвикателства ниското качество на образование и </w:t>
            </w:r>
            <w:r w:rsidR="00000D32">
              <w:rPr>
                <w:rFonts w:ascii="Verdana" w:hAnsi="Verdana"/>
                <w:sz w:val="20"/>
                <w:szCs w:val="20"/>
              </w:rPr>
              <w:t xml:space="preserve">слабата реализация на завършващите на пазара на труда по специалностите, които са завършили и формирането на университетите като предимно образователни институции, без развитие на научна дейност, което не способства за подобряване на качеството на образованието и съответно престижа учебните заведения. На база на слабостите са посочени проблеми и подходи за решаването им. </w:t>
            </w:r>
          </w:p>
          <w:p w:rsidR="00000D32" w:rsidRDefault="00000D32" w:rsidP="00B57A71">
            <w:pPr>
              <w:pStyle w:val="BodyText"/>
              <w:spacing w:before="120" w:line="276" w:lineRule="auto"/>
              <w:jc w:val="both"/>
              <w:rPr>
                <w:rFonts w:ascii="Verdana" w:hAnsi="Verdana"/>
                <w:sz w:val="20"/>
                <w:szCs w:val="20"/>
              </w:rPr>
            </w:pPr>
            <w:r>
              <w:rPr>
                <w:rFonts w:ascii="Verdana" w:hAnsi="Verdana"/>
                <w:sz w:val="20"/>
                <w:szCs w:val="20"/>
              </w:rPr>
              <w:t xml:space="preserve">Обосновката на втората специфична цел </w:t>
            </w:r>
            <w:r w:rsidR="00D275B1">
              <w:rPr>
                <w:rFonts w:ascii="Verdana" w:hAnsi="Verdana"/>
                <w:sz w:val="20"/>
                <w:szCs w:val="20"/>
              </w:rPr>
              <w:t>анализира причините за ниското качество на образованието, като основна причина е посочено неадекватното финансиране на висшите училища, което се базира на броя на студентите, а не на качеството на образованието.</w:t>
            </w:r>
          </w:p>
          <w:p w:rsidR="00055181" w:rsidRPr="00B45B4F" w:rsidRDefault="009815DF" w:rsidP="00065C14">
            <w:pPr>
              <w:pStyle w:val="BodyText"/>
              <w:spacing w:before="120" w:line="276" w:lineRule="auto"/>
              <w:jc w:val="both"/>
              <w:rPr>
                <w:rFonts w:ascii="Verdana" w:hAnsi="Verdana"/>
                <w:sz w:val="20"/>
                <w:szCs w:val="20"/>
              </w:rPr>
            </w:pPr>
            <w:r w:rsidRPr="00B45B4F">
              <w:rPr>
                <w:rFonts w:ascii="Verdana" w:hAnsi="Verdana"/>
                <w:sz w:val="20"/>
                <w:szCs w:val="20"/>
              </w:rPr>
              <w:t>Анализът на нуждите в т</w:t>
            </w:r>
            <w:r w:rsidR="00055181" w:rsidRPr="00B45B4F">
              <w:rPr>
                <w:rFonts w:ascii="Verdana" w:hAnsi="Verdana"/>
                <w:sz w:val="20"/>
                <w:szCs w:val="20"/>
              </w:rPr>
              <w:t xml:space="preserve">ретата специфична </w:t>
            </w:r>
            <w:r w:rsidRPr="00B45B4F">
              <w:rPr>
                <w:rFonts w:ascii="Verdana" w:hAnsi="Verdana"/>
                <w:sz w:val="20"/>
                <w:szCs w:val="20"/>
              </w:rPr>
              <w:t>може бъде допълнен с информация относно</w:t>
            </w:r>
            <w:r w:rsidR="00F224CD">
              <w:rPr>
                <w:rFonts w:ascii="Verdana" w:hAnsi="Verdana"/>
                <w:sz w:val="20"/>
                <w:szCs w:val="20"/>
              </w:rPr>
              <w:t xml:space="preserve"> </w:t>
            </w:r>
            <w:r w:rsidR="00F95718" w:rsidRPr="00B45B4F">
              <w:rPr>
                <w:rFonts w:ascii="Verdana" w:hAnsi="Verdana"/>
                <w:sz w:val="20"/>
                <w:szCs w:val="20"/>
              </w:rPr>
              <w:t xml:space="preserve">броя на записаните и броя на завършилите </w:t>
            </w:r>
            <w:r w:rsidR="00055181" w:rsidRPr="00B45B4F">
              <w:rPr>
                <w:rFonts w:ascii="Verdana" w:hAnsi="Verdana"/>
                <w:sz w:val="20"/>
                <w:szCs w:val="20"/>
              </w:rPr>
              <w:t>висше образование</w:t>
            </w:r>
            <w:r w:rsidRPr="00B45B4F">
              <w:rPr>
                <w:rFonts w:ascii="Verdana" w:hAnsi="Verdana"/>
                <w:sz w:val="20"/>
                <w:szCs w:val="20"/>
              </w:rPr>
              <w:t xml:space="preserve"> и</w:t>
            </w:r>
            <w:r w:rsidR="00F224CD">
              <w:rPr>
                <w:rFonts w:ascii="Verdana" w:hAnsi="Verdana"/>
                <w:sz w:val="20"/>
                <w:szCs w:val="20"/>
              </w:rPr>
              <w:t xml:space="preserve"> </w:t>
            </w:r>
            <w:r w:rsidR="00F95718" w:rsidRPr="00B45B4F">
              <w:rPr>
                <w:rFonts w:ascii="Verdana" w:hAnsi="Verdana"/>
                <w:sz w:val="20"/>
                <w:szCs w:val="20"/>
              </w:rPr>
              <w:t xml:space="preserve">основните </w:t>
            </w:r>
            <w:r w:rsidR="00055181" w:rsidRPr="00B45B4F">
              <w:rPr>
                <w:rFonts w:ascii="Verdana" w:hAnsi="Verdana"/>
                <w:sz w:val="20"/>
                <w:szCs w:val="20"/>
              </w:rPr>
              <w:t>причини за ниския процент на завършващи</w:t>
            </w:r>
            <w:r w:rsidR="00862E13" w:rsidRPr="00B45B4F">
              <w:rPr>
                <w:rFonts w:ascii="Verdana" w:hAnsi="Verdana"/>
                <w:sz w:val="20"/>
                <w:szCs w:val="20"/>
              </w:rPr>
              <w:t>те</w:t>
            </w:r>
            <w:r w:rsidR="00055181" w:rsidRPr="00B45B4F">
              <w:rPr>
                <w:rFonts w:ascii="Verdana" w:hAnsi="Verdana"/>
                <w:sz w:val="20"/>
                <w:szCs w:val="20"/>
              </w:rPr>
              <w:t xml:space="preserve"> висше образованите. За някои от причините може да се съди по дефинираните подходи – стипендии, дистанционна форма на обучение, но самите причини </w:t>
            </w:r>
            <w:r w:rsidR="00055181" w:rsidRPr="00B45B4F">
              <w:rPr>
                <w:rFonts w:ascii="Verdana" w:hAnsi="Verdana"/>
                <w:sz w:val="20"/>
                <w:szCs w:val="20"/>
              </w:rPr>
              <w:lastRenderedPageBreak/>
              <w:t>не са посочени и анализирани. Не е достатъчно убедително твърдението, че подобряването на моделите за прием ще доведе и до по-голям процент на завършилите образование.</w:t>
            </w:r>
          </w:p>
        </w:tc>
      </w:tr>
      <w:tr w:rsidR="00444CBE" w:rsidRPr="00B45B4F" w:rsidTr="00F55866">
        <w:trPr>
          <w:tblCellSpacing w:w="11" w:type="dxa"/>
        </w:trPr>
        <w:tc>
          <w:tcPr>
            <w:tcW w:w="1677" w:type="dxa"/>
            <w:shd w:val="clear" w:color="auto" w:fill="FDE9D9"/>
          </w:tcPr>
          <w:p w:rsidR="00444CBE" w:rsidRPr="00B45B4F" w:rsidRDefault="00444CBE" w:rsidP="0076200A">
            <w:pPr>
              <w:pStyle w:val="BodyText"/>
              <w:spacing w:before="120" w:line="276" w:lineRule="auto"/>
              <w:rPr>
                <w:rFonts w:ascii="Verdana" w:hAnsi="Verdana"/>
                <w:sz w:val="20"/>
                <w:szCs w:val="20"/>
              </w:rPr>
            </w:pPr>
            <w:r w:rsidRPr="00B45B4F">
              <w:rPr>
                <w:rFonts w:ascii="Verdana" w:hAnsi="Verdana"/>
                <w:sz w:val="20"/>
                <w:szCs w:val="20"/>
              </w:rPr>
              <w:lastRenderedPageBreak/>
              <w:t>Нужди и предвидени дейности</w:t>
            </w:r>
          </w:p>
        </w:tc>
        <w:tc>
          <w:tcPr>
            <w:tcW w:w="7347" w:type="dxa"/>
            <w:shd w:val="clear" w:color="auto" w:fill="C6D9F1"/>
          </w:tcPr>
          <w:p w:rsidR="00444CBE" w:rsidRPr="00B45B4F" w:rsidRDefault="004D16C5" w:rsidP="00065C14">
            <w:pPr>
              <w:pStyle w:val="BodyText"/>
              <w:spacing w:before="120" w:line="276" w:lineRule="auto"/>
              <w:jc w:val="both"/>
              <w:rPr>
                <w:rFonts w:ascii="Verdana" w:hAnsi="Verdana"/>
                <w:sz w:val="20"/>
                <w:szCs w:val="20"/>
              </w:rPr>
            </w:pPr>
            <w:r w:rsidRPr="00B45B4F">
              <w:rPr>
                <w:rFonts w:ascii="Verdana" w:hAnsi="Verdana"/>
                <w:sz w:val="20"/>
                <w:szCs w:val="20"/>
              </w:rPr>
              <w:t>Планираните дейности, като цяло адресират поставените цели. Не са дефинирани достатъчно подходящи дейности за подобряване на възможностите за реализация на завършилите висше образование</w:t>
            </w:r>
            <w:r w:rsidR="00D523CC" w:rsidRPr="00B45B4F">
              <w:rPr>
                <w:rFonts w:ascii="Verdana" w:hAnsi="Verdana"/>
                <w:sz w:val="20"/>
                <w:szCs w:val="20"/>
              </w:rPr>
              <w:t>.</w:t>
            </w:r>
          </w:p>
        </w:tc>
      </w:tr>
      <w:tr w:rsidR="00444CBE" w:rsidRPr="00B45B4F" w:rsidTr="00F55866">
        <w:trPr>
          <w:tblCellSpacing w:w="11" w:type="dxa"/>
        </w:trPr>
        <w:tc>
          <w:tcPr>
            <w:tcW w:w="1677" w:type="dxa"/>
            <w:shd w:val="clear" w:color="auto" w:fill="FDE9D9"/>
          </w:tcPr>
          <w:p w:rsidR="00444CBE" w:rsidRPr="00B45B4F" w:rsidRDefault="00444CBE" w:rsidP="0076200A">
            <w:pPr>
              <w:pStyle w:val="BodyText"/>
              <w:spacing w:before="120" w:line="276" w:lineRule="auto"/>
              <w:rPr>
                <w:rFonts w:ascii="Verdana" w:hAnsi="Verdana"/>
                <w:sz w:val="20"/>
                <w:szCs w:val="20"/>
              </w:rPr>
            </w:pPr>
            <w:r w:rsidRPr="00B45B4F">
              <w:rPr>
                <w:rFonts w:ascii="Verdana" w:hAnsi="Verdana"/>
                <w:sz w:val="20"/>
                <w:szCs w:val="20"/>
              </w:rPr>
              <w:t>Индикатори за продукт и предвидени дейности</w:t>
            </w:r>
          </w:p>
        </w:tc>
        <w:tc>
          <w:tcPr>
            <w:tcW w:w="7347" w:type="dxa"/>
            <w:shd w:val="clear" w:color="auto" w:fill="DBE5F1"/>
          </w:tcPr>
          <w:p w:rsidR="00444CBE" w:rsidRDefault="007B1BDA" w:rsidP="004D16C5">
            <w:pPr>
              <w:pStyle w:val="BodyText"/>
              <w:spacing w:before="120" w:line="276" w:lineRule="auto"/>
              <w:jc w:val="both"/>
              <w:rPr>
                <w:rFonts w:ascii="Verdana" w:hAnsi="Verdana"/>
                <w:sz w:val="20"/>
                <w:szCs w:val="20"/>
              </w:rPr>
            </w:pPr>
            <w:r>
              <w:rPr>
                <w:rFonts w:ascii="Verdana" w:hAnsi="Verdana"/>
                <w:sz w:val="20"/>
                <w:szCs w:val="20"/>
              </w:rPr>
              <w:t>Предвидени са следните индикатори за продукт:</w:t>
            </w:r>
          </w:p>
          <w:p w:rsidR="007B1BDA" w:rsidRPr="007B1BDA" w:rsidRDefault="007B1BDA" w:rsidP="006861B0">
            <w:pPr>
              <w:pStyle w:val="BodyText"/>
              <w:numPr>
                <w:ilvl w:val="0"/>
                <w:numId w:val="23"/>
              </w:numPr>
              <w:spacing w:before="120" w:line="276" w:lineRule="auto"/>
              <w:jc w:val="both"/>
              <w:rPr>
                <w:rFonts w:ascii="Verdana" w:hAnsi="Verdana"/>
                <w:i/>
                <w:sz w:val="20"/>
                <w:szCs w:val="20"/>
              </w:rPr>
            </w:pPr>
            <w:r w:rsidRPr="007B1BDA">
              <w:rPr>
                <w:rFonts w:ascii="Verdana" w:hAnsi="Verdana"/>
                <w:i/>
                <w:sz w:val="20"/>
                <w:szCs w:val="20"/>
              </w:rPr>
              <w:t>Брой студенти обучаващи се по нови учебни планове и програми</w:t>
            </w:r>
          </w:p>
          <w:p w:rsidR="007B1BDA" w:rsidRPr="007B1BDA" w:rsidRDefault="007B1BDA" w:rsidP="006861B0">
            <w:pPr>
              <w:pStyle w:val="BodyText"/>
              <w:numPr>
                <w:ilvl w:val="0"/>
                <w:numId w:val="23"/>
              </w:numPr>
              <w:spacing w:before="120" w:line="276" w:lineRule="auto"/>
              <w:jc w:val="both"/>
              <w:rPr>
                <w:rFonts w:ascii="Verdana" w:hAnsi="Verdana"/>
                <w:i/>
                <w:sz w:val="20"/>
                <w:szCs w:val="20"/>
              </w:rPr>
            </w:pPr>
            <w:r w:rsidRPr="007B1BDA">
              <w:rPr>
                <w:rFonts w:ascii="Verdana" w:hAnsi="Verdana"/>
                <w:i/>
                <w:sz w:val="20"/>
                <w:szCs w:val="20"/>
              </w:rPr>
              <w:t>Брой разработени нови учебни планове и програми</w:t>
            </w:r>
          </w:p>
          <w:p w:rsidR="007B1BDA" w:rsidRPr="007B1BDA" w:rsidRDefault="007B1BDA" w:rsidP="006861B0">
            <w:pPr>
              <w:pStyle w:val="BodyText"/>
              <w:numPr>
                <w:ilvl w:val="0"/>
                <w:numId w:val="23"/>
              </w:numPr>
              <w:spacing w:before="120" w:line="276" w:lineRule="auto"/>
              <w:jc w:val="both"/>
              <w:rPr>
                <w:rFonts w:ascii="Verdana" w:hAnsi="Verdana"/>
                <w:i/>
                <w:sz w:val="20"/>
                <w:szCs w:val="20"/>
              </w:rPr>
            </w:pPr>
            <w:r w:rsidRPr="007B1BDA">
              <w:rPr>
                <w:rFonts w:ascii="Verdana" w:hAnsi="Verdana"/>
                <w:i/>
                <w:sz w:val="20"/>
                <w:szCs w:val="20"/>
              </w:rPr>
              <w:t>Брой обучени преподаватели</w:t>
            </w:r>
          </w:p>
          <w:p w:rsidR="007B1BDA" w:rsidRPr="007B1BDA" w:rsidRDefault="007B1BDA" w:rsidP="006861B0">
            <w:pPr>
              <w:pStyle w:val="BodyText"/>
              <w:numPr>
                <w:ilvl w:val="0"/>
                <w:numId w:val="23"/>
              </w:numPr>
              <w:spacing w:before="120" w:line="276" w:lineRule="auto"/>
              <w:jc w:val="both"/>
              <w:rPr>
                <w:rFonts w:ascii="Verdana" w:hAnsi="Verdana"/>
                <w:i/>
                <w:sz w:val="20"/>
                <w:szCs w:val="20"/>
              </w:rPr>
            </w:pPr>
            <w:r w:rsidRPr="007B1BDA">
              <w:rPr>
                <w:rFonts w:ascii="Verdana" w:hAnsi="Verdana"/>
                <w:i/>
                <w:sz w:val="20"/>
                <w:szCs w:val="20"/>
              </w:rPr>
              <w:t>Брой висши училища, участващи в инициативи за консолидация</w:t>
            </w:r>
          </w:p>
          <w:p w:rsidR="007B1BDA" w:rsidRPr="007B1BDA" w:rsidRDefault="007B1BDA" w:rsidP="006861B0">
            <w:pPr>
              <w:pStyle w:val="BodyText"/>
              <w:numPr>
                <w:ilvl w:val="0"/>
                <w:numId w:val="23"/>
              </w:numPr>
              <w:spacing w:before="120" w:line="276" w:lineRule="auto"/>
              <w:jc w:val="both"/>
              <w:rPr>
                <w:rFonts w:ascii="Verdana" w:hAnsi="Verdana"/>
                <w:i/>
                <w:sz w:val="20"/>
                <w:szCs w:val="20"/>
              </w:rPr>
            </w:pPr>
            <w:r w:rsidRPr="007B1BDA">
              <w:rPr>
                <w:rFonts w:ascii="Verdana" w:hAnsi="Verdana"/>
                <w:i/>
                <w:sz w:val="20"/>
                <w:szCs w:val="20"/>
              </w:rPr>
              <w:t>Брой студенти, получили стипендии и специални стипендии;</w:t>
            </w:r>
          </w:p>
          <w:p w:rsidR="007B1BDA" w:rsidRPr="00505A4F" w:rsidRDefault="007B1BDA" w:rsidP="006861B0">
            <w:pPr>
              <w:pStyle w:val="BodyText"/>
              <w:numPr>
                <w:ilvl w:val="0"/>
                <w:numId w:val="23"/>
              </w:numPr>
              <w:spacing w:before="120" w:line="276" w:lineRule="auto"/>
              <w:jc w:val="both"/>
              <w:rPr>
                <w:rFonts w:ascii="Verdana" w:hAnsi="Verdana"/>
                <w:sz w:val="20"/>
                <w:szCs w:val="20"/>
              </w:rPr>
            </w:pPr>
            <w:r w:rsidRPr="007B1BDA">
              <w:rPr>
                <w:rFonts w:ascii="Verdana" w:hAnsi="Verdana"/>
                <w:i/>
                <w:sz w:val="20"/>
                <w:szCs w:val="20"/>
              </w:rPr>
              <w:t>Брой студенти, получили студентско кредитиране</w:t>
            </w:r>
          </w:p>
          <w:p w:rsidR="00505A4F" w:rsidRPr="00505A4F" w:rsidRDefault="00505A4F" w:rsidP="00505A4F">
            <w:pPr>
              <w:pStyle w:val="BodyText"/>
              <w:spacing w:before="120" w:line="276" w:lineRule="auto"/>
              <w:jc w:val="both"/>
              <w:rPr>
                <w:rFonts w:ascii="Verdana" w:hAnsi="Verdana"/>
                <w:sz w:val="20"/>
                <w:szCs w:val="20"/>
              </w:rPr>
            </w:pPr>
            <w:r>
              <w:rPr>
                <w:rFonts w:ascii="Verdana" w:hAnsi="Verdana"/>
                <w:sz w:val="20"/>
                <w:szCs w:val="20"/>
              </w:rPr>
              <w:t xml:space="preserve">Индикатори 3 и </w:t>
            </w:r>
            <w:r w:rsidR="00765D10">
              <w:rPr>
                <w:rFonts w:ascii="Verdana" w:hAnsi="Verdana"/>
                <w:sz w:val="20"/>
                <w:szCs w:val="20"/>
              </w:rPr>
              <w:t xml:space="preserve">4 </w:t>
            </w:r>
            <w:r>
              <w:rPr>
                <w:rFonts w:ascii="Verdana" w:hAnsi="Verdana"/>
                <w:sz w:val="20"/>
                <w:szCs w:val="20"/>
              </w:rPr>
              <w:t>не кореспондират на заложените дейности.</w:t>
            </w:r>
          </w:p>
        </w:tc>
      </w:tr>
      <w:tr w:rsidR="00444CBE" w:rsidRPr="00B45B4F" w:rsidTr="00F55866">
        <w:trPr>
          <w:tblCellSpacing w:w="11" w:type="dxa"/>
        </w:trPr>
        <w:tc>
          <w:tcPr>
            <w:tcW w:w="1677" w:type="dxa"/>
            <w:shd w:val="clear" w:color="auto" w:fill="FDE9D9"/>
          </w:tcPr>
          <w:p w:rsidR="00444CBE" w:rsidRPr="00B45B4F" w:rsidRDefault="00444CBE" w:rsidP="0076200A">
            <w:pPr>
              <w:pStyle w:val="BodyText"/>
              <w:spacing w:before="120" w:line="276" w:lineRule="auto"/>
              <w:rPr>
                <w:rFonts w:ascii="Verdana" w:hAnsi="Verdana"/>
                <w:sz w:val="20"/>
                <w:szCs w:val="20"/>
              </w:rPr>
            </w:pPr>
            <w:r w:rsidRPr="00B45B4F">
              <w:rPr>
                <w:rFonts w:ascii="Verdana" w:hAnsi="Verdana"/>
                <w:sz w:val="20"/>
                <w:szCs w:val="20"/>
              </w:rPr>
              <w:t>Индикатори за резултат и специфични цели</w:t>
            </w:r>
          </w:p>
        </w:tc>
        <w:tc>
          <w:tcPr>
            <w:tcW w:w="7347" w:type="dxa"/>
            <w:shd w:val="clear" w:color="auto" w:fill="C6D9F1"/>
          </w:tcPr>
          <w:p w:rsidR="00A33263" w:rsidRPr="00B45B4F" w:rsidRDefault="00A33263" w:rsidP="00A33263">
            <w:pPr>
              <w:pStyle w:val="BodyText"/>
              <w:spacing w:before="120" w:line="276" w:lineRule="auto"/>
              <w:jc w:val="both"/>
              <w:rPr>
                <w:rFonts w:ascii="Verdana" w:hAnsi="Verdana"/>
                <w:sz w:val="20"/>
                <w:szCs w:val="20"/>
              </w:rPr>
            </w:pPr>
            <w:r w:rsidRPr="00B45B4F">
              <w:rPr>
                <w:rFonts w:ascii="Verdana" w:hAnsi="Verdana"/>
                <w:sz w:val="20"/>
                <w:szCs w:val="20"/>
              </w:rPr>
              <w:t xml:space="preserve">Предвидени са </w:t>
            </w:r>
            <w:r w:rsidR="00505A4F">
              <w:rPr>
                <w:rFonts w:ascii="Verdana" w:hAnsi="Verdana"/>
                <w:sz w:val="20"/>
                <w:szCs w:val="20"/>
              </w:rPr>
              <w:t>четири</w:t>
            </w:r>
            <w:r w:rsidRPr="00B45B4F">
              <w:rPr>
                <w:rFonts w:ascii="Verdana" w:hAnsi="Verdana"/>
                <w:sz w:val="20"/>
                <w:szCs w:val="20"/>
              </w:rPr>
              <w:t xml:space="preserve"> индикатора за резултат:</w:t>
            </w:r>
          </w:p>
          <w:p w:rsidR="007B1BDA" w:rsidRDefault="007B1BDA" w:rsidP="006861B0">
            <w:pPr>
              <w:pStyle w:val="BodyText"/>
              <w:numPr>
                <w:ilvl w:val="0"/>
                <w:numId w:val="23"/>
              </w:numPr>
              <w:spacing w:before="120" w:line="276" w:lineRule="auto"/>
              <w:jc w:val="both"/>
              <w:rPr>
                <w:rFonts w:ascii="Verdana" w:hAnsi="Verdana"/>
                <w:i/>
                <w:sz w:val="20"/>
                <w:szCs w:val="20"/>
              </w:rPr>
            </w:pPr>
            <w:r w:rsidRPr="007B1BDA">
              <w:rPr>
                <w:rFonts w:ascii="Verdana" w:hAnsi="Verdana"/>
                <w:i/>
                <w:sz w:val="20"/>
                <w:szCs w:val="20"/>
              </w:rPr>
              <w:t>Дял на завършилите висше образование, които са започнали работа през първата година след завършването</w:t>
            </w:r>
          </w:p>
          <w:p w:rsidR="00505A4F" w:rsidRPr="00505A4F" w:rsidRDefault="00505A4F" w:rsidP="006861B0">
            <w:pPr>
              <w:pStyle w:val="BodyText"/>
              <w:numPr>
                <w:ilvl w:val="0"/>
                <w:numId w:val="23"/>
              </w:numPr>
              <w:spacing w:before="120" w:line="276" w:lineRule="auto"/>
              <w:jc w:val="both"/>
              <w:rPr>
                <w:rFonts w:ascii="Verdana" w:hAnsi="Verdana"/>
                <w:i/>
                <w:sz w:val="20"/>
                <w:szCs w:val="20"/>
              </w:rPr>
            </w:pPr>
            <w:r w:rsidRPr="00505A4F">
              <w:rPr>
                <w:rFonts w:ascii="Verdana" w:hAnsi="Verdana"/>
                <w:i/>
                <w:sz w:val="20"/>
                <w:szCs w:val="20"/>
              </w:rPr>
              <w:t>Брой ВУ с усъвършенствана система за външно и вътрешно оценяване;</w:t>
            </w:r>
          </w:p>
          <w:p w:rsidR="00505A4F" w:rsidRDefault="00505A4F" w:rsidP="006861B0">
            <w:pPr>
              <w:pStyle w:val="BodyText"/>
              <w:numPr>
                <w:ilvl w:val="0"/>
                <w:numId w:val="23"/>
              </w:numPr>
              <w:spacing w:before="120" w:line="276" w:lineRule="auto"/>
              <w:jc w:val="both"/>
              <w:rPr>
                <w:rFonts w:ascii="Verdana" w:hAnsi="Verdana"/>
                <w:i/>
                <w:sz w:val="20"/>
                <w:szCs w:val="20"/>
              </w:rPr>
            </w:pPr>
            <w:r w:rsidRPr="00505A4F">
              <w:rPr>
                <w:rFonts w:ascii="Verdana" w:hAnsi="Verdana"/>
                <w:i/>
                <w:sz w:val="20"/>
                <w:szCs w:val="20"/>
              </w:rPr>
              <w:t>Повишен с най-малко…..процента дял от финансирането за висшите училища, който се формира на база показателите от рейтинговата система.</w:t>
            </w:r>
          </w:p>
          <w:p w:rsidR="00444CBE" w:rsidRPr="00505A4F" w:rsidRDefault="00505A4F" w:rsidP="006861B0">
            <w:pPr>
              <w:pStyle w:val="BodyText"/>
              <w:numPr>
                <w:ilvl w:val="0"/>
                <w:numId w:val="23"/>
              </w:numPr>
              <w:spacing w:before="120" w:line="276" w:lineRule="auto"/>
              <w:jc w:val="both"/>
              <w:rPr>
                <w:rFonts w:ascii="Verdana" w:hAnsi="Verdana"/>
                <w:sz w:val="20"/>
                <w:szCs w:val="20"/>
              </w:rPr>
            </w:pPr>
            <w:r w:rsidRPr="00505A4F">
              <w:rPr>
                <w:rFonts w:ascii="Verdana" w:hAnsi="Verdana"/>
                <w:i/>
                <w:sz w:val="20"/>
                <w:szCs w:val="20"/>
              </w:rPr>
              <w:t>Най-малко 36 % от 30-34-годишните с висше образование</w:t>
            </w:r>
          </w:p>
          <w:p w:rsidR="00505A4F" w:rsidRPr="00505A4F" w:rsidRDefault="00505A4F" w:rsidP="00505A4F">
            <w:pPr>
              <w:pStyle w:val="BodyText"/>
              <w:spacing w:before="120" w:line="276" w:lineRule="auto"/>
              <w:ind w:left="360"/>
              <w:jc w:val="both"/>
              <w:rPr>
                <w:rFonts w:ascii="Verdana" w:hAnsi="Verdana"/>
                <w:sz w:val="20"/>
                <w:szCs w:val="20"/>
              </w:rPr>
            </w:pPr>
            <w:r>
              <w:rPr>
                <w:rFonts w:ascii="Verdana" w:hAnsi="Verdana"/>
                <w:sz w:val="20"/>
                <w:szCs w:val="20"/>
              </w:rPr>
              <w:t xml:space="preserve">Вторият индикатор е неясен и е по-скоро индикатор за продукт. </w:t>
            </w:r>
          </w:p>
        </w:tc>
      </w:tr>
      <w:tr w:rsidR="00057F10" w:rsidRPr="00B45B4F" w:rsidTr="00F55866">
        <w:trPr>
          <w:tblCellSpacing w:w="11" w:type="dxa"/>
        </w:trPr>
        <w:tc>
          <w:tcPr>
            <w:tcW w:w="9046" w:type="dxa"/>
            <w:gridSpan w:val="2"/>
            <w:shd w:val="clear" w:color="auto" w:fill="FBD4B4"/>
          </w:tcPr>
          <w:p w:rsidR="00057F10" w:rsidRPr="00B45B4F" w:rsidRDefault="00057F10" w:rsidP="00DB7D26">
            <w:pPr>
              <w:autoSpaceDE w:val="0"/>
              <w:autoSpaceDN w:val="0"/>
              <w:adjustRightInd w:val="0"/>
              <w:spacing w:before="200" w:line="288" w:lineRule="auto"/>
              <w:jc w:val="both"/>
              <w:rPr>
                <w:rFonts w:ascii="Verdana" w:hAnsi="Verdana" w:cs="Arial Narrow"/>
                <w:color w:val="000000"/>
                <w:sz w:val="20"/>
                <w:szCs w:val="20"/>
                <w:lang w:val="bg-BG" w:eastAsia="bg-BG"/>
              </w:rPr>
            </w:pPr>
            <w:r w:rsidRPr="00B45B4F">
              <w:rPr>
                <w:rFonts w:ascii="Verdana" w:hAnsi="Verdana"/>
                <w:b/>
                <w:sz w:val="20"/>
                <w:szCs w:val="20"/>
                <w:lang w:val="bg-BG"/>
              </w:rPr>
              <w:t>Инвестиционен приоритет 3</w:t>
            </w:r>
            <w:r w:rsidRPr="00B45B4F">
              <w:rPr>
                <w:rFonts w:ascii="Verdana" w:hAnsi="Verdana"/>
                <w:sz w:val="20"/>
                <w:szCs w:val="20"/>
                <w:lang w:val="bg-BG"/>
              </w:rPr>
              <w:t xml:space="preserve">. </w:t>
            </w:r>
            <w:r w:rsidR="00DB7D26" w:rsidRPr="00F86D34">
              <w:rPr>
                <w:rFonts w:ascii="Verdana" w:hAnsi="Verdana" w:cs="Arial Narrow"/>
                <w:i/>
                <w:color w:val="000000"/>
                <w:sz w:val="20"/>
                <w:szCs w:val="20"/>
                <w:lang w:val="bg-BG" w:eastAsia="bg-BG"/>
              </w:rPr>
              <w:t>Подобряване на равния достъп до възможностите за учене през целия живот за всички възрастови групи във формален, неформален и неофициален вид, осъвременяване на познанията, уменията и компетенциите на работната ръка, както и насърчаване на гъвкави процеси на учене, включително чрез професионална ориентация и валидиране на придобитите компетенции</w:t>
            </w:r>
            <w:r w:rsidR="00862E13" w:rsidRPr="00F86D34">
              <w:rPr>
                <w:rFonts w:ascii="Verdana" w:hAnsi="Verdana" w:cs="Arial Narrow"/>
                <w:i/>
                <w:color w:val="000000"/>
                <w:sz w:val="20"/>
                <w:szCs w:val="20"/>
                <w:lang w:val="bg-BG" w:eastAsia="bg-BG"/>
              </w:rPr>
              <w:t>.</w:t>
            </w:r>
          </w:p>
        </w:tc>
      </w:tr>
      <w:tr w:rsidR="00057F10" w:rsidRPr="00B45B4F" w:rsidTr="00F55866">
        <w:trPr>
          <w:tblCellSpacing w:w="11" w:type="dxa"/>
        </w:trPr>
        <w:tc>
          <w:tcPr>
            <w:tcW w:w="1677" w:type="dxa"/>
            <w:shd w:val="clear" w:color="auto" w:fill="FDE9D9"/>
          </w:tcPr>
          <w:p w:rsidR="00057F10" w:rsidRPr="00B45B4F" w:rsidRDefault="00057F10" w:rsidP="0076200A">
            <w:pPr>
              <w:pStyle w:val="BodyText"/>
              <w:spacing w:before="120" w:line="276" w:lineRule="auto"/>
              <w:rPr>
                <w:rFonts w:ascii="Verdana" w:hAnsi="Verdana"/>
                <w:sz w:val="20"/>
                <w:szCs w:val="20"/>
              </w:rPr>
            </w:pPr>
            <w:r w:rsidRPr="00B45B4F">
              <w:rPr>
                <w:rFonts w:ascii="Verdana" w:hAnsi="Verdana"/>
                <w:sz w:val="20"/>
                <w:szCs w:val="20"/>
              </w:rPr>
              <w:t xml:space="preserve">Нужди, инвестиционен </w:t>
            </w:r>
            <w:r w:rsidRPr="00B45B4F">
              <w:rPr>
                <w:rFonts w:ascii="Verdana" w:hAnsi="Verdana"/>
                <w:sz w:val="20"/>
                <w:szCs w:val="20"/>
              </w:rPr>
              <w:lastRenderedPageBreak/>
              <w:t xml:space="preserve">приоритет и специфична цел </w:t>
            </w:r>
          </w:p>
        </w:tc>
        <w:tc>
          <w:tcPr>
            <w:tcW w:w="7347" w:type="dxa"/>
            <w:shd w:val="clear" w:color="auto" w:fill="DBE5F1"/>
          </w:tcPr>
          <w:p w:rsidR="00DF78A4" w:rsidRPr="00B45B4F" w:rsidRDefault="000E7829" w:rsidP="000E7829">
            <w:pPr>
              <w:pStyle w:val="BodyText"/>
              <w:spacing w:before="120" w:line="276" w:lineRule="auto"/>
              <w:jc w:val="both"/>
              <w:rPr>
                <w:rFonts w:ascii="Verdana" w:hAnsi="Verdana"/>
                <w:sz w:val="20"/>
                <w:szCs w:val="20"/>
              </w:rPr>
            </w:pPr>
            <w:r w:rsidRPr="00B45B4F">
              <w:rPr>
                <w:rFonts w:ascii="Verdana" w:hAnsi="Verdana"/>
                <w:sz w:val="20"/>
                <w:szCs w:val="20"/>
              </w:rPr>
              <w:lastRenderedPageBreak/>
              <w:t xml:space="preserve">Инвестиционният приоритет е разписан в </w:t>
            </w:r>
            <w:r w:rsidR="00DF78A4" w:rsidRPr="00B45B4F">
              <w:rPr>
                <w:rFonts w:ascii="Verdana" w:hAnsi="Verdana"/>
                <w:sz w:val="20"/>
                <w:szCs w:val="20"/>
              </w:rPr>
              <w:t>две</w:t>
            </w:r>
            <w:r w:rsidRPr="00B45B4F">
              <w:rPr>
                <w:rFonts w:ascii="Verdana" w:hAnsi="Verdana"/>
                <w:sz w:val="20"/>
                <w:szCs w:val="20"/>
              </w:rPr>
              <w:t xml:space="preserve"> специфични цели: (1) повишаване квалификацията на заетите в областта на </w:t>
            </w:r>
            <w:r w:rsidRPr="00B45B4F">
              <w:rPr>
                <w:rFonts w:ascii="Verdana" w:hAnsi="Verdana"/>
                <w:sz w:val="20"/>
                <w:szCs w:val="20"/>
              </w:rPr>
              <w:lastRenderedPageBreak/>
              <w:t>образованието, обучението и науката</w:t>
            </w:r>
            <w:r w:rsidR="00234803" w:rsidRPr="00B45B4F">
              <w:rPr>
                <w:rFonts w:ascii="Verdana" w:hAnsi="Verdana"/>
                <w:sz w:val="20"/>
                <w:szCs w:val="20"/>
              </w:rPr>
              <w:t xml:space="preserve"> и</w:t>
            </w:r>
            <w:r w:rsidRPr="00B45B4F">
              <w:rPr>
                <w:rFonts w:ascii="Verdana" w:hAnsi="Verdana"/>
                <w:sz w:val="20"/>
                <w:szCs w:val="20"/>
              </w:rPr>
              <w:t xml:space="preserve"> (2) подкре</w:t>
            </w:r>
            <w:r w:rsidR="00DF78A4" w:rsidRPr="00B45B4F">
              <w:rPr>
                <w:rFonts w:ascii="Verdana" w:hAnsi="Verdana"/>
                <w:sz w:val="20"/>
                <w:szCs w:val="20"/>
              </w:rPr>
              <w:t>па за продължаващото обучение.</w:t>
            </w:r>
          </w:p>
          <w:p w:rsidR="000E7829" w:rsidRPr="00B45B4F" w:rsidRDefault="000E7829" w:rsidP="000E7829">
            <w:pPr>
              <w:pStyle w:val="BodyText"/>
              <w:spacing w:before="120" w:line="276" w:lineRule="auto"/>
              <w:jc w:val="both"/>
              <w:rPr>
                <w:rFonts w:ascii="Verdana" w:hAnsi="Verdana"/>
                <w:sz w:val="20"/>
                <w:szCs w:val="20"/>
              </w:rPr>
            </w:pPr>
            <w:r w:rsidRPr="00B45B4F">
              <w:rPr>
                <w:rFonts w:ascii="Verdana" w:hAnsi="Verdana"/>
                <w:sz w:val="20"/>
                <w:szCs w:val="20"/>
              </w:rPr>
              <w:t xml:space="preserve">Обосновката на първата специфична </w:t>
            </w:r>
            <w:r w:rsidR="00C75EA5">
              <w:rPr>
                <w:rFonts w:ascii="Verdana" w:hAnsi="Verdana"/>
                <w:sz w:val="20"/>
                <w:szCs w:val="20"/>
              </w:rPr>
              <w:t>посочва проблемите свързани с качеството на педагогическия персонал в училище и в университетите.</w:t>
            </w:r>
          </w:p>
          <w:p w:rsidR="002A21E9" w:rsidRPr="00B45B4F" w:rsidRDefault="00035839" w:rsidP="00C75EA5">
            <w:pPr>
              <w:pStyle w:val="BodyText"/>
              <w:spacing w:before="120" w:line="276" w:lineRule="auto"/>
              <w:jc w:val="both"/>
              <w:rPr>
                <w:rFonts w:ascii="Verdana" w:hAnsi="Verdana"/>
                <w:sz w:val="20"/>
                <w:szCs w:val="20"/>
              </w:rPr>
            </w:pPr>
            <w:r w:rsidRPr="00B45B4F">
              <w:rPr>
                <w:rFonts w:ascii="Verdana" w:hAnsi="Verdana"/>
                <w:sz w:val="20"/>
                <w:szCs w:val="20"/>
              </w:rPr>
              <w:t xml:space="preserve">Обосновката на нуждите </w:t>
            </w:r>
            <w:r w:rsidR="00DF78A4" w:rsidRPr="00B45B4F">
              <w:rPr>
                <w:rFonts w:ascii="Verdana" w:hAnsi="Verdana"/>
                <w:sz w:val="20"/>
                <w:szCs w:val="20"/>
              </w:rPr>
              <w:t xml:space="preserve">на СЦ2 </w:t>
            </w:r>
            <w:r w:rsidRPr="00B45B4F">
              <w:rPr>
                <w:rFonts w:ascii="Verdana" w:hAnsi="Verdana"/>
                <w:sz w:val="20"/>
                <w:szCs w:val="20"/>
              </w:rPr>
              <w:t xml:space="preserve">посочва някои данни и проблеми като дела на неграмотните и никога </w:t>
            </w:r>
            <w:proofErr w:type="spellStart"/>
            <w:r w:rsidRPr="00B45B4F">
              <w:rPr>
                <w:rFonts w:ascii="Verdana" w:hAnsi="Verdana"/>
                <w:sz w:val="20"/>
                <w:szCs w:val="20"/>
              </w:rPr>
              <w:t>непосещавали</w:t>
            </w:r>
            <w:r w:rsidR="00234803" w:rsidRPr="00B45B4F">
              <w:rPr>
                <w:rFonts w:ascii="Verdana" w:hAnsi="Verdana"/>
                <w:sz w:val="20"/>
                <w:szCs w:val="20"/>
              </w:rPr>
              <w:t>те</w:t>
            </w:r>
            <w:proofErr w:type="spellEnd"/>
            <w:r w:rsidRPr="00B45B4F">
              <w:rPr>
                <w:rFonts w:ascii="Verdana" w:hAnsi="Verdana"/>
                <w:sz w:val="20"/>
                <w:szCs w:val="20"/>
              </w:rPr>
              <w:t xml:space="preserve"> училище.</w:t>
            </w:r>
            <w:r w:rsidR="00C75EA5">
              <w:rPr>
                <w:rFonts w:ascii="Verdana" w:hAnsi="Verdana"/>
                <w:sz w:val="20"/>
                <w:szCs w:val="20"/>
              </w:rPr>
              <w:t xml:space="preserve"> Представена е информация за образователния статус. </w:t>
            </w:r>
            <w:r w:rsidR="002B1C5A" w:rsidRPr="00B45B4F">
              <w:rPr>
                <w:rFonts w:ascii="Verdana" w:hAnsi="Verdana"/>
                <w:sz w:val="20"/>
                <w:szCs w:val="20"/>
              </w:rPr>
              <w:t>С</w:t>
            </w:r>
            <w:r w:rsidR="00DF78A4" w:rsidRPr="00B45B4F">
              <w:rPr>
                <w:rFonts w:ascii="Verdana" w:hAnsi="Verdana"/>
                <w:sz w:val="20"/>
                <w:szCs w:val="20"/>
              </w:rPr>
              <w:t>Ц</w:t>
            </w:r>
            <w:r w:rsidR="002B1C5A" w:rsidRPr="00B45B4F">
              <w:rPr>
                <w:rFonts w:ascii="Verdana" w:hAnsi="Verdana"/>
                <w:sz w:val="20"/>
                <w:szCs w:val="20"/>
              </w:rPr>
              <w:t xml:space="preserve">2 касае широк кръг от въпроси, част от които са адресирани от ОПРЧР </w:t>
            </w:r>
            <w:r w:rsidR="005106CE" w:rsidRPr="00B45B4F">
              <w:rPr>
                <w:rFonts w:ascii="Verdana" w:hAnsi="Verdana"/>
                <w:sz w:val="20"/>
                <w:szCs w:val="20"/>
              </w:rPr>
              <w:t>2014–2020</w:t>
            </w:r>
            <w:r w:rsidR="002B1C5A" w:rsidRPr="00B45B4F">
              <w:rPr>
                <w:rFonts w:ascii="Verdana" w:hAnsi="Verdana"/>
                <w:sz w:val="20"/>
                <w:szCs w:val="20"/>
              </w:rPr>
              <w:t>. Поради това</w:t>
            </w:r>
            <w:r w:rsidR="00234803" w:rsidRPr="00B45B4F">
              <w:rPr>
                <w:rFonts w:ascii="Verdana" w:hAnsi="Verdana"/>
                <w:sz w:val="20"/>
                <w:szCs w:val="20"/>
              </w:rPr>
              <w:t>,</w:t>
            </w:r>
            <w:r w:rsidR="002B1C5A" w:rsidRPr="00B45B4F">
              <w:rPr>
                <w:rFonts w:ascii="Verdana" w:hAnsi="Verdana"/>
                <w:sz w:val="20"/>
                <w:szCs w:val="20"/>
              </w:rPr>
              <w:t xml:space="preserve"> трябва да се направи ясно разграничение </w:t>
            </w:r>
            <w:r w:rsidR="00DF78A4" w:rsidRPr="00B45B4F">
              <w:rPr>
                <w:rFonts w:ascii="Verdana" w:hAnsi="Verdana"/>
                <w:sz w:val="20"/>
                <w:szCs w:val="20"/>
              </w:rPr>
              <w:t xml:space="preserve">между двете програми </w:t>
            </w:r>
            <w:r w:rsidR="002B1C5A" w:rsidRPr="00B45B4F">
              <w:rPr>
                <w:rFonts w:ascii="Verdana" w:hAnsi="Verdana"/>
                <w:sz w:val="20"/>
                <w:szCs w:val="20"/>
              </w:rPr>
              <w:t>и да се фокусира обхвата на подкрепата. Например</w:t>
            </w:r>
            <w:r w:rsidR="00234803" w:rsidRPr="00B45B4F">
              <w:rPr>
                <w:rFonts w:ascii="Verdana" w:hAnsi="Verdana"/>
                <w:sz w:val="20"/>
                <w:szCs w:val="20"/>
              </w:rPr>
              <w:t>,</w:t>
            </w:r>
            <w:r w:rsidR="002B1C5A" w:rsidRPr="00B45B4F">
              <w:rPr>
                <w:rFonts w:ascii="Verdana" w:hAnsi="Verdana"/>
                <w:sz w:val="20"/>
                <w:szCs w:val="20"/>
              </w:rPr>
              <w:t xml:space="preserve"> подкрепа за </w:t>
            </w:r>
            <w:r w:rsidR="002B1C5A" w:rsidRPr="00FE5A49">
              <w:rPr>
                <w:rFonts w:ascii="Verdana" w:hAnsi="Verdana"/>
                <w:sz w:val="20"/>
                <w:szCs w:val="20"/>
              </w:rPr>
              <w:t>повишаване участието в различни форми на учене през целия живот, което ще даде възможност за по-добра реализация на пазара на труда на участващите в такива форми и подобряване на социалните и комуникативните умения на младежи и възрастни</w:t>
            </w:r>
            <w:r w:rsidR="002B1C5A" w:rsidRPr="00065C14">
              <w:rPr>
                <w:rFonts w:ascii="Verdana" w:hAnsi="Verdana"/>
                <w:sz w:val="20"/>
                <w:szCs w:val="20"/>
              </w:rPr>
              <w:t xml:space="preserve"> е</w:t>
            </w:r>
            <w:r w:rsidR="002B1C5A" w:rsidRPr="00B45B4F">
              <w:rPr>
                <w:rFonts w:ascii="Verdana" w:hAnsi="Verdana"/>
                <w:sz w:val="20"/>
                <w:szCs w:val="20"/>
              </w:rPr>
              <w:t xml:space="preserve"> включена в ОПРЧР </w:t>
            </w:r>
            <w:r w:rsidR="005106CE" w:rsidRPr="00B45B4F">
              <w:rPr>
                <w:rFonts w:ascii="Verdana" w:hAnsi="Verdana"/>
                <w:sz w:val="20"/>
                <w:szCs w:val="20"/>
              </w:rPr>
              <w:t>2014–2020</w:t>
            </w:r>
            <w:r w:rsidR="002B1C5A" w:rsidRPr="00B45B4F">
              <w:rPr>
                <w:rFonts w:ascii="Verdana" w:hAnsi="Verdana"/>
                <w:sz w:val="20"/>
                <w:szCs w:val="20"/>
              </w:rPr>
              <w:t>.</w:t>
            </w:r>
          </w:p>
        </w:tc>
      </w:tr>
      <w:tr w:rsidR="00057F10" w:rsidRPr="00B45B4F" w:rsidTr="00F55866">
        <w:trPr>
          <w:tblCellSpacing w:w="11" w:type="dxa"/>
        </w:trPr>
        <w:tc>
          <w:tcPr>
            <w:tcW w:w="1677" w:type="dxa"/>
            <w:shd w:val="clear" w:color="auto" w:fill="FDE9D9"/>
          </w:tcPr>
          <w:p w:rsidR="00057F10" w:rsidRPr="00B45B4F" w:rsidRDefault="00057F10" w:rsidP="0076200A">
            <w:pPr>
              <w:pStyle w:val="BodyText"/>
              <w:spacing w:before="120" w:line="276" w:lineRule="auto"/>
              <w:rPr>
                <w:rFonts w:ascii="Verdana" w:hAnsi="Verdana"/>
                <w:sz w:val="20"/>
                <w:szCs w:val="20"/>
              </w:rPr>
            </w:pPr>
            <w:r w:rsidRPr="00B45B4F">
              <w:rPr>
                <w:rFonts w:ascii="Verdana" w:hAnsi="Verdana"/>
                <w:sz w:val="20"/>
                <w:szCs w:val="20"/>
              </w:rPr>
              <w:lastRenderedPageBreak/>
              <w:t>Нужди и предвидени дейности</w:t>
            </w:r>
          </w:p>
        </w:tc>
        <w:tc>
          <w:tcPr>
            <w:tcW w:w="7347" w:type="dxa"/>
            <w:shd w:val="clear" w:color="auto" w:fill="C6D9F1"/>
          </w:tcPr>
          <w:p w:rsidR="00057F10" w:rsidRPr="00B45B4F" w:rsidRDefault="00D6247D" w:rsidP="007277BC">
            <w:pPr>
              <w:pStyle w:val="BodyText"/>
              <w:spacing w:before="120" w:line="276" w:lineRule="auto"/>
              <w:jc w:val="both"/>
              <w:rPr>
                <w:rFonts w:ascii="Verdana" w:hAnsi="Verdana"/>
                <w:sz w:val="20"/>
                <w:szCs w:val="20"/>
              </w:rPr>
            </w:pPr>
            <w:r w:rsidRPr="00B45B4F">
              <w:rPr>
                <w:rFonts w:ascii="Verdana" w:hAnsi="Verdana"/>
                <w:sz w:val="20"/>
                <w:szCs w:val="20"/>
              </w:rPr>
              <w:t xml:space="preserve">Повечето от дейностите са уместни </w:t>
            </w:r>
            <w:r w:rsidR="00CB3D72" w:rsidRPr="00B45B4F">
              <w:rPr>
                <w:rFonts w:ascii="Verdana" w:hAnsi="Verdana"/>
                <w:sz w:val="20"/>
                <w:szCs w:val="20"/>
              </w:rPr>
              <w:t>спрямо</w:t>
            </w:r>
            <w:r w:rsidRPr="00B45B4F">
              <w:rPr>
                <w:rFonts w:ascii="Verdana" w:hAnsi="Verdana"/>
                <w:sz w:val="20"/>
                <w:szCs w:val="20"/>
              </w:rPr>
              <w:t xml:space="preserve"> дефинираните цели. </w:t>
            </w:r>
            <w:r w:rsidR="00CB3D72" w:rsidRPr="00B45B4F">
              <w:rPr>
                <w:rFonts w:ascii="Verdana" w:hAnsi="Verdana"/>
                <w:sz w:val="20"/>
                <w:szCs w:val="20"/>
              </w:rPr>
              <w:t>Същевременно, съществуват</w:t>
            </w:r>
            <w:r w:rsidRPr="00B45B4F">
              <w:rPr>
                <w:rFonts w:ascii="Verdana" w:hAnsi="Verdana"/>
                <w:sz w:val="20"/>
                <w:szCs w:val="20"/>
              </w:rPr>
              <w:t xml:space="preserve"> дейности, които не са </w:t>
            </w:r>
            <w:r w:rsidR="00CB3D72" w:rsidRPr="00B45B4F">
              <w:rPr>
                <w:rFonts w:ascii="Verdana" w:hAnsi="Verdana"/>
                <w:sz w:val="20"/>
                <w:szCs w:val="20"/>
              </w:rPr>
              <w:t>мотивирани</w:t>
            </w:r>
            <w:r w:rsidR="002C3464" w:rsidRPr="00B45B4F">
              <w:rPr>
                <w:rFonts w:ascii="Verdana" w:hAnsi="Verdana"/>
                <w:sz w:val="20"/>
                <w:szCs w:val="20"/>
              </w:rPr>
              <w:t xml:space="preserve"> в обосновката на нуждите, дейности които не са уместни към целите и дейности, които могат да бъдат обобщени и окрупнени, тъй като в същността си засягат един и същ проблем.</w:t>
            </w:r>
          </w:p>
        </w:tc>
      </w:tr>
      <w:tr w:rsidR="00057F10" w:rsidRPr="00B45B4F" w:rsidTr="00F55866">
        <w:trPr>
          <w:tblCellSpacing w:w="11" w:type="dxa"/>
        </w:trPr>
        <w:tc>
          <w:tcPr>
            <w:tcW w:w="1677" w:type="dxa"/>
            <w:shd w:val="clear" w:color="auto" w:fill="FDE9D9"/>
          </w:tcPr>
          <w:p w:rsidR="00057F10" w:rsidRPr="00B45B4F" w:rsidRDefault="00057F10" w:rsidP="0076200A">
            <w:pPr>
              <w:pStyle w:val="BodyText"/>
              <w:spacing w:before="120" w:line="276" w:lineRule="auto"/>
              <w:rPr>
                <w:rFonts w:ascii="Verdana" w:hAnsi="Verdana"/>
                <w:sz w:val="20"/>
                <w:szCs w:val="20"/>
              </w:rPr>
            </w:pPr>
            <w:r w:rsidRPr="00B45B4F">
              <w:rPr>
                <w:rFonts w:ascii="Verdana" w:hAnsi="Verdana"/>
                <w:sz w:val="20"/>
                <w:szCs w:val="20"/>
              </w:rPr>
              <w:t>Индикатори за продукт и предвидени дейности</w:t>
            </w:r>
          </w:p>
        </w:tc>
        <w:tc>
          <w:tcPr>
            <w:tcW w:w="7347" w:type="dxa"/>
            <w:shd w:val="clear" w:color="auto" w:fill="DBE5F1"/>
          </w:tcPr>
          <w:p w:rsidR="00057F10" w:rsidRDefault="00505A4F" w:rsidP="0076200A">
            <w:pPr>
              <w:pStyle w:val="BodyText"/>
              <w:spacing w:before="120" w:line="276" w:lineRule="auto"/>
              <w:jc w:val="both"/>
              <w:rPr>
                <w:rFonts w:ascii="Verdana" w:hAnsi="Verdana"/>
                <w:sz w:val="20"/>
                <w:szCs w:val="20"/>
              </w:rPr>
            </w:pPr>
            <w:r>
              <w:rPr>
                <w:rFonts w:ascii="Verdana" w:hAnsi="Verdana"/>
                <w:sz w:val="20"/>
                <w:szCs w:val="20"/>
              </w:rPr>
              <w:t>Посочени са следните индикатори за продукт:</w:t>
            </w:r>
          </w:p>
          <w:p w:rsidR="00505A4F" w:rsidRDefault="00505A4F" w:rsidP="006861B0">
            <w:pPr>
              <w:pStyle w:val="BodyText"/>
              <w:numPr>
                <w:ilvl w:val="0"/>
                <w:numId w:val="23"/>
              </w:numPr>
              <w:spacing w:before="120" w:line="276" w:lineRule="auto"/>
              <w:jc w:val="both"/>
              <w:rPr>
                <w:rFonts w:ascii="Verdana" w:hAnsi="Verdana"/>
                <w:i/>
                <w:sz w:val="20"/>
                <w:szCs w:val="20"/>
              </w:rPr>
            </w:pPr>
            <w:r w:rsidRPr="00D60EF4">
              <w:rPr>
                <w:rFonts w:ascii="Verdana" w:hAnsi="Verdana"/>
                <w:i/>
                <w:sz w:val="20"/>
                <w:szCs w:val="20"/>
              </w:rPr>
              <w:t>Брой обучаващи се в ОКС бакалавър/ магистър, които придобиват професионална квалификация учител и започват работа в първата година след завършването</w:t>
            </w:r>
          </w:p>
          <w:p w:rsidR="00D60EF4" w:rsidRPr="00D60EF4" w:rsidRDefault="00D60EF4" w:rsidP="006861B0">
            <w:pPr>
              <w:pStyle w:val="BodyText"/>
              <w:numPr>
                <w:ilvl w:val="0"/>
                <w:numId w:val="23"/>
              </w:numPr>
              <w:spacing w:before="120" w:line="276" w:lineRule="auto"/>
              <w:jc w:val="both"/>
              <w:rPr>
                <w:rFonts w:ascii="Verdana" w:hAnsi="Verdana"/>
                <w:i/>
                <w:sz w:val="20"/>
                <w:szCs w:val="20"/>
              </w:rPr>
            </w:pPr>
            <w:r w:rsidRPr="00D60EF4">
              <w:rPr>
                <w:rFonts w:ascii="Verdana" w:hAnsi="Verdana"/>
                <w:i/>
                <w:sz w:val="20"/>
                <w:szCs w:val="20"/>
              </w:rPr>
              <w:t xml:space="preserve">Брой млади специалисти, участващи в партньорски мрежи за провеждане на научни изследвания, включително в съвмести проекти с бизнеса. </w:t>
            </w:r>
          </w:p>
          <w:p w:rsidR="00D60EF4" w:rsidRPr="00D60EF4" w:rsidRDefault="00D60EF4" w:rsidP="006861B0">
            <w:pPr>
              <w:pStyle w:val="BodyText"/>
              <w:numPr>
                <w:ilvl w:val="0"/>
                <w:numId w:val="23"/>
              </w:numPr>
              <w:spacing w:before="120" w:line="276" w:lineRule="auto"/>
              <w:jc w:val="both"/>
              <w:rPr>
                <w:rFonts w:ascii="Verdana" w:hAnsi="Verdana"/>
                <w:i/>
                <w:sz w:val="20"/>
                <w:szCs w:val="20"/>
              </w:rPr>
            </w:pPr>
            <w:r w:rsidRPr="00D60EF4">
              <w:rPr>
                <w:rFonts w:ascii="Verdana" w:hAnsi="Verdana"/>
                <w:i/>
                <w:sz w:val="20"/>
                <w:szCs w:val="20"/>
              </w:rPr>
              <w:t xml:space="preserve">Брой внедрени в бизнеса научни разработки. </w:t>
            </w:r>
          </w:p>
          <w:p w:rsidR="00D60EF4" w:rsidRPr="00D60EF4" w:rsidRDefault="00D60EF4" w:rsidP="006861B0">
            <w:pPr>
              <w:pStyle w:val="BodyText"/>
              <w:numPr>
                <w:ilvl w:val="0"/>
                <w:numId w:val="23"/>
              </w:numPr>
              <w:spacing w:before="120" w:line="276" w:lineRule="auto"/>
              <w:jc w:val="both"/>
              <w:rPr>
                <w:rFonts w:ascii="Verdana" w:hAnsi="Verdana"/>
                <w:i/>
                <w:sz w:val="20"/>
                <w:szCs w:val="20"/>
              </w:rPr>
            </w:pPr>
            <w:r w:rsidRPr="00D60EF4">
              <w:rPr>
                <w:rFonts w:ascii="Verdana" w:hAnsi="Verdana"/>
                <w:i/>
                <w:sz w:val="20"/>
                <w:szCs w:val="20"/>
              </w:rPr>
              <w:t>Брой привлечени от чужбина млади учени в центровете за върхови постижения и за компетентност.</w:t>
            </w:r>
          </w:p>
          <w:p w:rsidR="00D60EF4" w:rsidRPr="00D60EF4" w:rsidRDefault="00D60EF4" w:rsidP="006861B0">
            <w:pPr>
              <w:pStyle w:val="BodyText"/>
              <w:numPr>
                <w:ilvl w:val="0"/>
                <w:numId w:val="23"/>
              </w:numPr>
              <w:spacing w:before="120" w:line="276" w:lineRule="auto"/>
              <w:jc w:val="both"/>
              <w:rPr>
                <w:rFonts w:ascii="Verdana" w:hAnsi="Verdana"/>
                <w:i/>
                <w:sz w:val="20"/>
                <w:szCs w:val="20"/>
              </w:rPr>
            </w:pPr>
            <w:r w:rsidRPr="00D60EF4">
              <w:rPr>
                <w:rFonts w:ascii="Verdana" w:hAnsi="Verdana"/>
                <w:i/>
                <w:sz w:val="20"/>
                <w:szCs w:val="20"/>
              </w:rPr>
              <w:t>Брой докторанти, пост-докторанти, специализанти, преподаватели във висшите училища и изследователи от чуждестранни европейски университети и изследователски центрове в България включени в програми за мобилност.</w:t>
            </w:r>
          </w:p>
          <w:p w:rsidR="00D60EF4" w:rsidRPr="00D60EF4" w:rsidRDefault="00D60EF4" w:rsidP="006861B0">
            <w:pPr>
              <w:pStyle w:val="BodyText"/>
              <w:numPr>
                <w:ilvl w:val="0"/>
                <w:numId w:val="23"/>
              </w:numPr>
              <w:spacing w:before="120" w:line="276" w:lineRule="auto"/>
              <w:jc w:val="both"/>
              <w:rPr>
                <w:rFonts w:ascii="Verdana" w:hAnsi="Verdana"/>
                <w:i/>
                <w:sz w:val="20"/>
                <w:szCs w:val="20"/>
              </w:rPr>
            </w:pPr>
            <w:r w:rsidRPr="00D60EF4">
              <w:rPr>
                <w:rFonts w:ascii="Verdana" w:hAnsi="Verdana"/>
                <w:i/>
                <w:sz w:val="20"/>
                <w:szCs w:val="20"/>
              </w:rPr>
              <w:t>Брой лица на възраст 25-64 г., които участват в учене през целия живот;</w:t>
            </w:r>
          </w:p>
          <w:p w:rsidR="00D60EF4" w:rsidRPr="00D60EF4" w:rsidRDefault="00D60EF4" w:rsidP="006861B0">
            <w:pPr>
              <w:pStyle w:val="BodyText"/>
              <w:numPr>
                <w:ilvl w:val="0"/>
                <w:numId w:val="23"/>
              </w:numPr>
              <w:spacing w:before="120" w:line="276" w:lineRule="auto"/>
              <w:jc w:val="both"/>
              <w:rPr>
                <w:rFonts w:ascii="Verdana" w:hAnsi="Verdana"/>
                <w:i/>
                <w:sz w:val="20"/>
                <w:szCs w:val="20"/>
              </w:rPr>
            </w:pPr>
            <w:r w:rsidRPr="00D60EF4">
              <w:rPr>
                <w:rFonts w:ascii="Verdana" w:hAnsi="Verdana"/>
                <w:i/>
                <w:sz w:val="20"/>
                <w:szCs w:val="20"/>
              </w:rPr>
              <w:t>Най-малко 20 000 лиц</w:t>
            </w:r>
            <w:r>
              <w:rPr>
                <w:rFonts w:ascii="Verdana" w:hAnsi="Verdana"/>
                <w:i/>
                <w:sz w:val="20"/>
                <w:szCs w:val="20"/>
              </w:rPr>
              <w:t>а</w:t>
            </w:r>
            <w:r w:rsidRPr="00D60EF4">
              <w:rPr>
                <w:rFonts w:ascii="Verdana" w:hAnsi="Verdana"/>
                <w:i/>
                <w:sz w:val="20"/>
                <w:szCs w:val="20"/>
              </w:rPr>
              <w:t xml:space="preserve"> получили ваучери за валидиране на знания и умения от самостоятелно и неформално </w:t>
            </w:r>
            <w:r w:rsidRPr="00D60EF4">
              <w:rPr>
                <w:rFonts w:ascii="Verdana" w:hAnsi="Verdana"/>
                <w:i/>
                <w:sz w:val="20"/>
                <w:szCs w:val="20"/>
              </w:rPr>
              <w:lastRenderedPageBreak/>
              <w:t xml:space="preserve">образование и обучение  </w:t>
            </w:r>
          </w:p>
          <w:p w:rsidR="00D60EF4" w:rsidRPr="00D60EF4" w:rsidRDefault="00D60EF4" w:rsidP="006861B0">
            <w:pPr>
              <w:pStyle w:val="BodyText"/>
              <w:numPr>
                <w:ilvl w:val="0"/>
                <w:numId w:val="23"/>
              </w:numPr>
              <w:spacing w:before="120" w:line="276" w:lineRule="auto"/>
              <w:jc w:val="both"/>
              <w:rPr>
                <w:rFonts w:ascii="Verdana" w:hAnsi="Verdana"/>
                <w:i/>
                <w:sz w:val="20"/>
                <w:szCs w:val="20"/>
              </w:rPr>
            </w:pPr>
            <w:r w:rsidRPr="00D60EF4">
              <w:rPr>
                <w:rFonts w:ascii="Verdana" w:hAnsi="Verdana"/>
                <w:i/>
                <w:sz w:val="20"/>
                <w:szCs w:val="20"/>
              </w:rPr>
              <w:t>Брой ученици и студенти обхванати от системата за кариерно ориентиране.</w:t>
            </w:r>
          </w:p>
          <w:p w:rsidR="00D60EF4" w:rsidRPr="00D60EF4" w:rsidRDefault="00D60EF4" w:rsidP="007D3399">
            <w:pPr>
              <w:pStyle w:val="BodyText"/>
              <w:spacing w:before="120" w:line="276" w:lineRule="auto"/>
              <w:jc w:val="both"/>
              <w:rPr>
                <w:rFonts w:ascii="Verdana" w:hAnsi="Verdana"/>
                <w:sz w:val="20"/>
                <w:szCs w:val="20"/>
              </w:rPr>
            </w:pPr>
            <w:r>
              <w:rPr>
                <w:rFonts w:ascii="Verdana" w:hAnsi="Verdana"/>
                <w:sz w:val="20"/>
                <w:szCs w:val="20"/>
              </w:rPr>
              <w:t xml:space="preserve">Третият </w:t>
            </w:r>
            <w:r w:rsidR="007D3399">
              <w:rPr>
                <w:rFonts w:ascii="Verdana" w:hAnsi="Verdana"/>
                <w:sz w:val="20"/>
                <w:szCs w:val="20"/>
              </w:rPr>
              <w:t xml:space="preserve">и четвъртият </w:t>
            </w:r>
            <w:r>
              <w:rPr>
                <w:rFonts w:ascii="Verdana" w:hAnsi="Verdana"/>
                <w:sz w:val="20"/>
                <w:szCs w:val="20"/>
              </w:rPr>
              <w:t>индикатор</w:t>
            </w:r>
            <w:r w:rsidR="007D3399">
              <w:rPr>
                <w:rFonts w:ascii="Verdana" w:hAnsi="Verdana"/>
                <w:sz w:val="20"/>
                <w:szCs w:val="20"/>
              </w:rPr>
              <w:t>и</w:t>
            </w:r>
            <w:r>
              <w:rPr>
                <w:rFonts w:ascii="Verdana" w:hAnsi="Verdana"/>
                <w:sz w:val="20"/>
                <w:szCs w:val="20"/>
              </w:rPr>
              <w:t xml:space="preserve"> не </w:t>
            </w:r>
            <w:r w:rsidR="007D3399">
              <w:rPr>
                <w:rFonts w:ascii="Verdana" w:hAnsi="Verdana"/>
                <w:sz w:val="20"/>
                <w:szCs w:val="20"/>
              </w:rPr>
              <w:t>са</w:t>
            </w:r>
            <w:r>
              <w:rPr>
                <w:rFonts w:ascii="Verdana" w:hAnsi="Verdana"/>
                <w:sz w:val="20"/>
                <w:szCs w:val="20"/>
              </w:rPr>
              <w:t xml:space="preserve"> обвързан</w:t>
            </w:r>
            <w:r w:rsidR="00E00187">
              <w:rPr>
                <w:rFonts w:ascii="Verdana" w:hAnsi="Verdana"/>
                <w:sz w:val="20"/>
                <w:szCs w:val="20"/>
              </w:rPr>
              <w:t>и</w:t>
            </w:r>
            <w:r>
              <w:rPr>
                <w:rFonts w:ascii="Verdana" w:hAnsi="Verdana"/>
                <w:sz w:val="20"/>
                <w:szCs w:val="20"/>
              </w:rPr>
              <w:t xml:space="preserve"> с дейностите. Шестият индикатор не е възможно да измери само подкрепата по програмата, тъй като влияние ще имат и други дейности и програми.</w:t>
            </w:r>
          </w:p>
        </w:tc>
      </w:tr>
      <w:tr w:rsidR="00057F10" w:rsidRPr="00B45B4F" w:rsidTr="00F55866">
        <w:trPr>
          <w:tblCellSpacing w:w="11" w:type="dxa"/>
        </w:trPr>
        <w:tc>
          <w:tcPr>
            <w:tcW w:w="1677" w:type="dxa"/>
            <w:shd w:val="clear" w:color="auto" w:fill="FDE9D9"/>
          </w:tcPr>
          <w:p w:rsidR="00057F10" w:rsidRPr="00B45B4F" w:rsidRDefault="00057F10" w:rsidP="0076200A">
            <w:pPr>
              <w:pStyle w:val="BodyText"/>
              <w:spacing w:before="120" w:line="276" w:lineRule="auto"/>
              <w:rPr>
                <w:rFonts w:ascii="Verdana" w:hAnsi="Verdana"/>
                <w:sz w:val="20"/>
                <w:szCs w:val="20"/>
              </w:rPr>
            </w:pPr>
            <w:r w:rsidRPr="00B45B4F">
              <w:rPr>
                <w:rFonts w:ascii="Verdana" w:hAnsi="Verdana"/>
                <w:sz w:val="20"/>
                <w:szCs w:val="20"/>
              </w:rPr>
              <w:lastRenderedPageBreak/>
              <w:t>Индикатори за резултат и специфични цели</w:t>
            </w:r>
          </w:p>
        </w:tc>
        <w:tc>
          <w:tcPr>
            <w:tcW w:w="7347" w:type="dxa"/>
            <w:shd w:val="clear" w:color="auto" w:fill="C6D9F1"/>
          </w:tcPr>
          <w:p w:rsidR="00057F10" w:rsidRPr="00B45B4F" w:rsidRDefault="00057F10" w:rsidP="0076200A">
            <w:pPr>
              <w:pStyle w:val="BodyText"/>
              <w:spacing w:before="120" w:line="276" w:lineRule="auto"/>
              <w:jc w:val="both"/>
              <w:rPr>
                <w:rFonts w:ascii="Verdana" w:hAnsi="Verdana"/>
                <w:sz w:val="20"/>
                <w:szCs w:val="20"/>
              </w:rPr>
            </w:pPr>
            <w:r w:rsidRPr="00B45B4F">
              <w:rPr>
                <w:rFonts w:ascii="Verdana" w:hAnsi="Verdana"/>
                <w:sz w:val="20"/>
                <w:szCs w:val="20"/>
              </w:rPr>
              <w:t>Посочен</w:t>
            </w:r>
            <w:r w:rsidR="00DD4178" w:rsidRPr="00B45B4F">
              <w:rPr>
                <w:rFonts w:ascii="Verdana" w:hAnsi="Verdana"/>
                <w:sz w:val="20"/>
                <w:szCs w:val="20"/>
              </w:rPr>
              <w:t xml:space="preserve">и са следните </w:t>
            </w:r>
            <w:r w:rsidRPr="00B45B4F">
              <w:rPr>
                <w:rFonts w:ascii="Verdana" w:hAnsi="Verdana"/>
                <w:sz w:val="20"/>
                <w:szCs w:val="20"/>
              </w:rPr>
              <w:t>индикатор</w:t>
            </w:r>
            <w:r w:rsidR="00DD4178" w:rsidRPr="00B45B4F">
              <w:rPr>
                <w:rFonts w:ascii="Verdana" w:hAnsi="Verdana"/>
                <w:sz w:val="20"/>
                <w:szCs w:val="20"/>
              </w:rPr>
              <w:t>и</w:t>
            </w:r>
            <w:r w:rsidRPr="00B45B4F">
              <w:rPr>
                <w:rFonts w:ascii="Verdana" w:hAnsi="Verdana"/>
                <w:sz w:val="20"/>
                <w:szCs w:val="20"/>
              </w:rPr>
              <w:t xml:space="preserve"> за резултат:</w:t>
            </w:r>
          </w:p>
          <w:p w:rsidR="00505A4F" w:rsidRPr="00505A4F" w:rsidRDefault="00505A4F" w:rsidP="006861B0">
            <w:pPr>
              <w:pStyle w:val="BodyText"/>
              <w:numPr>
                <w:ilvl w:val="0"/>
                <w:numId w:val="23"/>
              </w:numPr>
              <w:spacing w:before="120" w:line="276" w:lineRule="auto"/>
              <w:jc w:val="both"/>
              <w:rPr>
                <w:rFonts w:ascii="Verdana" w:hAnsi="Verdana"/>
                <w:i/>
                <w:sz w:val="20"/>
                <w:szCs w:val="20"/>
              </w:rPr>
            </w:pPr>
            <w:r w:rsidRPr="00505A4F">
              <w:rPr>
                <w:rFonts w:ascii="Verdana" w:hAnsi="Verdana"/>
                <w:i/>
                <w:sz w:val="20"/>
                <w:szCs w:val="20"/>
              </w:rPr>
              <w:t>Най-малко 12 %  от учителите да са на възраст до 34 г.</w:t>
            </w:r>
          </w:p>
          <w:p w:rsidR="00505A4F" w:rsidRDefault="00505A4F" w:rsidP="006861B0">
            <w:pPr>
              <w:pStyle w:val="BodyText"/>
              <w:numPr>
                <w:ilvl w:val="0"/>
                <w:numId w:val="23"/>
              </w:numPr>
              <w:spacing w:before="120" w:line="276" w:lineRule="auto"/>
              <w:jc w:val="both"/>
              <w:rPr>
                <w:rFonts w:ascii="Verdana" w:hAnsi="Verdana"/>
                <w:i/>
                <w:sz w:val="20"/>
                <w:szCs w:val="20"/>
              </w:rPr>
            </w:pPr>
            <w:r w:rsidRPr="00505A4F">
              <w:rPr>
                <w:rFonts w:ascii="Verdana" w:hAnsi="Verdana"/>
                <w:i/>
                <w:sz w:val="20"/>
                <w:szCs w:val="20"/>
              </w:rPr>
              <w:t xml:space="preserve">Най-малко….процента от  студентите,  обучаващи се  в педагогически специалности </w:t>
            </w:r>
          </w:p>
          <w:p w:rsidR="00D60EF4" w:rsidRDefault="00D60EF4" w:rsidP="006861B0">
            <w:pPr>
              <w:pStyle w:val="BodyText"/>
              <w:numPr>
                <w:ilvl w:val="0"/>
                <w:numId w:val="23"/>
              </w:numPr>
              <w:spacing w:before="120" w:line="276" w:lineRule="auto"/>
              <w:jc w:val="both"/>
              <w:rPr>
                <w:rFonts w:ascii="Verdana" w:hAnsi="Verdana"/>
                <w:i/>
                <w:sz w:val="20"/>
                <w:szCs w:val="20"/>
              </w:rPr>
            </w:pPr>
            <w:r w:rsidRPr="00D60EF4">
              <w:rPr>
                <w:rFonts w:ascii="Verdana" w:hAnsi="Verdana"/>
                <w:i/>
                <w:sz w:val="20"/>
                <w:szCs w:val="20"/>
              </w:rPr>
              <w:t>Най-малко …. % от придобилите ОКС „магистър“, продължаващи в докторантски програми</w:t>
            </w:r>
          </w:p>
          <w:p w:rsidR="00D60EF4" w:rsidRPr="00D60EF4" w:rsidRDefault="00D60EF4" w:rsidP="006861B0">
            <w:pPr>
              <w:pStyle w:val="BodyText"/>
              <w:numPr>
                <w:ilvl w:val="0"/>
                <w:numId w:val="23"/>
              </w:numPr>
              <w:spacing w:before="120" w:line="276" w:lineRule="auto"/>
              <w:jc w:val="both"/>
              <w:rPr>
                <w:rFonts w:ascii="Verdana" w:hAnsi="Verdana"/>
                <w:i/>
                <w:sz w:val="20"/>
                <w:szCs w:val="20"/>
              </w:rPr>
            </w:pPr>
            <w:r w:rsidRPr="00D60EF4">
              <w:rPr>
                <w:rFonts w:ascii="Verdana" w:hAnsi="Verdana"/>
                <w:i/>
                <w:sz w:val="20"/>
                <w:szCs w:val="20"/>
              </w:rPr>
              <w:t xml:space="preserve">Дял на участвалите в различни форми на мобилност, които са с повишена квалификация и умения и по-добра реализация. </w:t>
            </w:r>
          </w:p>
          <w:p w:rsidR="00D60EF4" w:rsidRPr="00D60EF4" w:rsidRDefault="00D60EF4" w:rsidP="006861B0">
            <w:pPr>
              <w:pStyle w:val="BodyText"/>
              <w:numPr>
                <w:ilvl w:val="0"/>
                <w:numId w:val="23"/>
              </w:numPr>
              <w:spacing w:before="120" w:line="276" w:lineRule="auto"/>
              <w:jc w:val="both"/>
              <w:rPr>
                <w:rFonts w:ascii="Verdana" w:hAnsi="Verdana"/>
                <w:i/>
                <w:sz w:val="20"/>
                <w:szCs w:val="20"/>
              </w:rPr>
            </w:pPr>
            <w:r w:rsidRPr="00D60EF4">
              <w:rPr>
                <w:rFonts w:ascii="Verdana" w:hAnsi="Verdana"/>
                <w:i/>
                <w:sz w:val="20"/>
                <w:szCs w:val="20"/>
              </w:rPr>
              <w:t xml:space="preserve">Намален до 1.5% дял на неграмотните лица на възраст 15-29 г. </w:t>
            </w:r>
          </w:p>
          <w:p w:rsidR="00923AAD" w:rsidRPr="007D3399" w:rsidRDefault="00D60EF4" w:rsidP="006861B0">
            <w:pPr>
              <w:pStyle w:val="BodyText"/>
              <w:numPr>
                <w:ilvl w:val="0"/>
                <w:numId w:val="23"/>
              </w:numPr>
              <w:spacing w:before="120" w:line="276" w:lineRule="auto"/>
              <w:jc w:val="both"/>
              <w:rPr>
                <w:rFonts w:ascii="Verdana" w:hAnsi="Verdana"/>
                <w:sz w:val="20"/>
                <w:szCs w:val="20"/>
              </w:rPr>
            </w:pPr>
            <w:r w:rsidRPr="00D60EF4">
              <w:rPr>
                <w:rFonts w:ascii="Verdana" w:hAnsi="Verdana"/>
                <w:i/>
                <w:sz w:val="20"/>
                <w:szCs w:val="20"/>
              </w:rPr>
              <w:t xml:space="preserve">Най-малко 2500 лица с валидирани знания и умения от самостоятелно и неформално образование и обучение </w:t>
            </w:r>
          </w:p>
          <w:p w:rsidR="007D3399" w:rsidRDefault="007D3399" w:rsidP="007D3399">
            <w:pPr>
              <w:pStyle w:val="BodyText"/>
              <w:spacing w:before="120" w:line="276" w:lineRule="auto"/>
              <w:jc w:val="both"/>
              <w:rPr>
                <w:rFonts w:ascii="Verdana" w:hAnsi="Verdana"/>
                <w:sz w:val="20"/>
                <w:szCs w:val="20"/>
              </w:rPr>
            </w:pPr>
            <w:r>
              <w:rPr>
                <w:rFonts w:ascii="Verdana" w:hAnsi="Verdana"/>
                <w:sz w:val="20"/>
                <w:szCs w:val="20"/>
              </w:rPr>
              <w:t>Индикатори 1, 2 и 5 нямат пряка връзка със заложените специфични цели.</w:t>
            </w:r>
          </w:p>
          <w:p w:rsidR="007D3399" w:rsidRPr="007D3399" w:rsidRDefault="007D3399" w:rsidP="00E00187">
            <w:pPr>
              <w:pStyle w:val="BodyText"/>
              <w:spacing w:before="120" w:line="276" w:lineRule="auto"/>
              <w:jc w:val="both"/>
              <w:rPr>
                <w:rFonts w:ascii="Verdana" w:hAnsi="Verdana"/>
                <w:sz w:val="20"/>
                <w:szCs w:val="20"/>
              </w:rPr>
            </w:pPr>
            <w:r>
              <w:rPr>
                <w:rFonts w:ascii="Verdana" w:hAnsi="Verdana"/>
                <w:sz w:val="20"/>
                <w:szCs w:val="20"/>
              </w:rPr>
              <w:t xml:space="preserve">Третият и четвъртият индикатор </w:t>
            </w:r>
            <w:r w:rsidR="00E00187">
              <w:rPr>
                <w:rFonts w:ascii="Verdana" w:hAnsi="Verdana"/>
                <w:sz w:val="20"/>
                <w:szCs w:val="20"/>
              </w:rPr>
              <w:t>са</w:t>
            </w:r>
            <w:r>
              <w:rPr>
                <w:rFonts w:ascii="Verdana" w:hAnsi="Verdana"/>
                <w:sz w:val="20"/>
                <w:szCs w:val="20"/>
              </w:rPr>
              <w:t xml:space="preserve"> по-скоро индикатор</w:t>
            </w:r>
            <w:r w:rsidR="00E00187">
              <w:rPr>
                <w:rFonts w:ascii="Verdana" w:hAnsi="Verdana"/>
                <w:sz w:val="20"/>
                <w:szCs w:val="20"/>
              </w:rPr>
              <w:t>и</w:t>
            </w:r>
            <w:r>
              <w:rPr>
                <w:rFonts w:ascii="Verdana" w:hAnsi="Verdana"/>
                <w:sz w:val="20"/>
                <w:szCs w:val="20"/>
              </w:rPr>
              <w:t xml:space="preserve"> за продукт.</w:t>
            </w:r>
          </w:p>
        </w:tc>
      </w:tr>
      <w:tr w:rsidR="00DB7D26" w:rsidRPr="00B45B4F" w:rsidTr="00F55866">
        <w:trPr>
          <w:tblCellSpacing w:w="11" w:type="dxa"/>
        </w:trPr>
        <w:tc>
          <w:tcPr>
            <w:tcW w:w="9046" w:type="dxa"/>
            <w:gridSpan w:val="2"/>
            <w:shd w:val="clear" w:color="auto" w:fill="FBD4B4" w:themeFill="accent6" w:themeFillTint="66"/>
          </w:tcPr>
          <w:p w:rsidR="00DB7D26" w:rsidRPr="00B45B4F" w:rsidRDefault="00DB7D26" w:rsidP="00DB7D26">
            <w:pPr>
              <w:autoSpaceDE w:val="0"/>
              <w:autoSpaceDN w:val="0"/>
              <w:adjustRightInd w:val="0"/>
              <w:spacing w:before="200" w:line="288" w:lineRule="auto"/>
              <w:jc w:val="both"/>
              <w:rPr>
                <w:rFonts w:ascii="Verdana" w:hAnsi="Verdana" w:cs="Arial Narrow"/>
                <w:color w:val="000000"/>
                <w:sz w:val="20"/>
                <w:szCs w:val="20"/>
                <w:lang w:val="bg-BG" w:eastAsia="bg-BG"/>
              </w:rPr>
            </w:pPr>
            <w:r w:rsidRPr="00B45B4F">
              <w:rPr>
                <w:rFonts w:ascii="Verdana" w:hAnsi="Verdana"/>
                <w:b/>
                <w:sz w:val="20"/>
                <w:szCs w:val="20"/>
                <w:lang w:val="bg-BG"/>
              </w:rPr>
              <w:t>Инвестиционен приоритет 4.</w:t>
            </w:r>
            <w:r w:rsidR="00C15B46">
              <w:rPr>
                <w:rFonts w:ascii="Verdana" w:hAnsi="Verdana"/>
                <w:b/>
                <w:sz w:val="20"/>
                <w:szCs w:val="20"/>
                <w:lang w:val="bg-BG"/>
              </w:rPr>
              <w:t xml:space="preserve"> </w:t>
            </w:r>
            <w:r w:rsidRPr="00F86D34">
              <w:rPr>
                <w:rFonts w:ascii="Verdana" w:hAnsi="Verdana" w:cs="Arial Narrow"/>
                <w:i/>
                <w:color w:val="000000"/>
                <w:sz w:val="20"/>
                <w:szCs w:val="20"/>
                <w:lang w:val="bg-BG" w:eastAsia="bg-BG"/>
              </w:rPr>
              <w:t>Подобряване на адекватността на системите за образование и обучение спрямо пазара на труда, улесняване на прехода от образование към работа и укрепване на професионалното образование и системите на обучение, както и тяхното качество, включително чрез механизми за предвиждане на уменията, адаптиране на учебните програми и създаване и развитие на основаващи се на работата системи за учене, включително двойни системи на учене и схеми за чиракуване</w:t>
            </w:r>
            <w:r w:rsidR="00CB3D72" w:rsidRPr="00F86D34">
              <w:rPr>
                <w:rFonts w:ascii="Verdana" w:hAnsi="Verdana" w:cs="Arial Narrow"/>
                <w:i/>
                <w:color w:val="000000"/>
                <w:sz w:val="20"/>
                <w:szCs w:val="20"/>
                <w:lang w:val="bg-BG" w:eastAsia="bg-BG"/>
              </w:rPr>
              <w:t>.</w:t>
            </w:r>
          </w:p>
        </w:tc>
      </w:tr>
      <w:tr w:rsidR="00DF78A4" w:rsidRPr="00B45B4F" w:rsidTr="00F55866">
        <w:trPr>
          <w:tblCellSpacing w:w="11" w:type="dxa"/>
        </w:trPr>
        <w:tc>
          <w:tcPr>
            <w:tcW w:w="1677" w:type="dxa"/>
            <w:shd w:val="clear" w:color="auto" w:fill="FDE9D9"/>
          </w:tcPr>
          <w:p w:rsidR="00DF78A4" w:rsidRPr="00B45B4F" w:rsidRDefault="00DF78A4" w:rsidP="00DF78A4">
            <w:pPr>
              <w:pStyle w:val="BodyText"/>
              <w:spacing w:before="120" w:line="276" w:lineRule="auto"/>
              <w:rPr>
                <w:rFonts w:ascii="Verdana" w:hAnsi="Verdana"/>
                <w:sz w:val="20"/>
                <w:szCs w:val="20"/>
              </w:rPr>
            </w:pPr>
            <w:r w:rsidRPr="00B45B4F">
              <w:rPr>
                <w:rFonts w:ascii="Verdana" w:hAnsi="Verdana"/>
                <w:sz w:val="20"/>
                <w:szCs w:val="20"/>
              </w:rPr>
              <w:t xml:space="preserve">Нужди, инвестиционен приоритет и специфична цел </w:t>
            </w:r>
          </w:p>
        </w:tc>
        <w:tc>
          <w:tcPr>
            <w:tcW w:w="7347" w:type="dxa"/>
            <w:shd w:val="clear" w:color="auto" w:fill="DBE5F1"/>
          </w:tcPr>
          <w:p w:rsidR="00DF78A4" w:rsidRPr="00B45B4F" w:rsidRDefault="00DF78A4" w:rsidP="00DF78A4">
            <w:pPr>
              <w:pStyle w:val="BodyText"/>
              <w:spacing w:before="120" w:line="276" w:lineRule="auto"/>
              <w:jc w:val="both"/>
              <w:rPr>
                <w:rFonts w:ascii="Verdana" w:hAnsi="Verdana"/>
                <w:sz w:val="20"/>
                <w:szCs w:val="20"/>
              </w:rPr>
            </w:pPr>
            <w:r w:rsidRPr="00B45B4F">
              <w:rPr>
                <w:rFonts w:ascii="Verdana" w:hAnsi="Verdana"/>
                <w:sz w:val="20"/>
                <w:szCs w:val="20"/>
              </w:rPr>
              <w:t>Инвестиционният приоритет е разписан в две специфични цели: (1) подкрепа за професи</w:t>
            </w:r>
            <w:r w:rsidR="00B908CA" w:rsidRPr="00B45B4F">
              <w:rPr>
                <w:rFonts w:ascii="Verdana" w:hAnsi="Verdana"/>
                <w:sz w:val="20"/>
                <w:szCs w:val="20"/>
              </w:rPr>
              <w:t>оналното обучение и</w:t>
            </w:r>
            <w:r w:rsidRPr="00B45B4F">
              <w:rPr>
                <w:rFonts w:ascii="Verdana" w:hAnsi="Verdana"/>
                <w:sz w:val="20"/>
                <w:szCs w:val="20"/>
              </w:rPr>
              <w:t xml:space="preserve"> (2) насърчаване на връзките между професионалното, висшето образование, науката и бизнеса.</w:t>
            </w:r>
          </w:p>
          <w:p w:rsidR="00DF78A4" w:rsidRPr="00B45B4F" w:rsidRDefault="00DF78A4" w:rsidP="00DF78A4">
            <w:pPr>
              <w:pStyle w:val="BodyText"/>
              <w:spacing w:before="120" w:line="276" w:lineRule="auto"/>
              <w:jc w:val="both"/>
              <w:rPr>
                <w:rFonts w:ascii="Verdana" w:hAnsi="Verdana"/>
                <w:sz w:val="20"/>
                <w:szCs w:val="20"/>
              </w:rPr>
            </w:pPr>
            <w:r w:rsidRPr="00B45B4F">
              <w:rPr>
                <w:rFonts w:ascii="Verdana" w:hAnsi="Verdana"/>
                <w:sz w:val="20"/>
                <w:szCs w:val="20"/>
              </w:rPr>
              <w:t>Обосновката на нуждите на СЦ</w:t>
            </w:r>
            <w:r w:rsidR="00C70722" w:rsidRPr="00B45B4F">
              <w:rPr>
                <w:rFonts w:ascii="Verdana" w:hAnsi="Verdana"/>
                <w:sz w:val="20"/>
                <w:szCs w:val="20"/>
              </w:rPr>
              <w:t>1</w:t>
            </w:r>
            <w:r w:rsidR="00C75EA5">
              <w:rPr>
                <w:rFonts w:ascii="Verdana" w:hAnsi="Verdana"/>
                <w:sz w:val="20"/>
                <w:szCs w:val="20"/>
              </w:rPr>
              <w:t xml:space="preserve"> </w:t>
            </w:r>
            <w:r w:rsidR="00C70722" w:rsidRPr="00B45B4F">
              <w:rPr>
                <w:rFonts w:ascii="Verdana" w:hAnsi="Verdana"/>
                <w:sz w:val="20"/>
                <w:szCs w:val="20"/>
              </w:rPr>
              <w:t xml:space="preserve">анализира </w:t>
            </w:r>
            <w:r w:rsidRPr="00B45B4F">
              <w:rPr>
                <w:rFonts w:ascii="Verdana" w:hAnsi="Verdana"/>
                <w:sz w:val="20"/>
                <w:szCs w:val="20"/>
              </w:rPr>
              <w:t>проблеми</w:t>
            </w:r>
            <w:r w:rsidR="00C70722" w:rsidRPr="00B45B4F">
              <w:rPr>
                <w:rFonts w:ascii="Verdana" w:hAnsi="Verdana"/>
                <w:sz w:val="20"/>
                <w:szCs w:val="20"/>
              </w:rPr>
              <w:t>, свързани с</w:t>
            </w:r>
            <w:r w:rsidRPr="00B45B4F">
              <w:rPr>
                <w:rFonts w:ascii="Verdana" w:hAnsi="Verdana"/>
                <w:sz w:val="20"/>
                <w:szCs w:val="20"/>
              </w:rPr>
              <w:t xml:space="preserve"> липса</w:t>
            </w:r>
            <w:r w:rsidR="007F3A84" w:rsidRPr="00B45B4F">
              <w:rPr>
                <w:rFonts w:ascii="Verdana" w:hAnsi="Verdana"/>
                <w:sz w:val="20"/>
                <w:szCs w:val="20"/>
              </w:rPr>
              <w:t>та</w:t>
            </w:r>
            <w:r w:rsidRPr="00B45B4F">
              <w:rPr>
                <w:rFonts w:ascii="Verdana" w:hAnsi="Verdana"/>
                <w:sz w:val="20"/>
                <w:szCs w:val="20"/>
              </w:rPr>
              <w:t xml:space="preserve"> на система за определяне на нуждите на бизнеса и обратна</w:t>
            </w:r>
            <w:r w:rsidR="007F3A84" w:rsidRPr="00B45B4F">
              <w:rPr>
                <w:rFonts w:ascii="Verdana" w:hAnsi="Verdana"/>
                <w:sz w:val="20"/>
                <w:szCs w:val="20"/>
              </w:rPr>
              <w:t>та</w:t>
            </w:r>
            <w:r w:rsidRPr="00B45B4F">
              <w:rPr>
                <w:rFonts w:ascii="Verdana" w:hAnsi="Verdana"/>
                <w:sz w:val="20"/>
                <w:szCs w:val="20"/>
              </w:rPr>
              <w:t xml:space="preserve"> връзка от пазара на труда</w:t>
            </w:r>
            <w:r w:rsidR="00C70722" w:rsidRPr="00B45B4F">
              <w:rPr>
                <w:rFonts w:ascii="Verdana" w:hAnsi="Verdana"/>
                <w:sz w:val="20"/>
                <w:szCs w:val="20"/>
              </w:rPr>
              <w:t xml:space="preserve">. </w:t>
            </w:r>
            <w:r w:rsidR="007F3A84" w:rsidRPr="00B45B4F">
              <w:rPr>
                <w:rFonts w:ascii="Verdana" w:hAnsi="Verdana"/>
                <w:sz w:val="20"/>
                <w:szCs w:val="20"/>
              </w:rPr>
              <w:t>Н</w:t>
            </w:r>
            <w:r w:rsidR="00C70722" w:rsidRPr="00B45B4F">
              <w:rPr>
                <w:rFonts w:ascii="Verdana" w:hAnsi="Verdana"/>
                <w:sz w:val="20"/>
                <w:szCs w:val="20"/>
              </w:rPr>
              <w:t xml:space="preserve">е е предоставена </w:t>
            </w:r>
            <w:r w:rsidR="007F3A84" w:rsidRPr="00B45B4F">
              <w:rPr>
                <w:rFonts w:ascii="Verdana" w:hAnsi="Verdana"/>
                <w:sz w:val="20"/>
                <w:szCs w:val="20"/>
              </w:rPr>
              <w:t xml:space="preserve">и </w:t>
            </w:r>
            <w:r w:rsidR="00C70722" w:rsidRPr="00B45B4F">
              <w:rPr>
                <w:rFonts w:ascii="Verdana" w:hAnsi="Verdana"/>
                <w:sz w:val="20"/>
                <w:szCs w:val="20"/>
              </w:rPr>
              <w:lastRenderedPageBreak/>
              <w:t xml:space="preserve">информация </w:t>
            </w:r>
            <w:r w:rsidR="007E37A8">
              <w:rPr>
                <w:rFonts w:ascii="Verdana" w:hAnsi="Verdana"/>
                <w:sz w:val="20"/>
                <w:szCs w:val="20"/>
              </w:rPr>
              <w:t xml:space="preserve">относно важността на ПОО за пазара на труда, в т.ч. </w:t>
            </w:r>
            <w:r w:rsidR="00EA53A3" w:rsidRPr="00B45B4F">
              <w:rPr>
                <w:rFonts w:ascii="Verdana" w:hAnsi="Verdana"/>
                <w:sz w:val="20"/>
                <w:szCs w:val="20"/>
              </w:rPr>
              <w:t xml:space="preserve"> сектори, към които професионалното образование има конкретен принос и значение.</w:t>
            </w:r>
          </w:p>
          <w:p w:rsidR="00DF78A4" w:rsidRPr="00B45B4F" w:rsidRDefault="00DF78A4" w:rsidP="00065C14">
            <w:pPr>
              <w:pStyle w:val="BodyText"/>
              <w:spacing w:before="120" w:line="276" w:lineRule="auto"/>
              <w:jc w:val="both"/>
              <w:rPr>
                <w:rFonts w:ascii="Verdana" w:hAnsi="Verdana"/>
                <w:sz w:val="20"/>
                <w:szCs w:val="20"/>
              </w:rPr>
            </w:pPr>
            <w:r w:rsidRPr="00B45B4F">
              <w:rPr>
                <w:rFonts w:ascii="Verdana" w:hAnsi="Verdana"/>
                <w:sz w:val="20"/>
                <w:szCs w:val="20"/>
              </w:rPr>
              <w:t>СЦ</w:t>
            </w:r>
            <w:r w:rsidR="00C70722" w:rsidRPr="00B45B4F">
              <w:rPr>
                <w:rFonts w:ascii="Verdana" w:hAnsi="Verdana"/>
                <w:sz w:val="20"/>
                <w:szCs w:val="20"/>
              </w:rPr>
              <w:t>2</w:t>
            </w:r>
            <w:r w:rsidRPr="00B45B4F">
              <w:rPr>
                <w:rFonts w:ascii="Verdana" w:hAnsi="Verdana"/>
                <w:sz w:val="20"/>
                <w:szCs w:val="20"/>
              </w:rPr>
              <w:t xml:space="preserve"> посочва някои от основните проблеми – не достатъчно ефективна връзка между системите на образование и бизнеса; липса на гъвкавост в учебното съдържание по отношение на изискванията на пазара на труда, превес на теоретич</w:t>
            </w:r>
            <w:r w:rsidR="007E37A8">
              <w:rPr>
                <w:rFonts w:ascii="Verdana" w:hAnsi="Verdana"/>
                <w:sz w:val="20"/>
                <w:szCs w:val="20"/>
              </w:rPr>
              <w:t>н</w:t>
            </w:r>
            <w:r w:rsidR="002D4423" w:rsidRPr="00B45B4F">
              <w:rPr>
                <w:rFonts w:ascii="Verdana" w:hAnsi="Verdana"/>
                <w:sz w:val="20"/>
                <w:szCs w:val="20"/>
              </w:rPr>
              <w:t>ите</w:t>
            </w:r>
            <w:r w:rsidRPr="00B45B4F">
              <w:rPr>
                <w:rFonts w:ascii="Verdana" w:hAnsi="Verdana"/>
                <w:sz w:val="20"/>
                <w:szCs w:val="20"/>
              </w:rPr>
              <w:t xml:space="preserve"> позна</w:t>
            </w:r>
            <w:r w:rsidR="002D4423" w:rsidRPr="00B45B4F">
              <w:rPr>
                <w:rFonts w:ascii="Verdana" w:hAnsi="Verdana"/>
                <w:sz w:val="20"/>
                <w:szCs w:val="20"/>
              </w:rPr>
              <w:t>н</w:t>
            </w:r>
            <w:r w:rsidRPr="00B45B4F">
              <w:rPr>
                <w:rFonts w:ascii="Verdana" w:hAnsi="Verdana"/>
                <w:sz w:val="20"/>
                <w:szCs w:val="20"/>
              </w:rPr>
              <w:t>ия за сметка на практич</w:t>
            </w:r>
            <w:r w:rsidR="002D4423" w:rsidRPr="00B45B4F">
              <w:rPr>
                <w:rFonts w:ascii="Verdana" w:hAnsi="Verdana"/>
                <w:sz w:val="20"/>
                <w:szCs w:val="20"/>
              </w:rPr>
              <w:t>еските</w:t>
            </w:r>
            <w:r w:rsidRPr="00B45B4F">
              <w:rPr>
                <w:rFonts w:ascii="Verdana" w:hAnsi="Verdana"/>
                <w:sz w:val="20"/>
                <w:szCs w:val="20"/>
              </w:rPr>
              <w:t xml:space="preserve">, малък дял на учебните </w:t>
            </w:r>
            <w:r w:rsidR="007E37A8">
              <w:rPr>
                <w:rFonts w:ascii="Verdana" w:hAnsi="Verdana"/>
                <w:sz w:val="20"/>
                <w:szCs w:val="20"/>
              </w:rPr>
              <w:t>практики</w:t>
            </w:r>
            <w:r w:rsidRPr="00B45B4F">
              <w:rPr>
                <w:rFonts w:ascii="Verdana" w:hAnsi="Verdana"/>
                <w:sz w:val="20"/>
                <w:szCs w:val="20"/>
              </w:rPr>
              <w:t xml:space="preserve">, недобро сътрудничество с бизнеса. Насърчаването на образование в инженерно-технически и природни специалности не е добре обосновано – не са предоставени данни, че именно там има търсене на пазара на труда. </w:t>
            </w:r>
            <w:r w:rsidR="00D46EE7" w:rsidRPr="00B45B4F">
              <w:rPr>
                <w:rFonts w:ascii="Verdana" w:hAnsi="Verdana"/>
                <w:sz w:val="20"/>
                <w:szCs w:val="20"/>
              </w:rPr>
              <w:t>Не са направени анализи</w:t>
            </w:r>
            <w:r w:rsidR="00776E1B" w:rsidRPr="00B45B4F">
              <w:rPr>
                <w:rFonts w:ascii="Verdana" w:hAnsi="Verdana"/>
                <w:sz w:val="20"/>
                <w:szCs w:val="20"/>
              </w:rPr>
              <w:t xml:space="preserve">, отчитащи </w:t>
            </w:r>
            <w:r w:rsidR="00D46EE7" w:rsidRPr="00B45B4F">
              <w:rPr>
                <w:rFonts w:ascii="Verdana" w:hAnsi="Verdana"/>
                <w:sz w:val="20"/>
                <w:szCs w:val="20"/>
              </w:rPr>
              <w:t>динамикат</w:t>
            </w:r>
            <w:r w:rsidR="00776E1B" w:rsidRPr="00B45B4F">
              <w:rPr>
                <w:rFonts w:ascii="Verdana" w:hAnsi="Verdana"/>
                <w:sz w:val="20"/>
                <w:szCs w:val="20"/>
              </w:rPr>
              <w:t xml:space="preserve">а на пазара на труда, дали </w:t>
            </w:r>
            <w:r w:rsidR="00D46EE7" w:rsidRPr="00B45B4F">
              <w:rPr>
                <w:rFonts w:ascii="Verdana" w:hAnsi="Verdana"/>
                <w:sz w:val="20"/>
                <w:szCs w:val="20"/>
              </w:rPr>
              <w:t xml:space="preserve">5-6 години след обучението на студентите </w:t>
            </w:r>
            <w:r w:rsidR="00776E1B" w:rsidRPr="00B45B4F">
              <w:rPr>
                <w:rFonts w:ascii="Verdana" w:hAnsi="Verdana"/>
                <w:sz w:val="20"/>
                <w:szCs w:val="20"/>
              </w:rPr>
              <w:t xml:space="preserve">ще съществува </w:t>
            </w:r>
            <w:r w:rsidR="00D46EE7" w:rsidRPr="00B45B4F">
              <w:rPr>
                <w:rFonts w:ascii="Verdana" w:hAnsi="Verdana"/>
                <w:sz w:val="20"/>
                <w:szCs w:val="20"/>
              </w:rPr>
              <w:t>търсене</w:t>
            </w:r>
            <w:r w:rsidR="00776E1B" w:rsidRPr="00B45B4F">
              <w:rPr>
                <w:rFonts w:ascii="Verdana" w:hAnsi="Verdana"/>
                <w:sz w:val="20"/>
                <w:szCs w:val="20"/>
              </w:rPr>
              <w:t xml:space="preserve"> на подобни специалисти</w:t>
            </w:r>
            <w:r w:rsidR="00D46EE7" w:rsidRPr="00B45B4F">
              <w:rPr>
                <w:rFonts w:ascii="Verdana" w:hAnsi="Verdana"/>
                <w:sz w:val="20"/>
                <w:szCs w:val="20"/>
              </w:rPr>
              <w:t xml:space="preserve">. </w:t>
            </w:r>
            <w:r w:rsidRPr="00B45B4F">
              <w:rPr>
                <w:rFonts w:ascii="Verdana" w:hAnsi="Verdana"/>
                <w:sz w:val="20"/>
                <w:szCs w:val="20"/>
              </w:rPr>
              <w:t>Подобряването на работата с компютърни системи не е обвързано с конкретната специфична цел, а е по-скоро мярка за повишаване компетентностите на учениците и студентите и вече е адресирана в ИП1 и ИП2.</w:t>
            </w:r>
            <w:r w:rsidR="00D46EE7" w:rsidRPr="00B45B4F">
              <w:rPr>
                <w:rFonts w:ascii="Verdana" w:hAnsi="Verdana"/>
                <w:sz w:val="20"/>
                <w:szCs w:val="20"/>
              </w:rPr>
              <w:t xml:space="preserve"> Обосновката на специфичната цел не разписва проблеми или мерки свързани с науката, поради това е препоръчително да се прецени дали думата „наука“ да остане в текста на специфичната цел, още повече, като се има предвид, че връзката наука-бизнес е адресирана в ПО1.</w:t>
            </w:r>
          </w:p>
        </w:tc>
      </w:tr>
      <w:tr w:rsidR="00DF78A4" w:rsidRPr="00B45B4F" w:rsidTr="00F55866">
        <w:trPr>
          <w:tblCellSpacing w:w="11" w:type="dxa"/>
        </w:trPr>
        <w:tc>
          <w:tcPr>
            <w:tcW w:w="1677" w:type="dxa"/>
            <w:shd w:val="clear" w:color="auto" w:fill="FDE9D9"/>
          </w:tcPr>
          <w:p w:rsidR="00DF78A4" w:rsidRPr="00B45B4F" w:rsidRDefault="00DF78A4" w:rsidP="00DF78A4">
            <w:pPr>
              <w:pStyle w:val="BodyText"/>
              <w:spacing w:before="120" w:line="276" w:lineRule="auto"/>
              <w:rPr>
                <w:rFonts w:ascii="Verdana" w:hAnsi="Verdana"/>
                <w:sz w:val="20"/>
                <w:szCs w:val="20"/>
              </w:rPr>
            </w:pPr>
            <w:r w:rsidRPr="00B45B4F">
              <w:rPr>
                <w:rFonts w:ascii="Verdana" w:hAnsi="Verdana"/>
                <w:sz w:val="20"/>
                <w:szCs w:val="20"/>
              </w:rPr>
              <w:lastRenderedPageBreak/>
              <w:t>Нужди и предвидени дейности</w:t>
            </w:r>
          </w:p>
        </w:tc>
        <w:tc>
          <w:tcPr>
            <w:tcW w:w="7347" w:type="dxa"/>
            <w:shd w:val="clear" w:color="auto" w:fill="C6D9F1"/>
          </w:tcPr>
          <w:p w:rsidR="00DF78A4" w:rsidRPr="00B45B4F" w:rsidRDefault="00DF78A4" w:rsidP="005F1F38">
            <w:pPr>
              <w:pStyle w:val="BodyText"/>
              <w:spacing w:before="120" w:line="276" w:lineRule="auto"/>
              <w:jc w:val="both"/>
              <w:rPr>
                <w:rFonts w:ascii="Verdana" w:hAnsi="Verdana"/>
                <w:sz w:val="20"/>
                <w:szCs w:val="20"/>
              </w:rPr>
            </w:pPr>
            <w:r w:rsidRPr="00B45B4F">
              <w:rPr>
                <w:rFonts w:ascii="Verdana" w:hAnsi="Verdana"/>
                <w:sz w:val="20"/>
                <w:szCs w:val="20"/>
              </w:rPr>
              <w:t>Повечето от дейностите са уместни към дефинира</w:t>
            </w:r>
            <w:r w:rsidR="005F1F38" w:rsidRPr="00B45B4F">
              <w:rPr>
                <w:rFonts w:ascii="Verdana" w:hAnsi="Verdana"/>
                <w:sz w:val="20"/>
                <w:szCs w:val="20"/>
              </w:rPr>
              <w:t xml:space="preserve">ните цели, но съществуват и </w:t>
            </w:r>
            <w:r w:rsidR="002C3464" w:rsidRPr="00B45B4F">
              <w:rPr>
                <w:rFonts w:ascii="Verdana" w:hAnsi="Verdana"/>
                <w:sz w:val="20"/>
                <w:szCs w:val="20"/>
              </w:rPr>
              <w:t>дейности, които</w:t>
            </w:r>
            <w:r w:rsidRPr="00B45B4F">
              <w:rPr>
                <w:rFonts w:ascii="Verdana" w:hAnsi="Verdana"/>
                <w:sz w:val="20"/>
                <w:szCs w:val="20"/>
              </w:rPr>
              <w:t xml:space="preserve"> са </w:t>
            </w:r>
            <w:r w:rsidR="002C3464" w:rsidRPr="00B45B4F">
              <w:rPr>
                <w:rFonts w:ascii="Verdana" w:hAnsi="Verdana"/>
                <w:sz w:val="20"/>
                <w:szCs w:val="20"/>
              </w:rPr>
              <w:t xml:space="preserve">неясни или не са застъпени </w:t>
            </w:r>
            <w:r w:rsidRPr="00B45B4F">
              <w:rPr>
                <w:rFonts w:ascii="Verdana" w:hAnsi="Verdana"/>
                <w:sz w:val="20"/>
                <w:szCs w:val="20"/>
              </w:rPr>
              <w:t>в обосновката на нуждите.</w:t>
            </w:r>
          </w:p>
        </w:tc>
      </w:tr>
      <w:tr w:rsidR="00DF78A4" w:rsidRPr="00B45B4F" w:rsidTr="00F55866">
        <w:trPr>
          <w:tblCellSpacing w:w="11" w:type="dxa"/>
        </w:trPr>
        <w:tc>
          <w:tcPr>
            <w:tcW w:w="1677" w:type="dxa"/>
            <w:shd w:val="clear" w:color="auto" w:fill="FDE9D9"/>
          </w:tcPr>
          <w:p w:rsidR="00DF78A4" w:rsidRPr="00B45B4F" w:rsidRDefault="00DF78A4" w:rsidP="00DF78A4">
            <w:pPr>
              <w:pStyle w:val="BodyText"/>
              <w:spacing w:before="120" w:line="276" w:lineRule="auto"/>
              <w:rPr>
                <w:rFonts w:ascii="Verdana" w:hAnsi="Verdana"/>
                <w:sz w:val="20"/>
                <w:szCs w:val="20"/>
              </w:rPr>
            </w:pPr>
            <w:r w:rsidRPr="00B45B4F">
              <w:rPr>
                <w:rFonts w:ascii="Verdana" w:hAnsi="Verdana"/>
                <w:sz w:val="20"/>
                <w:szCs w:val="20"/>
              </w:rPr>
              <w:t>Индикатори за продукт и предвидени дейности</w:t>
            </w:r>
          </w:p>
        </w:tc>
        <w:tc>
          <w:tcPr>
            <w:tcW w:w="7347" w:type="dxa"/>
            <w:shd w:val="clear" w:color="auto" w:fill="DBE5F1"/>
          </w:tcPr>
          <w:p w:rsidR="00DF78A4" w:rsidRDefault="007D3399" w:rsidP="00DF78A4">
            <w:pPr>
              <w:pStyle w:val="BodyText"/>
              <w:spacing w:before="120" w:line="276" w:lineRule="auto"/>
              <w:jc w:val="both"/>
              <w:rPr>
                <w:rFonts w:ascii="Verdana" w:hAnsi="Verdana"/>
                <w:sz w:val="20"/>
                <w:szCs w:val="20"/>
              </w:rPr>
            </w:pPr>
            <w:r>
              <w:rPr>
                <w:rFonts w:ascii="Verdana" w:hAnsi="Verdana"/>
                <w:sz w:val="20"/>
                <w:szCs w:val="20"/>
              </w:rPr>
              <w:t>Посочени са следните индикатори за продукт:</w:t>
            </w:r>
          </w:p>
          <w:p w:rsidR="007D3399" w:rsidRPr="00D60EF4" w:rsidRDefault="007D3399" w:rsidP="006861B0">
            <w:pPr>
              <w:pStyle w:val="BodyText"/>
              <w:numPr>
                <w:ilvl w:val="0"/>
                <w:numId w:val="23"/>
              </w:numPr>
              <w:spacing w:before="120" w:line="276" w:lineRule="auto"/>
              <w:jc w:val="both"/>
              <w:rPr>
                <w:rFonts w:ascii="Verdana" w:hAnsi="Verdana"/>
                <w:i/>
                <w:sz w:val="20"/>
                <w:szCs w:val="20"/>
              </w:rPr>
            </w:pPr>
            <w:r w:rsidRPr="00D60EF4">
              <w:rPr>
                <w:rFonts w:ascii="Verdana" w:hAnsi="Verdana"/>
                <w:i/>
                <w:sz w:val="20"/>
                <w:szCs w:val="20"/>
              </w:rPr>
              <w:t>Брой ученици</w:t>
            </w:r>
            <w:r>
              <w:rPr>
                <w:rFonts w:ascii="Verdana" w:hAnsi="Verdana"/>
                <w:i/>
                <w:sz w:val="20"/>
                <w:szCs w:val="20"/>
              </w:rPr>
              <w:t>,</w:t>
            </w:r>
            <w:r w:rsidRPr="00D60EF4">
              <w:rPr>
                <w:rFonts w:ascii="Verdana" w:hAnsi="Verdana"/>
                <w:i/>
                <w:sz w:val="20"/>
                <w:szCs w:val="20"/>
              </w:rPr>
              <w:t xml:space="preserve"> участващи в гъвкави форми на обучение в професионалното образование.</w:t>
            </w:r>
          </w:p>
          <w:p w:rsidR="007D3399" w:rsidRPr="00D60EF4" w:rsidRDefault="007D3399" w:rsidP="006861B0">
            <w:pPr>
              <w:pStyle w:val="BodyText"/>
              <w:numPr>
                <w:ilvl w:val="0"/>
                <w:numId w:val="23"/>
              </w:numPr>
              <w:spacing w:before="120" w:line="276" w:lineRule="auto"/>
              <w:jc w:val="both"/>
              <w:rPr>
                <w:rFonts w:ascii="Verdana" w:hAnsi="Verdana"/>
                <w:sz w:val="20"/>
                <w:szCs w:val="20"/>
              </w:rPr>
            </w:pPr>
            <w:r w:rsidRPr="00D60EF4">
              <w:rPr>
                <w:rFonts w:ascii="Verdana" w:hAnsi="Verdana"/>
                <w:i/>
                <w:sz w:val="20"/>
                <w:szCs w:val="20"/>
              </w:rPr>
              <w:t>Брой на учениците и студентите, обучаващи се в технически специалности</w:t>
            </w:r>
          </w:p>
          <w:p w:rsidR="007D3399" w:rsidRPr="00B45B4F" w:rsidRDefault="00765D10" w:rsidP="00DF78A4">
            <w:pPr>
              <w:pStyle w:val="BodyText"/>
              <w:spacing w:before="120" w:line="276" w:lineRule="auto"/>
              <w:jc w:val="both"/>
              <w:rPr>
                <w:rFonts w:ascii="Verdana" w:hAnsi="Verdana"/>
                <w:sz w:val="20"/>
                <w:szCs w:val="20"/>
              </w:rPr>
            </w:pPr>
            <w:r>
              <w:rPr>
                <w:rFonts w:ascii="Verdana" w:hAnsi="Verdana"/>
                <w:sz w:val="20"/>
                <w:szCs w:val="20"/>
              </w:rPr>
              <w:t>Двата индикатора могат да се разглеждат по-скоро като индикатори за резултат.</w:t>
            </w:r>
          </w:p>
        </w:tc>
      </w:tr>
      <w:tr w:rsidR="00DF78A4" w:rsidRPr="00B45B4F" w:rsidTr="00F55866">
        <w:trPr>
          <w:tblCellSpacing w:w="11" w:type="dxa"/>
        </w:trPr>
        <w:tc>
          <w:tcPr>
            <w:tcW w:w="1677" w:type="dxa"/>
            <w:shd w:val="clear" w:color="auto" w:fill="FDE9D9"/>
          </w:tcPr>
          <w:p w:rsidR="00DF78A4" w:rsidRPr="00B45B4F" w:rsidRDefault="00DF78A4" w:rsidP="00DF78A4">
            <w:pPr>
              <w:pStyle w:val="BodyText"/>
              <w:spacing w:before="120" w:line="276" w:lineRule="auto"/>
              <w:rPr>
                <w:rFonts w:ascii="Verdana" w:hAnsi="Verdana"/>
                <w:sz w:val="20"/>
                <w:szCs w:val="20"/>
              </w:rPr>
            </w:pPr>
            <w:r w:rsidRPr="00B45B4F">
              <w:rPr>
                <w:rFonts w:ascii="Verdana" w:hAnsi="Verdana"/>
                <w:sz w:val="20"/>
                <w:szCs w:val="20"/>
              </w:rPr>
              <w:t>Индикатори за резултат и специфични цели</w:t>
            </w:r>
          </w:p>
        </w:tc>
        <w:tc>
          <w:tcPr>
            <w:tcW w:w="7347" w:type="dxa"/>
            <w:shd w:val="clear" w:color="auto" w:fill="C6D9F1"/>
          </w:tcPr>
          <w:p w:rsidR="00DF78A4" w:rsidRPr="00B45B4F" w:rsidRDefault="00DF78A4" w:rsidP="00DF78A4">
            <w:pPr>
              <w:pStyle w:val="BodyText"/>
              <w:spacing w:before="120" w:line="276" w:lineRule="auto"/>
              <w:jc w:val="both"/>
              <w:rPr>
                <w:rFonts w:ascii="Verdana" w:hAnsi="Verdana"/>
                <w:sz w:val="20"/>
                <w:szCs w:val="20"/>
              </w:rPr>
            </w:pPr>
            <w:r w:rsidRPr="00B45B4F">
              <w:rPr>
                <w:rFonts w:ascii="Verdana" w:hAnsi="Verdana"/>
                <w:sz w:val="20"/>
                <w:szCs w:val="20"/>
              </w:rPr>
              <w:t>Посочени са следните индикатори за резултат:</w:t>
            </w:r>
          </w:p>
          <w:p w:rsidR="007D3399" w:rsidRDefault="007D3399" w:rsidP="006861B0">
            <w:pPr>
              <w:pStyle w:val="BodyText"/>
              <w:numPr>
                <w:ilvl w:val="0"/>
                <w:numId w:val="24"/>
              </w:numPr>
              <w:spacing w:before="120" w:line="276" w:lineRule="auto"/>
              <w:jc w:val="both"/>
              <w:rPr>
                <w:rFonts w:ascii="Verdana" w:hAnsi="Verdana"/>
                <w:i/>
                <w:sz w:val="20"/>
                <w:szCs w:val="20"/>
              </w:rPr>
            </w:pPr>
            <w:r w:rsidRPr="00D60EF4">
              <w:rPr>
                <w:rFonts w:ascii="Verdana" w:hAnsi="Verdana"/>
                <w:i/>
                <w:sz w:val="20"/>
                <w:szCs w:val="20"/>
              </w:rPr>
              <w:t>Дял на завършилите професионални гимназии, които са започнали работа по съответната професия през първата година след завършването си</w:t>
            </w:r>
            <w:r>
              <w:rPr>
                <w:rFonts w:ascii="Verdana" w:hAnsi="Verdana"/>
                <w:i/>
                <w:sz w:val="20"/>
                <w:szCs w:val="20"/>
              </w:rPr>
              <w:t>.</w:t>
            </w:r>
          </w:p>
          <w:p w:rsidR="00DF78A4" w:rsidRPr="00B45B4F" w:rsidRDefault="00765D10" w:rsidP="007D3399">
            <w:pPr>
              <w:pStyle w:val="BodyText"/>
              <w:spacing w:before="120" w:line="276" w:lineRule="auto"/>
              <w:jc w:val="both"/>
              <w:rPr>
                <w:rFonts w:ascii="Verdana" w:hAnsi="Verdana"/>
                <w:sz w:val="20"/>
                <w:szCs w:val="20"/>
              </w:rPr>
            </w:pPr>
            <w:r>
              <w:rPr>
                <w:rFonts w:ascii="Verdana" w:hAnsi="Verdana"/>
                <w:sz w:val="20"/>
                <w:szCs w:val="20"/>
              </w:rPr>
              <w:t xml:space="preserve">Предложеният индикатор е насочен към първата специфична цел, но връзката му с него не е пряка. </w:t>
            </w:r>
            <w:r w:rsidR="007D3399">
              <w:rPr>
                <w:rFonts w:ascii="Verdana" w:hAnsi="Verdana"/>
                <w:sz w:val="20"/>
                <w:szCs w:val="20"/>
              </w:rPr>
              <w:t>Не са заложени индикатори за измерване на втората специфична цел.</w:t>
            </w:r>
          </w:p>
        </w:tc>
      </w:tr>
    </w:tbl>
    <w:p w:rsidR="00923BED" w:rsidRDefault="00923BED" w:rsidP="00923BED"/>
    <w:tbl>
      <w:tblPr>
        <w:tblStyle w:val="TableGrid"/>
        <w:tblW w:w="9072"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923BED" w:rsidRPr="00923BED" w:rsidTr="003643A1">
        <w:tc>
          <w:tcPr>
            <w:tcW w:w="9072" w:type="dxa"/>
            <w:shd w:val="clear" w:color="auto" w:fill="D9D9D9" w:themeFill="background1" w:themeFillShade="D9"/>
          </w:tcPr>
          <w:p w:rsidR="00923BED" w:rsidRPr="00390DD1" w:rsidRDefault="00923BED" w:rsidP="009C7AA4">
            <w:pPr>
              <w:jc w:val="both"/>
              <w:rPr>
                <w:rFonts w:ascii="Verdana" w:hAnsi="Verdana"/>
                <w:sz w:val="20"/>
                <w:szCs w:val="20"/>
                <w:lang w:val="bg-BG"/>
              </w:rPr>
            </w:pPr>
            <w:r w:rsidRPr="00390DD1">
              <w:rPr>
                <w:rFonts w:ascii="Verdana" w:hAnsi="Verdana"/>
                <w:sz w:val="20"/>
                <w:szCs w:val="20"/>
                <w:lang w:val="bg-BG"/>
              </w:rPr>
              <w:lastRenderedPageBreak/>
              <w:t xml:space="preserve">През месец август </w:t>
            </w:r>
            <w:r w:rsidR="00D44006" w:rsidRPr="00390DD1">
              <w:rPr>
                <w:rFonts w:ascii="Verdana" w:hAnsi="Verdana"/>
                <w:sz w:val="20"/>
                <w:szCs w:val="20"/>
                <w:lang w:val="bg-BG"/>
              </w:rPr>
              <w:t xml:space="preserve">2014 </w:t>
            </w:r>
            <w:r w:rsidRPr="00390DD1">
              <w:rPr>
                <w:rFonts w:ascii="Verdana" w:hAnsi="Verdana"/>
                <w:sz w:val="20"/>
                <w:szCs w:val="20"/>
                <w:lang w:val="bg-BG"/>
              </w:rPr>
              <w:t xml:space="preserve">ГД СФМОП предостави проект на нова СП 4, която да бъде добавена към ИП2 на ПО2. </w:t>
            </w:r>
            <w:r w:rsidRPr="00390DD1">
              <w:rPr>
                <w:rFonts w:ascii="Verdana" w:hAnsi="Verdana"/>
                <w:i/>
                <w:sz w:val="20"/>
                <w:szCs w:val="20"/>
                <w:lang w:val="bg-BG"/>
              </w:rPr>
              <w:t>Подобряване на условията за обучение в съчетание с научни изследвания и за развитие на човешките ресурси в сферата на научните изследвания и развойната дейност (НИРД)</w:t>
            </w:r>
            <w:r w:rsidR="009C7AA4" w:rsidRPr="00390DD1">
              <w:rPr>
                <w:rFonts w:ascii="Verdana" w:hAnsi="Verdana"/>
                <w:i/>
                <w:sz w:val="20"/>
                <w:szCs w:val="20"/>
                <w:lang w:val="bg-BG"/>
              </w:rPr>
              <w:t xml:space="preserve">. </w:t>
            </w:r>
            <w:r w:rsidR="009C7AA4" w:rsidRPr="00390DD1">
              <w:rPr>
                <w:rFonts w:ascii="Verdana" w:hAnsi="Verdana"/>
                <w:sz w:val="20"/>
                <w:szCs w:val="20"/>
                <w:lang w:val="bg-BG"/>
              </w:rPr>
              <w:t>Специфичната цел е представена отделно, като не е включена в текста на програмата със съответните редакции в останалите й части и поради това е коментирана отделно.</w:t>
            </w:r>
          </w:p>
          <w:p w:rsidR="00923BED" w:rsidRPr="00390DD1" w:rsidRDefault="00923BED" w:rsidP="00C35B42">
            <w:pPr>
              <w:jc w:val="both"/>
              <w:rPr>
                <w:rFonts w:ascii="Verdana" w:hAnsi="Verdana"/>
                <w:sz w:val="20"/>
                <w:szCs w:val="20"/>
                <w:lang w:val="bg-BG"/>
              </w:rPr>
            </w:pPr>
            <w:r w:rsidRPr="00390DD1">
              <w:rPr>
                <w:rFonts w:ascii="Verdana" w:hAnsi="Verdana"/>
                <w:sz w:val="20"/>
                <w:szCs w:val="20"/>
                <w:lang w:val="bg-BG"/>
              </w:rPr>
              <w:t>Целта е специфичната цел да консолидира всички мерки, насочени към осигуряване на връзка между висшето образование и науката и научните изследвания. Специфичната цел ще инкорпорира някои от дейностите, които към момента са в СП1 на ИП</w:t>
            </w:r>
            <w:r w:rsidR="00C35B42" w:rsidRPr="00390DD1">
              <w:rPr>
                <w:rFonts w:ascii="Verdana" w:hAnsi="Verdana"/>
                <w:sz w:val="20"/>
                <w:szCs w:val="20"/>
                <w:lang w:val="bg-BG"/>
              </w:rPr>
              <w:t>3</w:t>
            </w:r>
            <w:r w:rsidRPr="00390DD1">
              <w:rPr>
                <w:rFonts w:ascii="Verdana" w:hAnsi="Verdana"/>
                <w:sz w:val="20"/>
                <w:szCs w:val="20"/>
                <w:lang w:val="bg-BG"/>
              </w:rPr>
              <w:t xml:space="preserve"> на ПО2</w:t>
            </w:r>
            <w:r w:rsidR="00C35B42" w:rsidRPr="00390DD1">
              <w:rPr>
                <w:rFonts w:ascii="Verdana" w:hAnsi="Verdana"/>
                <w:sz w:val="20"/>
                <w:szCs w:val="20"/>
                <w:lang w:val="bg-BG"/>
              </w:rPr>
              <w:t xml:space="preserve">. </w:t>
            </w:r>
          </w:p>
          <w:p w:rsidR="00C35B42" w:rsidRPr="00390DD1" w:rsidRDefault="00C35B42" w:rsidP="00F356CE">
            <w:pPr>
              <w:jc w:val="both"/>
              <w:rPr>
                <w:rFonts w:ascii="Verdana" w:hAnsi="Verdana"/>
                <w:sz w:val="20"/>
                <w:szCs w:val="20"/>
                <w:lang w:val="bg-BG"/>
              </w:rPr>
            </w:pPr>
            <w:r w:rsidRPr="00390DD1">
              <w:rPr>
                <w:rFonts w:ascii="Verdana" w:hAnsi="Verdana"/>
                <w:sz w:val="20"/>
                <w:szCs w:val="20"/>
                <w:lang w:val="bg-BG"/>
              </w:rPr>
              <w:t xml:space="preserve">Обосновката на четвъртата специфична цел се базира на необходимостта да се засили връзката между висшето образование и науката и да </w:t>
            </w:r>
            <w:r w:rsidR="00D44006" w:rsidRPr="00390DD1">
              <w:rPr>
                <w:rFonts w:ascii="Verdana" w:hAnsi="Verdana"/>
                <w:sz w:val="20"/>
                <w:szCs w:val="20"/>
                <w:lang w:val="bg-BG"/>
              </w:rPr>
              <w:t xml:space="preserve">се </w:t>
            </w:r>
            <w:r w:rsidRPr="00390DD1">
              <w:rPr>
                <w:rFonts w:ascii="Verdana" w:hAnsi="Verdana"/>
                <w:sz w:val="20"/>
                <w:szCs w:val="20"/>
                <w:lang w:val="bg-BG"/>
              </w:rPr>
              <w:t>предостави подкрепа за развитие на човешките ресурси в сферата на НИРД. Планираните дейности предвиждат подкрепа за квалификация</w:t>
            </w:r>
            <w:r w:rsidR="00F356CE" w:rsidRPr="00390DD1">
              <w:rPr>
                <w:rFonts w:ascii="Verdana" w:hAnsi="Verdana"/>
                <w:sz w:val="20"/>
                <w:szCs w:val="20"/>
                <w:lang w:val="bg-BG"/>
              </w:rPr>
              <w:t>,</w:t>
            </w:r>
            <w:r w:rsidRPr="00390DD1">
              <w:rPr>
                <w:rFonts w:ascii="Verdana" w:hAnsi="Verdana"/>
                <w:sz w:val="20"/>
                <w:szCs w:val="20"/>
                <w:lang w:val="bg-BG"/>
              </w:rPr>
              <w:t xml:space="preserve"> кариерно развитие </w:t>
            </w:r>
            <w:r w:rsidR="00F356CE" w:rsidRPr="00390DD1">
              <w:rPr>
                <w:rFonts w:ascii="Verdana" w:hAnsi="Verdana"/>
                <w:sz w:val="20"/>
                <w:szCs w:val="20"/>
                <w:lang w:val="bg-BG"/>
              </w:rPr>
              <w:t xml:space="preserve">и мобилност </w:t>
            </w:r>
            <w:r w:rsidRPr="00390DD1">
              <w:rPr>
                <w:rFonts w:ascii="Verdana" w:hAnsi="Verdana"/>
                <w:sz w:val="20"/>
                <w:szCs w:val="20"/>
                <w:lang w:val="bg-BG"/>
              </w:rPr>
              <w:t>в областта на науката</w:t>
            </w:r>
            <w:r w:rsidR="00F356CE" w:rsidRPr="00390DD1">
              <w:rPr>
                <w:rFonts w:ascii="Verdana" w:hAnsi="Verdana"/>
                <w:sz w:val="20"/>
                <w:szCs w:val="20"/>
                <w:lang w:val="bg-BG"/>
              </w:rPr>
              <w:t>, съвместни програми с бизнеса, развитие на партньорски мрежи, привличане на изследователи и създаване на изследователски потенциал в изградените изследователски центрове, подпомагане на процеса на разпространение на научните резултати и популяризиране на науката и научните изследвани</w:t>
            </w:r>
            <w:r w:rsidR="00D44006" w:rsidRPr="00390DD1">
              <w:rPr>
                <w:rFonts w:ascii="Verdana" w:hAnsi="Verdana"/>
                <w:sz w:val="20"/>
                <w:szCs w:val="20"/>
                <w:lang w:val="bg-BG"/>
              </w:rPr>
              <w:t>я</w:t>
            </w:r>
            <w:r w:rsidR="00F356CE" w:rsidRPr="00390DD1">
              <w:rPr>
                <w:rFonts w:ascii="Verdana" w:hAnsi="Verdana"/>
                <w:sz w:val="20"/>
                <w:szCs w:val="20"/>
                <w:lang w:val="bg-BG"/>
              </w:rPr>
              <w:t>. Дейностите подкрепят постигането на специфичната цел.</w:t>
            </w:r>
          </w:p>
          <w:p w:rsidR="00F356CE" w:rsidRPr="00390DD1" w:rsidRDefault="00F356CE" w:rsidP="00F356CE">
            <w:pPr>
              <w:jc w:val="both"/>
              <w:rPr>
                <w:rFonts w:ascii="Verdana" w:hAnsi="Verdana"/>
                <w:sz w:val="20"/>
                <w:szCs w:val="20"/>
                <w:lang w:val="bg-BG"/>
              </w:rPr>
            </w:pPr>
            <w:r w:rsidRPr="00390DD1">
              <w:rPr>
                <w:rFonts w:ascii="Verdana" w:hAnsi="Verdana"/>
                <w:sz w:val="20"/>
                <w:szCs w:val="20"/>
                <w:lang w:val="bg-BG"/>
              </w:rPr>
              <w:t>За измерване на постигнатото по специфичната цел се предвижда с</w:t>
            </w:r>
            <w:r w:rsidR="009C7AA4" w:rsidRPr="00390DD1">
              <w:rPr>
                <w:rFonts w:ascii="Verdana" w:hAnsi="Verdana"/>
                <w:sz w:val="20"/>
                <w:szCs w:val="20"/>
                <w:lang w:val="bg-BG"/>
              </w:rPr>
              <w:t>л</w:t>
            </w:r>
            <w:r w:rsidRPr="00390DD1">
              <w:rPr>
                <w:rFonts w:ascii="Verdana" w:hAnsi="Verdana"/>
                <w:sz w:val="20"/>
                <w:szCs w:val="20"/>
                <w:lang w:val="bg-BG"/>
              </w:rPr>
              <w:t>едният индикатор за резултат:</w:t>
            </w:r>
          </w:p>
          <w:p w:rsidR="00F356CE" w:rsidRPr="00390DD1" w:rsidRDefault="00F356CE" w:rsidP="00F356CE">
            <w:pPr>
              <w:pStyle w:val="ListParagraph"/>
              <w:numPr>
                <w:ilvl w:val="0"/>
                <w:numId w:val="24"/>
              </w:numPr>
              <w:rPr>
                <w:rStyle w:val="hps"/>
                <w:rFonts w:ascii="Verdana" w:hAnsi="Verdana"/>
                <w:i/>
                <w:sz w:val="20"/>
                <w:szCs w:val="20"/>
                <w:lang w:val="bg-BG"/>
              </w:rPr>
            </w:pPr>
            <w:r w:rsidRPr="00390DD1">
              <w:rPr>
                <w:rStyle w:val="hps"/>
                <w:rFonts w:ascii="Verdana" w:hAnsi="Verdana"/>
                <w:i/>
                <w:sz w:val="20"/>
                <w:szCs w:val="20"/>
                <w:lang w:val="bg-BG"/>
              </w:rPr>
              <w:t>Научни организации с</w:t>
            </w:r>
            <w:r w:rsidRPr="00390DD1">
              <w:rPr>
                <w:rFonts w:ascii="Verdana" w:hAnsi="Verdana"/>
                <w:i/>
                <w:sz w:val="20"/>
                <w:szCs w:val="20"/>
                <w:lang w:val="bg-BG"/>
              </w:rPr>
              <w:t xml:space="preserve"> </w:t>
            </w:r>
            <w:r w:rsidRPr="00390DD1">
              <w:rPr>
                <w:rStyle w:val="hps"/>
                <w:rFonts w:ascii="Verdana" w:hAnsi="Verdana"/>
                <w:i/>
                <w:sz w:val="20"/>
                <w:szCs w:val="20"/>
                <w:lang w:val="bg-BG"/>
              </w:rPr>
              <w:t>новоназначени изследователи от</w:t>
            </w:r>
            <w:r w:rsidRPr="00390DD1">
              <w:rPr>
                <w:rFonts w:ascii="Verdana" w:hAnsi="Verdana"/>
                <w:i/>
                <w:sz w:val="20"/>
                <w:szCs w:val="20"/>
                <w:lang w:val="bg-BG"/>
              </w:rPr>
              <w:t xml:space="preserve"> </w:t>
            </w:r>
            <w:r w:rsidRPr="00390DD1">
              <w:rPr>
                <w:rStyle w:val="hps"/>
                <w:rFonts w:ascii="Verdana" w:hAnsi="Verdana"/>
                <w:i/>
                <w:sz w:val="20"/>
                <w:szCs w:val="20"/>
                <w:lang w:val="bg-BG"/>
              </w:rPr>
              <w:t>чужбина;</w:t>
            </w:r>
          </w:p>
          <w:p w:rsidR="00F356CE" w:rsidRPr="00390DD1" w:rsidRDefault="00F356CE" w:rsidP="00F356CE">
            <w:pPr>
              <w:rPr>
                <w:rFonts w:ascii="Verdana" w:hAnsi="Verdana"/>
                <w:sz w:val="20"/>
                <w:szCs w:val="20"/>
                <w:lang w:val="bg-BG"/>
              </w:rPr>
            </w:pPr>
            <w:r w:rsidRPr="00390DD1">
              <w:rPr>
                <w:rFonts w:ascii="Verdana" w:hAnsi="Verdana"/>
                <w:sz w:val="20"/>
                <w:szCs w:val="20"/>
                <w:lang w:val="bg-BG"/>
              </w:rPr>
              <w:t xml:space="preserve">Индикаторът е уместен, но обхваща само един от аспектите на подкрепа. </w:t>
            </w:r>
          </w:p>
          <w:p w:rsidR="00F356CE" w:rsidRPr="00390DD1" w:rsidRDefault="00F356CE" w:rsidP="00F356CE">
            <w:pPr>
              <w:rPr>
                <w:rFonts w:ascii="Verdana" w:hAnsi="Verdana"/>
                <w:sz w:val="20"/>
                <w:szCs w:val="20"/>
                <w:lang w:val="bg-BG"/>
              </w:rPr>
            </w:pPr>
            <w:r w:rsidRPr="00390DD1">
              <w:rPr>
                <w:rFonts w:ascii="Verdana" w:hAnsi="Verdana"/>
                <w:sz w:val="20"/>
                <w:szCs w:val="20"/>
                <w:lang w:val="bg-BG"/>
              </w:rPr>
              <w:t>Предвидени са следните индикатори за продукт:</w:t>
            </w:r>
          </w:p>
          <w:p w:rsidR="00F356CE" w:rsidRPr="00390DD1" w:rsidRDefault="00F356CE" w:rsidP="00F356CE">
            <w:pPr>
              <w:pStyle w:val="ListParagraph"/>
              <w:numPr>
                <w:ilvl w:val="0"/>
                <w:numId w:val="24"/>
              </w:numPr>
              <w:rPr>
                <w:rStyle w:val="hps"/>
                <w:rFonts w:ascii="Verdana" w:hAnsi="Verdana"/>
                <w:i/>
                <w:sz w:val="20"/>
                <w:szCs w:val="20"/>
                <w:lang w:val="bg-BG"/>
              </w:rPr>
            </w:pPr>
            <w:r w:rsidRPr="00390DD1">
              <w:rPr>
                <w:rStyle w:val="hps"/>
                <w:rFonts w:ascii="Verdana" w:hAnsi="Verdana"/>
                <w:i/>
                <w:sz w:val="20"/>
                <w:szCs w:val="20"/>
                <w:lang w:val="bg-BG"/>
              </w:rPr>
              <w:t>Привлечени от чужбина учени в центровете за върхови постижения и за компетентност;</w:t>
            </w:r>
          </w:p>
          <w:p w:rsidR="00F356CE" w:rsidRPr="00390DD1" w:rsidRDefault="00F356CE" w:rsidP="00F356CE">
            <w:pPr>
              <w:pStyle w:val="ListParagraph"/>
              <w:numPr>
                <w:ilvl w:val="0"/>
                <w:numId w:val="24"/>
              </w:numPr>
              <w:rPr>
                <w:rStyle w:val="hps"/>
                <w:rFonts w:ascii="Verdana" w:hAnsi="Verdana"/>
                <w:sz w:val="20"/>
                <w:szCs w:val="20"/>
                <w:lang w:val="bg-BG"/>
              </w:rPr>
            </w:pPr>
            <w:r w:rsidRPr="00390DD1">
              <w:rPr>
                <w:rStyle w:val="hps"/>
                <w:rFonts w:ascii="Verdana" w:hAnsi="Verdana"/>
                <w:i/>
                <w:sz w:val="20"/>
                <w:szCs w:val="20"/>
                <w:lang w:val="bg-BG"/>
              </w:rPr>
              <w:t>Докторанти, пост-докторанти, специализанти и изследователи</w:t>
            </w:r>
            <w:r w:rsidR="003643A1" w:rsidRPr="00390DD1">
              <w:rPr>
                <w:rStyle w:val="hps"/>
                <w:rFonts w:ascii="Verdana" w:hAnsi="Verdana"/>
                <w:i/>
                <w:sz w:val="20"/>
                <w:szCs w:val="20"/>
                <w:lang w:val="bg-BG"/>
              </w:rPr>
              <w:t>,</w:t>
            </w:r>
            <w:r w:rsidRPr="00390DD1">
              <w:rPr>
                <w:rStyle w:val="hps"/>
                <w:rFonts w:ascii="Verdana" w:hAnsi="Verdana"/>
                <w:i/>
                <w:sz w:val="20"/>
                <w:szCs w:val="20"/>
                <w:lang w:val="bg-BG"/>
              </w:rPr>
              <w:t xml:space="preserve"> включени в програми за мобилност</w:t>
            </w:r>
            <w:r w:rsidR="003643A1" w:rsidRPr="00390DD1">
              <w:rPr>
                <w:rStyle w:val="hps"/>
                <w:rFonts w:ascii="Verdana" w:hAnsi="Verdana"/>
                <w:i/>
                <w:sz w:val="20"/>
                <w:szCs w:val="20"/>
                <w:lang w:val="bg-BG"/>
              </w:rPr>
              <w:t>.</w:t>
            </w:r>
          </w:p>
          <w:p w:rsidR="003643A1" w:rsidRPr="00390DD1" w:rsidRDefault="003643A1" w:rsidP="00D44006">
            <w:pPr>
              <w:ind w:left="360"/>
              <w:rPr>
                <w:rFonts w:ascii="Verdana" w:hAnsi="Verdana"/>
                <w:sz w:val="20"/>
                <w:szCs w:val="20"/>
                <w:lang w:val="bg-BG"/>
              </w:rPr>
            </w:pPr>
            <w:r w:rsidRPr="00390DD1">
              <w:rPr>
                <w:rFonts w:ascii="Verdana" w:hAnsi="Verdana"/>
                <w:sz w:val="20"/>
                <w:szCs w:val="20"/>
                <w:lang w:val="bg-BG"/>
              </w:rPr>
              <w:t xml:space="preserve">Индикаторите са уместни. </w:t>
            </w:r>
          </w:p>
        </w:tc>
      </w:tr>
    </w:tbl>
    <w:p w:rsidR="00923BED" w:rsidRPr="00923BED" w:rsidRDefault="00923BED" w:rsidP="00923BED"/>
    <w:p w:rsidR="00444CBE" w:rsidRPr="00B45B4F" w:rsidRDefault="00444CBE" w:rsidP="00FA776A">
      <w:pPr>
        <w:keepNext/>
        <w:pBdr>
          <w:bottom w:val="single" w:sz="4" w:space="1" w:color="0070C0"/>
        </w:pBdr>
        <w:spacing w:before="360" w:after="120"/>
        <w:jc w:val="both"/>
        <w:rPr>
          <w:rFonts w:ascii="Verdana" w:hAnsi="Verdana"/>
          <w:color w:val="0070C0"/>
          <w:sz w:val="20"/>
          <w:szCs w:val="20"/>
          <w:lang w:val="bg-BG" w:eastAsia="cs-CZ"/>
        </w:rPr>
      </w:pPr>
      <w:r w:rsidRPr="00B45B4F">
        <w:rPr>
          <w:rFonts w:ascii="Verdana" w:hAnsi="Verdana"/>
          <w:color w:val="0070C0"/>
          <w:sz w:val="20"/>
          <w:szCs w:val="20"/>
          <w:lang w:val="bg-BG" w:eastAsia="cs-CZ"/>
        </w:rPr>
        <w:t>ПО3. Образователна среда за активно социално приобщаване</w:t>
      </w:r>
    </w:p>
    <w:p w:rsidR="00444CBE" w:rsidRPr="00B45B4F" w:rsidRDefault="00444CBE" w:rsidP="008410DF">
      <w:pPr>
        <w:pStyle w:val="BodyText"/>
        <w:tabs>
          <w:tab w:val="left" w:pos="0"/>
          <w:tab w:val="right" w:pos="9214"/>
        </w:tabs>
        <w:spacing w:before="240" w:line="276" w:lineRule="auto"/>
        <w:jc w:val="both"/>
        <w:rPr>
          <w:rFonts w:ascii="Verdana" w:hAnsi="Verdana"/>
          <w:b/>
          <w:sz w:val="20"/>
          <w:szCs w:val="20"/>
        </w:rPr>
      </w:pPr>
      <w:bookmarkStart w:id="83" w:name="_Toc395612575"/>
      <w:r w:rsidRPr="00B45B4F">
        <w:rPr>
          <w:rFonts w:ascii="Verdana" w:hAnsi="Verdana"/>
          <w:b/>
          <w:color w:val="548DD4" w:themeColor="text2" w:themeTint="99"/>
          <w:sz w:val="20"/>
          <w:szCs w:val="20"/>
        </w:rPr>
        <w:t xml:space="preserve">Таблица </w:t>
      </w:r>
      <w:r w:rsidR="00BF1936" w:rsidRPr="00B45B4F">
        <w:rPr>
          <w:rFonts w:ascii="Verdana" w:hAnsi="Verdana"/>
          <w:b/>
          <w:color w:val="548DD4" w:themeColor="text2" w:themeTint="99"/>
          <w:sz w:val="20"/>
          <w:szCs w:val="20"/>
        </w:rPr>
        <w:fldChar w:fldCharType="begin"/>
      </w:r>
      <w:r w:rsidRPr="00B45B4F">
        <w:rPr>
          <w:rFonts w:ascii="Verdana" w:hAnsi="Verdana"/>
          <w:b/>
          <w:color w:val="548DD4" w:themeColor="text2" w:themeTint="99"/>
          <w:sz w:val="20"/>
          <w:szCs w:val="20"/>
        </w:rPr>
        <w:instrText xml:space="preserve"> SEQ таблица \* ARABIC </w:instrText>
      </w:r>
      <w:r w:rsidR="00BF1936" w:rsidRPr="00B45B4F">
        <w:rPr>
          <w:rFonts w:ascii="Verdana" w:hAnsi="Verdana"/>
          <w:b/>
          <w:color w:val="548DD4" w:themeColor="text2" w:themeTint="99"/>
          <w:sz w:val="20"/>
          <w:szCs w:val="20"/>
        </w:rPr>
        <w:fldChar w:fldCharType="separate"/>
      </w:r>
      <w:r w:rsidR="001361E0">
        <w:rPr>
          <w:rFonts w:ascii="Verdana" w:hAnsi="Verdana"/>
          <w:b/>
          <w:noProof/>
          <w:color w:val="548DD4" w:themeColor="text2" w:themeTint="99"/>
          <w:sz w:val="20"/>
          <w:szCs w:val="20"/>
        </w:rPr>
        <w:t>19</w:t>
      </w:r>
      <w:r w:rsidR="00BF1936" w:rsidRPr="00B45B4F">
        <w:rPr>
          <w:rFonts w:ascii="Verdana" w:hAnsi="Verdana"/>
          <w:b/>
          <w:color w:val="548DD4" w:themeColor="text2" w:themeTint="99"/>
          <w:sz w:val="20"/>
          <w:szCs w:val="20"/>
        </w:rPr>
        <w:fldChar w:fldCharType="end"/>
      </w:r>
      <w:r w:rsidRPr="00B45B4F">
        <w:rPr>
          <w:rFonts w:ascii="Verdana" w:hAnsi="Verdana"/>
          <w:b/>
          <w:color w:val="548DD4" w:themeColor="text2" w:themeTint="99"/>
          <w:sz w:val="20"/>
          <w:szCs w:val="20"/>
        </w:rPr>
        <w:t>. ПО3 - Съответствие между нужди, ИП, дейности и индикатори</w:t>
      </w:r>
      <w:bookmarkEnd w:id="83"/>
    </w:p>
    <w:tbl>
      <w:tblPr>
        <w:tblW w:w="9090" w:type="dxa"/>
        <w:tblCellSpacing w:w="11" w:type="dxa"/>
        <w:tblInd w:w="130" w:type="dxa"/>
        <w:tblLook w:val="00A0" w:firstRow="1" w:lastRow="0" w:firstColumn="1" w:lastColumn="0" w:noHBand="0" w:noVBand="0"/>
      </w:tblPr>
      <w:tblGrid>
        <w:gridCol w:w="1829"/>
        <w:gridCol w:w="7261"/>
      </w:tblGrid>
      <w:tr w:rsidR="00444CBE" w:rsidRPr="00B45B4F" w:rsidTr="00AF6F4A">
        <w:trPr>
          <w:tblCellSpacing w:w="11" w:type="dxa"/>
        </w:trPr>
        <w:tc>
          <w:tcPr>
            <w:tcW w:w="1677" w:type="dxa"/>
            <w:shd w:val="clear" w:color="auto" w:fill="548DD4" w:themeFill="text2" w:themeFillTint="99"/>
          </w:tcPr>
          <w:p w:rsidR="00444CBE" w:rsidRPr="00B45B4F" w:rsidRDefault="00444CBE" w:rsidP="0076200A">
            <w:pPr>
              <w:pStyle w:val="BodyText"/>
              <w:spacing w:before="120" w:line="276" w:lineRule="auto"/>
              <w:jc w:val="center"/>
              <w:rPr>
                <w:rFonts w:ascii="Verdana" w:hAnsi="Verdana"/>
                <w:b/>
                <w:color w:val="FFFFFF"/>
                <w:sz w:val="20"/>
                <w:szCs w:val="20"/>
              </w:rPr>
            </w:pPr>
            <w:r w:rsidRPr="00B45B4F">
              <w:rPr>
                <w:rFonts w:ascii="Verdana" w:hAnsi="Verdana"/>
                <w:b/>
                <w:color w:val="FFFFFF"/>
                <w:sz w:val="20"/>
                <w:szCs w:val="20"/>
              </w:rPr>
              <w:t>Връзка</w:t>
            </w:r>
          </w:p>
        </w:tc>
        <w:tc>
          <w:tcPr>
            <w:tcW w:w="7347" w:type="dxa"/>
            <w:shd w:val="clear" w:color="auto" w:fill="548DD4" w:themeFill="text2" w:themeFillTint="99"/>
          </w:tcPr>
          <w:p w:rsidR="00444CBE" w:rsidRPr="00B45B4F" w:rsidRDefault="00444CBE" w:rsidP="0076200A">
            <w:pPr>
              <w:pStyle w:val="BodyText"/>
              <w:spacing w:before="120" w:line="276" w:lineRule="auto"/>
              <w:jc w:val="center"/>
              <w:rPr>
                <w:rFonts w:ascii="Verdana" w:hAnsi="Verdana"/>
                <w:b/>
                <w:color w:val="FFFFFF"/>
                <w:sz w:val="20"/>
                <w:szCs w:val="20"/>
              </w:rPr>
            </w:pPr>
            <w:r w:rsidRPr="00B45B4F">
              <w:rPr>
                <w:rFonts w:ascii="Verdana" w:hAnsi="Verdana"/>
                <w:b/>
                <w:color w:val="FFFFFF"/>
                <w:sz w:val="20"/>
                <w:szCs w:val="20"/>
              </w:rPr>
              <w:t>Коментар</w:t>
            </w:r>
          </w:p>
        </w:tc>
      </w:tr>
      <w:tr w:rsidR="00444CBE" w:rsidRPr="00B45B4F" w:rsidTr="00F55866">
        <w:trPr>
          <w:tblCellSpacing w:w="11" w:type="dxa"/>
        </w:trPr>
        <w:tc>
          <w:tcPr>
            <w:tcW w:w="9046" w:type="dxa"/>
            <w:gridSpan w:val="2"/>
            <w:shd w:val="clear" w:color="auto" w:fill="FBD4B4"/>
          </w:tcPr>
          <w:p w:rsidR="00444CBE" w:rsidRPr="00B45B4F" w:rsidRDefault="00444CBE" w:rsidP="00DB7D26">
            <w:pPr>
              <w:autoSpaceDE w:val="0"/>
              <w:autoSpaceDN w:val="0"/>
              <w:adjustRightInd w:val="0"/>
              <w:spacing w:after="0"/>
              <w:jc w:val="both"/>
              <w:rPr>
                <w:rFonts w:ascii="Verdana" w:hAnsi="Verdana" w:cs="Arial Narrow"/>
                <w:color w:val="000000"/>
                <w:sz w:val="20"/>
                <w:szCs w:val="20"/>
                <w:lang w:val="bg-BG" w:eastAsia="bg-BG"/>
              </w:rPr>
            </w:pPr>
            <w:r w:rsidRPr="00B45B4F">
              <w:rPr>
                <w:rFonts w:ascii="Verdana" w:hAnsi="Verdana"/>
                <w:b/>
                <w:sz w:val="20"/>
                <w:szCs w:val="20"/>
                <w:lang w:val="bg-BG"/>
              </w:rPr>
              <w:t>Инвестиционен приоритет 1</w:t>
            </w:r>
            <w:r w:rsidRPr="00B45B4F">
              <w:rPr>
                <w:rFonts w:ascii="Verdana" w:hAnsi="Verdana"/>
                <w:sz w:val="20"/>
                <w:szCs w:val="20"/>
                <w:lang w:val="bg-BG"/>
              </w:rPr>
              <w:t xml:space="preserve">. </w:t>
            </w:r>
            <w:r w:rsidR="00DB7D26" w:rsidRPr="00F86D34">
              <w:rPr>
                <w:rFonts w:ascii="Verdana" w:hAnsi="Verdana" w:cs="Arial Narrow"/>
                <w:i/>
                <w:color w:val="000000"/>
                <w:sz w:val="20"/>
                <w:szCs w:val="20"/>
                <w:lang w:val="bg-BG" w:eastAsia="bg-BG"/>
              </w:rPr>
              <w:t>Активно приобщаване, включително с оглед на насърчаване на равните възможности и активното участие, и по-добрата пригодност за заетост.</w:t>
            </w:r>
          </w:p>
        </w:tc>
      </w:tr>
      <w:tr w:rsidR="00444CBE" w:rsidRPr="00B45B4F" w:rsidTr="00F55866">
        <w:trPr>
          <w:tblCellSpacing w:w="11" w:type="dxa"/>
        </w:trPr>
        <w:tc>
          <w:tcPr>
            <w:tcW w:w="1677" w:type="dxa"/>
            <w:shd w:val="clear" w:color="auto" w:fill="FDE9D9"/>
          </w:tcPr>
          <w:p w:rsidR="00444CBE" w:rsidRPr="00B45B4F" w:rsidRDefault="00444CBE" w:rsidP="0076200A">
            <w:pPr>
              <w:pStyle w:val="BodyText"/>
              <w:spacing w:before="120" w:line="276" w:lineRule="auto"/>
              <w:rPr>
                <w:rFonts w:ascii="Verdana" w:hAnsi="Verdana"/>
                <w:sz w:val="20"/>
                <w:szCs w:val="20"/>
              </w:rPr>
            </w:pPr>
            <w:r w:rsidRPr="00B45B4F">
              <w:rPr>
                <w:rFonts w:ascii="Verdana" w:hAnsi="Verdana"/>
                <w:sz w:val="20"/>
                <w:szCs w:val="20"/>
              </w:rPr>
              <w:lastRenderedPageBreak/>
              <w:t xml:space="preserve">Нужди, инвестиционен приоритет и специфична цел </w:t>
            </w:r>
          </w:p>
        </w:tc>
        <w:tc>
          <w:tcPr>
            <w:tcW w:w="7347" w:type="dxa"/>
            <w:shd w:val="clear" w:color="auto" w:fill="DBE5F1"/>
          </w:tcPr>
          <w:p w:rsidR="00444CBE" w:rsidRPr="00B45B4F" w:rsidRDefault="00D9101A" w:rsidP="0076200A">
            <w:pPr>
              <w:pStyle w:val="BodyText"/>
              <w:spacing w:before="120" w:line="276" w:lineRule="auto"/>
              <w:jc w:val="both"/>
              <w:rPr>
                <w:rFonts w:ascii="Verdana" w:hAnsi="Verdana"/>
                <w:sz w:val="20"/>
                <w:szCs w:val="20"/>
              </w:rPr>
            </w:pPr>
            <w:r w:rsidRPr="00B45B4F">
              <w:rPr>
                <w:rFonts w:ascii="Verdana" w:hAnsi="Verdana"/>
                <w:sz w:val="20"/>
                <w:szCs w:val="20"/>
              </w:rPr>
              <w:t>Инвестиционният приоритет е разписан в две специфични цели: (1) повишаване качеството и подобряване достъпа до образование чрез създаване на подкрепяща среда за включващо образование и (2) изграждане на образователна среда, насърчаваща разгръщането на потенциала на всяко дете и ученик за личностно развитие, успешна реализация и социализация.</w:t>
            </w:r>
          </w:p>
          <w:p w:rsidR="00D9101A" w:rsidRPr="00B45B4F" w:rsidRDefault="00D9101A" w:rsidP="001E24DE">
            <w:pPr>
              <w:pStyle w:val="BodyText"/>
              <w:spacing w:before="120" w:line="276" w:lineRule="auto"/>
              <w:jc w:val="both"/>
              <w:rPr>
                <w:rFonts w:ascii="Verdana" w:hAnsi="Verdana"/>
                <w:sz w:val="20"/>
                <w:szCs w:val="20"/>
              </w:rPr>
            </w:pPr>
            <w:r w:rsidRPr="00B45B4F">
              <w:rPr>
                <w:rFonts w:ascii="Verdana" w:hAnsi="Verdana"/>
                <w:sz w:val="20"/>
                <w:szCs w:val="20"/>
              </w:rPr>
              <w:t>Двете специфични цели адресират два основни проблема пред приобщаващото образование:</w:t>
            </w:r>
            <w:r w:rsidR="001E24DE" w:rsidRPr="00B45B4F">
              <w:rPr>
                <w:rFonts w:ascii="Verdana" w:hAnsi="Verdana"/>
                <w:sz w:val="20"/>
                <w:szCs w:val="20"/>
              </w:rPr>
              <w:t xml:space="preserve"> включващо образование за деца със СОП и образователна</w:t>
            </w:r>
            <w:r w:rsidR="00D523CC" w:rsidRPr="00B45B4F">
              <w:rPr>
                <w:rFonts w:ascii="Verdana" w:hAnsi="Verdana"/>
                <w:sz w:val="20"/>
                <w:szCs w:val="20"/>
              </w:rPr>
              <w:t>та</w:t>
            </w:r>
            <w:r w:rsidR="001E24DE" w:rsidRPr="00B45B4F">
              <w:rPr>
                <w:rFonts w:ascii="Verdana" w:hAnsi="Verdana"/>
                <w:sz w:val="20"/>
                <w:szCs w:val="20"/>
              </w:rPr>
              <w:t xml:space="preserve"> система, която </w:t>
            </w:r>
            <w:r w:rsidR="00D523CC" w:rsidRPr="00B45B4F">
              <w:rPr>
                <w:rFonts w:ascii="Verdana" w:hAnsi="Verdana"/>
                <w:sz w:val="20"/>
                <w:szCs w:val="20"/>
              </w:rPr>
              <w:t>да</w:t>
            </w:r>
            <w:r w:rsidR="00F224CD">
              <w:rPr>
                <w:rFonts w:ascii="Verdana" w:hAnsi="Verdana"/>
                <w:sz w:val="20"/>
                <w:szCs w:val="20"/>
              </w:rPr>
              <w:t xml:space="preserve"> </w:t>
            </w:r>
            <w:r w:rsidR="001E24DE" w:rsidRPr="00B45B4F">
              <w:rPr>
                <w:rFonts w:ascii="Verdana" w:hAnsi="Verdana"/>
                <w:sz w:val="20"/>
                <w:szCs w:val="20"/>
              </w:rPr>
              <w:t>взема предвид индивидуални</w:t>
            </w:r>
            <w:r w:rsidR="005E025E" w:rsidRPr="00B45B4F">
              <w:rPr>
                <w:rFonts w:ascii="Verdana" w:hAnsi="Verdana"/>
                <w:sz w:val="20"/>
                <w:szCs w:val="20"/>
              </w:rPr>
              <w:t>те</w:t>
            </w:r>
            <w:r w:rsidR="001E24DE" w:rsidRPr="00B45B4F">
              <w:rPr>
                <w:rFonts w:ascii="Verdana" w:hAnsi="Verdana"/>
                <w:sz w:val="20"/>
                <w:szCs w:val="20"/>
              </w:rPr>
              <w:t xml:space="preserve"> потребности на учащите. В този аспект е препоръчително дефиницията на </w:t>
            </w:r>
            <w:r w:rsidR="00EA53A3" w:rsidRPr="00B45B4F">
              <w:rPr>
                <w:rFonts w:ascii="Verdana" w:hAnsi="Verdana"/>
                <w:sz w:val="20"/>
                <w:szCs w:val="20"/>
              </w:rPr>
              <w:t xml:space="preserve">първата специфична цел </w:t>
            </w:r>
            <w:r w:rsidR="001E24DE" w:rsidRPr="00B45B4F">
              <w:rPr>
                <w:rFonts w:ascii="Verdana" w:hAnsi="Verdana"/>
                <w:sz w:val="20"/>
                <w:szCs w:val="20"/>
              </w:rPr>
              <w:t>да бъд</w:t>
            </w:r>
            <w:r w:rsidR="00882FBD" w:rsidRPr="00B45B4F">
              <w:rPr>
                <w:rFonts w:ascii="Verdana" w:hAnsi="Verdana"/>
                <w:sz w:val="20"/>
                <w:szCs w:val="20"/>
              </w:rPr>
              <w:t>е преформулирана</w:t>
            </w:r>
            <w:r w:rsidR="001E24DE" w:rsidRPr="00B45B4F">
              <w:rPr>
                <w:rFonts w:ascii="Verdana" w:hAnsi="Verdana"/>
                <w:sz w:val="20"/>
                <w:szCs w:val="20"/>
              </w:rPr>
              <w:t xml:space="preserve">. </w:t>
            </w:r>
            <w:r w:rsidR="00882FBD" w:rsidRPr="00B45B4F">
              <w:rPr>
                <w:rFonts w:ascii="Verdana" w:hAnsi="Verdana"/>
                <w:sz w:val="20"/>
                <w:szCs w:val="20"/>
              </w:rPr>
              <w:t xml:space="preserve">Сегашната формулировка на целта </w:t>
            </w:r>
            <w:r w:rsidR="001E24DE" w:rsidRPr="00B45B4F">
              <w:rPr>
                <w:rFonts w:ascii="Verdana" w:hAnsi="Verdana"/>
                <w:sz w:val="20"/>
                <w:szCs w:val="20"/>
              </w:rPr>
              <w:t>започва с „</w:t>
            </w:r>
            <w:r w:rsidR="001E24DE" w:rsidRPr="00B45B4F">
              <w:rPr>
                <w:rFonts w:ascii="Verdana" w:hAnsi="Verdana"/>
                <w:i/>
                <w:sz w:val="20"/>
                <w:szCs w:val="20"/>
              </w:rPr>
              <w:t>повишаване на качеството и подобряване на достъпа до образование</w:t>
            </w:r>
            <w:r w:rsidR="001E24DE" w:rsidRPr="00B45B4F">
              <w:rPr>
                <w:rFonts w:ascii="Verdana" w:hAnsi="Verdana"/>
                <w:sz w:val="20"/>
                <w:szCs w:val="20"/>
              </w:rPr>
              <w:t>“, което отклонява фокуса от основния проблем и в допълнение води до объркване, тъй като достъпа и качеството на образование се подкрепя от ИП1 на ПО2.</w:t>
            </w:r>
          </w:p>
          <w:p w:rsidR="001E24DE" w:rsidRPr="00B45B4F" w:rsidRDefault="001E24DE" w:rsidP="001E24DE">
            <w:pPr>
              <w:pStyle w:val="BodyText"/>
              <w:spacing w:before="120" w:line="276" w:lineRule="auto"/>
              <w:jc w:val="both"/>
              <w:rPr>
                <w:rFonts w:ascii="Verdana" w:hAnsi="Verdana"/>
                <w:sz w:val="20"/>
                <w:szCs w:val="20"/>
              </w:rPr>
            </w:pPr>
            <w:r w:rsidRPr="00B45B4F">
              <w:rPr>
                <w:rFonts w:ascii="Verdana" w:hAnsi="Verdana"/>
                <w:sz w:val="20"/>
                <w:szCs w:val="20"/>
              </w:rPr>
              <w:t xml:space="preserve">Обосновката на СЦ1 дава информация за постигнатото към момента в процеса на интегрирано обучение на децата със СОП. </w:t>
            </w:r>
            <w:r w:rsidR="00B964F4" w:rsidRPr="00B45B4F">
              <w:rPr>
                <w:rFonts w:ascii="Verdana" w:hAnsi="Verdana"/>
                <w:sz w:val="20"/>
                <w:szCs w:val="20"/>
              </w:rPr>
              <w:t>Посочени са основните проблеми. Не е представен анализ за студенти със СОП и практиките, трудностите и нуждите по отношение на тяхното интегриране и достъп до висше образование.</w:t>
            </w:r>
          </w:p>
          <w:p w:rsidR="001E24DE" w:rsidRPr="00B45B4F" w:rsidRDefault="00B964F4" w:rsidP="00FB3AF7">
            <w:pPr>
              <w:pStyle w:val="BodyText"/>
              <w:spacing w:before="120" w:line="276" w:lineRule="auto"/>
              <w:jc w:val="both"/>
              <w:rPr>
                <w:rFonts w:ascii="Verdana" w:hAnsi="Verdana"/>
                <w:sz w:val="20"/>
                <w:szCs w:val="20"/>
              </w:rPr>
            </w:pPr>
            <w:r w:rsidRPr="00B45B4F">
              <w:rPr>
                <w:rFonts w:ascii="Verdana" w:hAnsi="Verdana"/>
                <w:sz w:val="20"/>
                <w:szCs w:val="20"/>
              </w:rPr>
              <w:t xml:space="preserve">Обосновката на СЦ2 е по-обща, което до някъде е обяснимо предвид на нейната специфика. Въпреки това може да бъде предоставена информация и анализ за практиките за адресиране на индивидуалните потребности на ученици и по-специално на опита </w:t>
            </w:r>
            <w:r w:rsidR="00946743" w:rsidRPr="00B45B4F">
              <w:rPr>
                <w:rFonts w:ascii="Verdana" w:hAnsi="Verdana"/>
                <w:sz w:val="20"/>
                <w:szCs w:val="20"/>
              </w:rPr>
              <w:t xml:space="preserve">и </w:t>
            </w:r>
            <w:r w:rsidRPr="00B45B4F">
              <w:rPr>
                <w:rFonts w:ascii="Verdana" w:hAnsi="Verdana"/>
                <w:sz w:val="20"/>
                <w:szCs w:val="20"/>
              </w:rPr>
              <w:t xml:space="preserve">нуждите за подобряване на целодневната организация на учебния процес в училище. </w:t>
            </w:r>
          </w:p>
        </w:tc>
      </w:tr>
      <w:tr w:rsidR="00444CBE" w:rsidRPr="00B45B4F" w:rsidTr="00F55866">
        <w:trPr>
          <w:tblCellSpacing w:w="11" w:type="dxa"/>
        </w:trPr>
        <w:tc>
          <w:tcPr>
            <w:tcW w:w="1677" w:type="dxa"/>
            <w:shd w:val="clear" w:color="auto" w:fill="FDE9D9"/>
          </w:tcPr>
          <w:p w:rsidR="00444CBE" w:rsidRPr="00B45B4F" w:rsidRDefault="00444CBE" w:rsidP="0076200A">
            <w:pPr>
              <w:pStyle w:val="BodyText"/>
              <w:spacing w:before="120" w:line="276" w:lineRule="auto"/>
              <w:rPr>
                <w:rFonts w:ascii="Verdana" w:hAnsi="Verdana"/>
                <w:sz w:val="20"/>
                <w:szCs w:val="20"/>
              </w:rPr>
            </w:pPr>
            <w:r w:rsidRPr="00B45B4F">
              <w:rPr>
                <w:rFonts w:ascii="Verdana" w:hAnsi="Verdana"/>
                <w:sz w:val="20"/>
                <w:szCs w:val="20"/>
              </w:rPr>
              <w:t>Нужди и предвидени дейности</w:t>
            </w:r>
          </w:p>
        </w:tc>
        <w:tc>
          <w:tcPr>
            <w:tcW w:w="7347" w:type="dxa"/>
            <w:shd w:val="clear" w:color="auto" w:fill="C6D9F1"/>
          </w:tcPr>
          <w:p w:rsidR="00444CBE" w:rsidRPr="00B45B4F" w:rsidRDefault="00DE684B" w:rsidP="00EA126D">
            <w:pPr>
              <w:pStyle w:val="BodyText"/>
              <w:spacing w:before="120" w:line="276" w:lineRule="auto"/>
              <w:jc w:val="both"/>
              <w:rPr>
                <w:rFonts w:ascii="Verdana" w:hAnsi="Verdana"/>
                <w:sz w:val="20"/>
                <w:szCs w:val="20"/>
              </w:rPr>
            </w:pPr>
            <w:r w:rsidRPr="00B45B4F">
              <w:rPr>
                <w:rFonts w:ascii="Verdana" w:hAnsi="Verdana"/>
                <w:sz w:val="20"/>
                <w:szCs w:val="20"/>
              </w:rPr>
              <w:t>Посочени са редица дейности</w:t>
            </w:r>
            <w:r w:rsidR="00B57A71">
              <w:rPr>
                <w:rFonts w:ascii="Verdana" w:hAnsi="Verdana"/>
                <w:sz w:val="20"/>
                <w:szCs w:val="20"/>
              </w:rPr>
              <w:t>,</w:t>
            </w:r>
            <w:r w:rsidRPr="00B45B4F">
              <w:rPr>
                <w:rFonts w:ascii="Verdana" w:hAnsi="Verdana"/>
                <w:sz w:val="20"/>
                <w:szCs w:val="20"/>
              </w:rPr>
              <w:t xml:space="preserve"> повечето от които са у</w:t>
            </w:r>
            <w:r w:rsidR="00EA126D" w:rsidRPr="00B45B4F">
              <w:rPr>
                <w:rFonts w:ascii="Verdana" w:hAnsi="Verdana"/>
                <w:sz w:val="20"/>
                <w:szCs w:val="20"/>
              </w:rPr>
              <w:t>м</w:t>
            </w:r>
            <w:r w:rsidRPr="00B45B4F">
              <w:rPr>
                <w:rFonts w:ascii="Verdana" w:hAnsi="Verdana"/>
                <w:sz w:val="20"/>
                <w:szCs w:val="20"/>
              </w:rPr>
              <w:t>естни към дефинираните специфични цели. Някои от дейностите нямат ясна връзка с нуждите</w:t>
            </w:r>
            <w:r w:rsidR="00C03E96" w:rsidRPr="00B45B4F">
              <w:rPr>
                <w:rFonts w:ascii="Verdana" w:hAnsi="Verdana"/>
                <w:sz w:val="20"/>
                <w:szCs w:val="20"/>
              </w:rPr>
              <w:t>,</w:t>
            </w:r>
            <w:r w:rsidRPr="00B45B4F">
              <w:rPr>
                <w:rFonts w:ascii="Verdana" w:hAnsi="Verdana"/>
                <w:sz w:val="20"/>
                <w:szCs w:val="20"/>
              </w:rPr>
              <w:t xml:space="preserve"> посочени в обосновката на специфичните цели, което налага обосновката да бъде разширена. </w:t>
            </w:r>
          </w:p>
        </w:tc>
      </w:tr>
      <w:tr w:rsidR="00444CBE" w:rsidRPr="00B45B4F" w:rsidTr="00F55866">
        <w:trPr>
          <w:tblCellSpacing w:w="11" w:type="dxa"/>
        </w:trPr>
        <w:tc>
          <w:tcPr>
            <w:tcW w:w="1677" w:type="dxa"/>
            <w:shd w:val="clear" w:color="auto" w:fill="FDE9D9"/>
          </w:tcPr>
          <w:p w:rsidR="00444CBE" w:rsidRPr="00B45B4F" w:rsidRDefault="00444CBE" w:rsidP="0076200A">
            <w:pPr>
              <w:pStyle w:val="BodyText"/>
              <w:spacing w:before="120" w:line="276" w:lineRule="auto"/>
              <w:rPr>
                <w:rFonts w:ascii="Verdana" w:hAnsi="Verdana"/>
                <w:sz w:val="20"/>
                <w:szCs w:val="20"/>
              </w:rPr>
            </w:pPr>
            <w:r w:rsidRPr="00B45B4F">
              <w:rPr>
                <w:rFonts w:ascii="Verdana" w:hAnsi="Verdana"/>
                <w:sz w:val="20"/>
                <w:szCs w:val="20"/>
              </w:rPr>
              <w:t>Индикатори за продукт и предвидени дейности</w:t>
            </w:r>
          </w:p>
        </w:tc>
        <w:tc>
          <w:tcPr>
            <w:tcW w:w="7347" w:type="dxa"/>
            <w:shd w:val="clear" w:color="auto" w:fill="DBE5F1"/>
          </w:tcPr>
          <w:p w:rsidR="00444CBE" w:rsidRDefault="00E00187" w:rsidP="0076200A">
            <w:pPr>
              <w:pStyle w:val="BodyText"/>
              <w:spacing w:before="120" w:line="276" w:lineRule="auto"/>
              <w:jc w:val="both"/>
              <w:rPr>
                <w:rFonts w:ascii="Verdana" w:hAnsi="Verdana"/>
                <w:sz w:val="20"/>
                <w:szCs w:val="20"/>
              </w:rPr>
            </w:pPr>
            <w:r>
              <w:rPr>
                <w:rFonts w:ascii="Verdana" w:hAnsi="Verdana"/>
                <w:sz w:val="20"/>
                <w:szCs w:val="20"/>
              </w:rPr>
              <w:t>Посочени са следните индикатори за продукт, които отговарят на заложените дейности:</w:t>
            </w:r>
          </w:p>
          <w:p w:rsidR="00E00187" w:rsidRPr="00E00187" w:rsidRDefault="00E00187" w:rsidP="006861B0">
            <w:pPr>
              <w:pStyle w:val="BodyText"/>
              <w:numPr>
                <w:ilvl w:val="0"/>
                <w:numId w:val="24"/>
              </w:numPr>
              <w:spacing w:before="120" w:line="276" w:lineRule="auto"/>
              <w:jc w:val="both"/>
              <w:rPr>
                <w:rFonts w:ascii="Verdana" w:hAnsi="Verdana"/>
                <w:i/>
                <w:sz w:val="20"/>
                <w:szCs w:val="20"/>
              </w:rPr>
            </w:pPr>
            <w:r w:rsidRPr="00E00187">
              <w:rPr>
                <w:rFonts w:ascii="Verdana" w:hAnsi="Verdana"/>
                <w:i/>
                <w:sz w:val="20"/>
                <w:szCs w:val="20"/>
              </w:rPr>
              <w:t>Деца и ученици със специални образователни потребности, обхванати в системата на образованието чрез включващо обучение</w:t>
            </w:r>
          </w:p>
          <w:p w:rsidR="00E00187" w:rsidRDefault="00E00187" w:rsidP="006861B0">
            <w:pPr>
              <w:pStyle w:val="BodyText"/>
              <w:numPr>
                <w:ilvl w:val="0"/>
                <w:numId w:val="24"/>
              </w:numPr>
              <w:spacing w:before="120" w:line="276" w:lineRule="auto"/>
              <w:jc w:val="both"/>
              <w:rPr>
                <w:rFonts w:ascii="Verdana" w:hAnsi="Verdana"/>
                <w:i/>
                <w:sz w:val="20"/>
                <w:szCs w:val="20"/>
              </w:rPr>
            </w:pPr>
            <w:r w:rsidRPr="00E00187">
              <w:rPr>
                <w:rFonts w:ascii="Verdana" w:hAnsi="Verdana"/>
                <w:i/>
                <w:sz w:val="20"/>
                <w:szCs w:val="20"/>
              </w:rPr>
              <w:t>Брой образователни институции осигурили подкрепяща среда за включващо обучение.</w:t>
            </w:r>
          </w:p>
          <w:p w:rsidR="00765D10" w:rsidRPr="00765D10" w:rsidRDefault="00765D10" w:rsidP="00765D10">
            <w:pPr>
              <w:pStyle w:val="BodyText"/>
              <w:spacing w:before="120" w:line="276" w:lineRule="auto"/>
              <w:jc w:val="both"/>
              <w:rPr>
                <w:rFonts w:ascii="Verdana" w:hAnsi="Verdana"/>
                <w:sz w:val="20"/>
                <w:szCs w:val="20"/>
              </w:rPr>
            </w:pPr>
            <w:r>
              <w:rPr>
                <w:rFonts w:ascii="Verdana" w:hAnsi="Verdana"/>
                <w:sz w:val="20"/>
                <w:szCs w:val="20"/>
              </w:rPr>
              <w:t>Първият индикатор е</w:t>
            </w:r>
            <w:r w:rsidR="00F86D34">
              <w:rPr>
                <w:rFonts w:ascii="Verdana" w:hAnsi="Verdana"/>
                <w:sz w:val="20"/>
                <w:szCs w:val="20"/>
              </w:rPr>
              <w:t xml:space="preserve"> по-скоро индикатор за резултат и не се </w:t>
            </w:r>
            <w:r w:rsidR="00F86D34">
              <w:rPr>
                <w:rFonts w:ascii="Verdana" w:hAnsi="Verdana"/>
                <w:sz w:val="20"/>
                <w:szCs w:val="20"/>
              </w:rPr>
              <w:lastRenderedPageBreak/>
              <w:t xml:space="preserve">различава съществено от предложения индикатор за резултат. </w:t>
            </w:r>
          </w:p>
        </w:tc>
      </w:tr>
      <w:tr w:rsidR="00444CBE" w:rsidRPr="00B45B4F" w:rsidTr="00F55866">
        <w:trPr>
          <w:tblCellSpacing w:w="11" w:type="dxa"/>
        </w:trPr>
        <w:tc>
          <w:tcPr>
            <w:tcW w:w="1677" w:type="dxa"/>
            <w:shd w:val="clear" w:color="auto" w:fill="FDE9D9"/>
          </w:tcPr>
          <w:p w:rsidR="00444CBE" w:rsidRPr="00B45B4F" w:rsidRDefault="00444CBE" w:rsidP="0076200A">
            <w:pPr>
              <w:pStyle w:val="BodyText"/>
              <w:spacing w:before="120" w:line="276" w:lineRule="auto"/>
              <w:rPr>
                <w:rFonts w:ascii="Verdana" w:hAnsi="Verdana"/>
                <w:sz w:val="20"/>
                <w:szCs w:val="20"/>
              </w:rPr>
            </w:pPr>
            <w:r w:rsidRPr="00B45B4F">
              <w:rPr>
                <w:rFonts w:ascii="Verdana" w:hAnsi="Verdana"/>
                <w:sz w:val="20"/>
                <w:szCs w:val="20"/>
              </w:rPr>
              <w:lastRenderedPageBreak/>
              <w:t>Индикатори за резултат и специфични цели</w:t>
            </w:r>
          </w:p>
        </w:tc>
        <w:tc>
          <w:tcPr>
            <w:tcW w:w="7347" w:type="dxa"/>
            <w:shd w:val="clear" w:color="auto" w:fill="C6D9F1"/>
          </w:tcPr>
          <w:p w:rsidR="001C7AD5" w:rsidRPr="00B45B4F" w:rsidRDefault="00B964F4" w:rsidP="001C7AD5">
            <w:pPr>
              <w:pStyle w:val="BodyText"/>
              <w:spacing w:before="120" w:line="276" w:lineRule="auto"/>
              <w:jc w:val="both"/>
              <w:rPr>
                <w:rFonts w:ascii="Verdana" w:hAnsi="Verdana"/>
                <w:sz w:val="20"/>
                <w:szCs w:val="20"/>
              </w:rPr>
            </w:pPr>
            <w:r w:rsidRPr="00B45B4F">
              <w:rPr>
                <w:rFonts w:ascii="Verdana" w:hAnsi="Verdana"/>
                <w:sz w:val="20"/>
                <w:szCs w:val="20"/>
              </w:rPr>
              <w:t>Посочен</w:t>
            </w:r>
            <w:r w:rsidR="00535681">
              <w:rPr>
                <w:rFonts w:ascii="Verdana" w:hAnsi="Verdana"/>
                <w:sz w:val="20"/>
                <w:szCs w:val="20"/>
              </w:rPr>
              <w:t>и са</w:t>
            </w:r>
            <w:r w:rsidRPr="00B45B4F">
              <w:rPr>
                <w:rFonts w:ascii="Verdana" w:hAnsi="Verdana"/>
                <w:sz w:val="20"/>
                <w:szCs w:val="20"/>
              </w:rPr>
              <w:t xml:space="preserve"> следни</w:t>
            </w:r>
            <w:r w:rsidR="00535681">
              <w:rPr>
                <w:rFonts w:ascii="Verdana" w:hAnsi="Verdana"/>
                <w:sz w:val="20"/>
                <w:szCs w:val="20"/>
              </w:rPr>
              <w:t xml:space="preserve">те </w:t>
            </w:r>
            <w:r w:rsidRPr="00B45B4F">
              <w:rPr>
                <w:rFonts w:ascii="Verdana" w:hAnsi="Verdana"/>
                <w:sz w:val="20"/>
                <w:szCs w:val="20"/>
              </w:rPr>
              <w:t>индикатор</w:t>
            </w:r>
            <w:r w:rsidR="00535681">
              <w:rPr>
                <w:rFonts w:ascii="Verdana" w:hAnsi="Verdana"/>
                <w:sz w:val="20"/>
                <w:szCs w:val="20"/>
              </w:rPr>
              <w:t>и</w:t>
            </w:r>
            <w:r w:rsidRPr="00B45B4F">
              <w:rPr>
                <w:rFonts w:ascii="Verdana" w:hAnsi="Verdana"/>
                <w:sz w:val="20"/>
                <w:szCs w:val="20"/>
              </w:rPr>
              <w:t xml:space="preserve"> за резултат:</w:t>
            </w:r>
          </w:p>
          <w:p w:rsidR="00B964F4" w:rsidRDefault="00E00187" w:rsidP="006861B0">
            <w:pPr>
              <w:pStyle w:val="BodyText"/>
              <w:numPr>
                <w:ilvl w:val="0"/>
                <w:numId w:val="24"/>
              </w:numPr>
              <w:spacing w:before="120" w:line="276" w:lineRule="auto"/>
              <w:jc w:val="both"/>
              <w:rPr>
                <w:rFonts w:ascii="Verdana" w:hAnsi="Verdana"/>
                <w:i/>
                <w:sz w:val="20"/>
                <w:szCs w:val="20"/>
              </w:rPr>
            </w:pPr>
            <w:r w:rsidRPr="00E00187">
              <w:rPr>
                <w:rFonts w:ascii="Verdana" w:hAnsi="Verdana"/>
                <w:i/>
                <w:sz w:val="20"/>
                <w:szCs w:val="20"/>
              </w:rPr>
              <w:t>Най-малко 25% от всички деца и ученици със специални образователни потребности в системата на народната просвета са обхванати от процеса на включващо обучение</w:t>
            </w:r>
          </w:p>
          <w:p w:rsidR="00E00187" w:rsidRPr="00E00187" w:rsidRDefault="00E00187" w:rsidP="006861B0">
            <w:pPr>
              <w:pStyle w:val="BodyText"/>
              <w:numPr>
                <w:ilvl w:val="0"/>
                <w:numId w:val="24"/>
              </w:numPr>
              <w:spacing w:before="120" w:line="276" w:lineRule="auto"/>
              <w:jc w:val="both"/>
              <w:rPr>
                <w:rFonts w:ascii="Verdana" w:hAnsi="Verdana"/>
                <w:i/>
                <w:sz w:val="20"/>
                <w:szCs w:val="20"/>
              </w:rPr>
            </w:pPr>
            <w:r w:rsidRPr="00E00187">
              <w:rPr>
                <w:rFonts w:ascii="Verdana" w:hAnsi="Verdana"/>
                <w:i/>
                <w:sz w:val="20"/>
                <w:szCs w:val="20"/>
              </w:rPr>
              <w:t>Най-много 11% ПНУ от лицата на възраст между 18 и 24 г.</w:t>
            </w:r>
          </w:p>
          <w:p w:rsidR="00E00187" w:rsidRPr="00E00187" w:rsidRDefault="00E00187">
            <w:pPr>
              <w:pStyle w:val="BodyText"/>
              <w:spacing w:before="120" w:line="276" w:lineRule="auto"/>
              <w:jc w:val="both"/>
              <w:rPr>
                <w:rFonts w:ascii="Verdana" w:hAnsi="Verdana"/>
                <w:sz w:val="20"/>
                <w:szCs w:val="20"/>
              </w:rPr>
            </w:pPr>
            <w:r>
              <w:rPr>
                <w:rFonts w:ascii="Verdana" w:hAnsi="Verdana"/>
                <w:sz w:val="20"/>
                <w:szCs w:val="20"/>
              </w:rPr>
              <w:t>Вторият индикатор не е обвързан със специфична цел.</w:t>
            </w:r>
          </w:p>
        </w:tc>
      </w:tr>
      <w:tr w:rsidR="00444CBE" w:rsidRPr="00B45B4F" w:rsidTr="00F55866">
        <w:trPr>
          <w:tblCellSpacing w:w="11" w:type="dxa"/>
        </w:trPr>
        <w:tc>
          <w:tcPr>
            <w:tcW w:w="9046" w:type="dxa"/>
            <w:gridSpan w:val="2"/>
            <w:shd w:val="clear" w:color="auto" w:fill="FBD4B4"/>
          </w:tcPr>
          <w:p w:rsidR="00444CBE" w:rsidRPr="00B45B4F" w:rsidRDefault="00444CBE" w:rsidP="00DB7D26">
            <w:pPr>
              <w:autoSpaceDE w:val="0"/>
              <w:autoSpaceDN w:val="0"/>
              <w:adjustRightInd w:val="0"/>
              <w:spacing w:after="0" w:line="288" w:lineRule="auto"/>
              <w:jc w:val="both"/>
              <w:rPr>
                <w:rFonts w:ascii="Verdana" w:hAnsi="Verdana" w:cs="Arial Narrow"/>
                <w:color w:val="000000"/>
                <w:sz w:val="20"/>
                <w:szCs w:val="20"/>
                <w:lang w:val="bg-BG" w:eastAsia="bg-BG"/>
              </w:rPr>
            </w:pPr>
            <w:r w:rsidRPr="00B45B4F">
              <w:rPr>
                <w:rFonts w:ascii="Verdana" w:hAnsi="Verdana"/>
                <w:b/>
                <w:sz w:val="20"/>
                <w:szCs w:val="20"/>
                <w:lang w:val="bg-BG"/>
              </w:rPr>
              <w:t>Инвестиционен приоритет 2</w:t>
            </w:r>
            <w:r w:rsidRPr="00B45B4F">
              <w:rPr>
                <w:rFonts w:ascii="Verdana" w:hAnsi="Verdana"/>
                <w:sz w:val="20"/>
                <w:szCs w:val="20"/>
                <w:lang w:val="bg-BG"/>
              </w:rPr>
              <w:t xml:space="preserve">. </w:t>
            </w:r>
            <w:r w:rsidR="00DB7D26" w:rsidRPr="00F86D34">
              <w:rPr>
                <w:rFonts w:ascii="Verdana" w:hAnsi="Verdana" w:cs="Arial Narrow"/>
                <w:i/>
                <w:color w:val="000000"/>
                <w:sz w:val="20"/>
                <w:szCs w:val="20"/>
                <w:lang w:val="bg-BG" w:eastAsia="bg-BG"/>
              </w:rPr>
              <w:t xml:space="preserve">Социално-икономическо интегриране на </w:t>
            </w:r>
            <w:proofErr w:type="spellStart"/>
            <w:r w:rsidR="00DB7D26" w:rsidRPr="00F86D34">
              <w:rPr>
                <w:rFonts w:ascii="Verdana" w:hAnsi="Verdana" w:cs="Arial Narrow"/>
                <w:i/>
                <w:color w:val="000000"/>
                <w:sz w:val="20"/>
                <w:szCs w:val="20"/>
                <w:lang w:val="bg-BG" w:eastAsia="bg-BG"/>
              </w:rPr>
              <w:t>маргинализираните</w:t>
            </w:r>
            <w:proofErr w:type="spellEnd"/>
            <w:r w:rsidR="00DB7D26" w:rsidRPr="00F86D34">
              <w:rPr>
                <w:rFonts w:ascii="Verdana" w:hAnsi="Verdana" w:cs="Arial Narrow"/>
                <w:i/>
                <w:color w:val="000000"/>
                <w:sz w:val="20"/>
                <w:szCs w:val="20"/>
                <w:lang w:val="bg-BG" w:eastAsia="bg-BG"/>
              </w:rPr>
              <w:t xml:space="preserve"> общности, като например ромите.</w:t>
            </w:r>
          </w:p>
        </w:tc>
      </w:tr>
      <w:tr w:rsidR="00444CBE" w:rsidRPr="00B45B4F" w:rsidTr="00F55866">
        <w:trPr>
          <w:tblCellSpacing w:w="11" w:type="dxa"/>
        </w:trPr>
        <w:tc>
          <w:tcPr>
            <w:tcW w:w="1677" w:type="dxa"/>
            <w:shd w:val="clear" w:color="auto" w:fill="FDE9D9"/>
          </w:tcPr>
          <w:p w:rsidR="00444CBE" w:rsidRPr="00B45B4F" w:rsidRDefault="00444CBE" w:rsidP="0076200A">
            <w:pPr>
              <w:pStyle w:val="BodyText"/>
              <w:spacing w:before="120" w:line="276" w:lineRule="auto"/>
              <w:rPr>
                <w:rFonts w:ascii="Verdana" w:hAnsi="Verdana"/>
                <w:sz w:val="20"/>
                <w:szCs w:val="20"/>
              </w:rPr>
            </w:pPr>
            <w:r w:rsidRPr="00B45B4F">
              <w:rPr>
                <w:rFonts w:ascii="Verdana" w:hAnsi="Verdana"/>
                <w:sz w:val="20"/>
                <w:szCs w:val="20"/>
              </w:rPr>
              <w:t xml:space="preserve">Нужди, инвестиционен приоритет и специфична цел </w:t>
            </w:r>
          </w:p>
        </w:tc>
        <w:tc>
          <w:tcPr>
            <w:tcW w:w="7347" w:type="dxa"/>
            <w:shd w:val="clear" w:color="auto" w:fill="DBE5F1"/>
          </w:tcPr>
          <w:p w:rsidR="00444CBE" w:rsidRPr="00B45B4F" w:rsidRDefault="00DE684B" w:rsidP="0076200A">
            <w:pPr>
              <w:pStyle w:val="BodyText"/>
              <w:spacing w:before="120" w:line="276" w:lineRule="auto"/>
              <w:jc w:val="both"/>
              <w:rPr>
                <w:rFonts w:ascii="Verdana" w:hAnsi="Verdana"/>
                <w:sz w:val="20"/>
                <w:szCs w:val="20"/>
              </w:rPr>
            </w:pPr>
            <w:r w:rsidRPr="00B45B4F">
              <w:rPr>
                <w:rFonts w:ascii="Verdana" w:hAnsi="Verdana"/>
                <w:sz w:val="20"/>
                <w:szCs w:val="20"/>
              </w:rPr>
              <w:t xml:space="preserve">Инвестиционният приоритет е разписан в една специфична цел: интеграция в образователната система на деца от </w:t>
            </w:r>
            <w:r w:rsidR="0093628A" w:rsidRPr="00B45B4F">
              <w:rPr>
                <w:rFonts w:ascii="Verdana" w:hAnsi="Verdana"/>
                <w:sz w:val="20"/>
                <w:szCs w:val="20"/>
              </w:rPr>
              <w:t>етническите малцинства.</w:t>
            </w:r>
          </w:p>
          <w:p w:rsidR="0093628A" w:rsidRPr="00B45B4F" w:rsidRDefault="0093628A" w:rsidP="00916419">
            <w:pPr>
              <w:pStyle w:val="BodyText"/>
              <w:spacing w:before="120" w:line="276" w:lineRule="auto"/>
              <w:jc w:val="both"/>
              <w:rPr>
                <w:rFonts w:ascii="Verdana" w:hAnsi="Verdana"/>
                <w:sz w:val="20"/>
                <w:szCs w:val="20"/>
              </w:rPr>
            </w:pPr>
            <w:r w:rsidRPr="00B45B4F">
              <w:rPr>
                <w:rFonts w:ascii="Verdana" w:hAnsi="Verdana"/>
                <w:sz w:val="20"/>
                <w:szCs w:val="20"/>
              </w:rPr>
              <w:t>Обосновката на специфичната цел посочва основните проблеми, но не е изчерпателна по отношение на предоставяне на конкретна информация за сегрегацията в училищния процес, какъв е процентът на децата от ромски произход, които не по</w:t>
            </w:r>
            <w:r w:rsidR="005E1EB7" w:rsidRPr="00B45B4F">
              <w:rPr>
                <w:rFonts w:ascii="Verdana" w:hAnsi="Verdana"/>
                <w:sz w:val="20"/>
                <w:szCs w:val="20"/>
              </w:rPr>
              <w:t>сещават детски градини и училища, както и описание на промените в годините, посоката на промените както и трудно</w:t>
            </w:r>
            <w:r w:rsidR="00946743" w:rsidRPr="00B45B4F">
              <w:rPr>
                <w:rFonts w:ascii="Verdana" w:hAnsi="Verdana"/>
                <w:sz w:val="20"/>
                <w:szCs w:val="20"/>
              </w:rPr>
              <w:t>стите пред интегриране на деца,</w:t>
            </w:r>
            <w:r w:rsidR="005E1EB7" w:rsidRPr="00B45B4F">
              <w:rPr>
                <w:rFonts w:ascii="Verdana" w:hAnsi="Verdana"/>
                <w:sz w:val="20"/>
                <w:szCs w:val="20"/>
              </w:rPr>
              <w:t xml:space="preserve"> за да могат да бъдат набелязани подходящи мерки за адресиране на трудностите. Не се посочва и евентуална интегрирана подкрепа съвместно с ОПРЧР </w:t>
            </w:r>
            <w:r w:rsidR="005106CE" w:rsidRPr="00B45B4F">
              <w:rPr>
                <w:rFonts w:ascii="Verdana" w:hAnsi="Verdana"/>
                <w:sz w:val="20"/>
                <w:szCs w:val="20"/>
              </w:rPr>
              <w:t>2014–2020</w:t>
            </w:r>
            <w:r w:rsidR="005E1EB7" w:rsidRPr="00B45B4F">
              <w:rPr>
                <w:rFonts w:ascii="Verdana" w:hAnsi="Verdana"/>
                <w:sz w:val="20"/>
                <w:szCs w:val="20"/>
              </w:rPr>
              <w:t xml:space="preserve"> г.</w:t>
            </w:r>
            <w:r w:rsidR="00BC78F8" w:rsidRPr="00B45B4F">
              <w:rPr>
                <w:rFonts w:ascii="Verdana" w:hAnsi="Verdana"/>
                <w:sz w:val="20"/>
                <w:szCs w:val="20"/>
              </w:rPr>
              <w:t xml:space="preserve"> На проведената фокус група с членове на </w:t>
            </w:r>
            <w:r w:rsidR="00946743" w:rsidRPr="00B45B4F">
              <w:rPr>
                <w:rFonts w:ascii="Verdana" w:hAnsi="Verdana"/>
                <w:sz w:val="20"/>
                <w:szCs w:val="20"/>
              </w:rPr>
              <w:t xml:space="preserve">тематичната </w:t>
            </w:r>
            <w:r w:rsidR="00BC78F8" w:rsidRPr="00B45B4F">
              <w:rPr>
                <w:rFonts w:ascii="Verdana" w:hAnsi="Verdana"/>
                <w:sz w:val="20"/>
                <w:szCs w:val="20"/>
              </w:rPr>
              <w:t>работна група за подготовка на програмата беше посочено, че е добре приоритетът да бъде отворен към децата на бежанци и чужди граждани</w:t>
            </w:r>
            <w:r w:rsidR="00916419" w:rsidRPr="00B45B4F">
              <w:rPr>
                <w:rFonts w:ascii="Verdana" w:hAnsi="Verdana"/>
                <w:sz w:val="20"/>
                <w:szCs w:val="20"/>
              </w:rPr>
              <w:t>.</w:t>
            </w:r>
            <w:r w:rsidR="00F224CD">
              <w:rPr>
                <w:rFonts w:ascii="Verdana" w:hAnsi="Verdana"/>
                <w:sz w:val="20"/>
                <w:szCs w:val="20"/>
              </w:rPr>
              <w:t xml:space="preserve"> </w:t>
            </w:r>
            <w:r w:rsidR="00916419" w:rsidRPr="00B45B4F">
              <w:rPr>
                <w:rFonts w:ascii="Verdana" w:hAnsi="Verdana"/>
                <w:sz w:val="20"/>
                <w:szCs w:val="20"/>
              </w:rPr>
              <w:t>В</w:t>
            </w:r>
            <w:r w:rsidR="00BC78F8" w:rsidRPr="00B45B4F">
              <w:rPr>
                <w:rFonts w:ascii="Verdana" w:hAnsi="Verdana"/>
                <w:sz w:val="20"/>
                <w:szCs w:val="20"/>
              </w:rPr>
              <w:t xml:space="preserve"> този аспект е възможно допълване на анализите.</w:t>
            </w:r>
          </w:p>
        </w:tc>
      </w:tr>
      <w:tr w:rsidR="00444CBE" w:rsidRPr="00B45B4F" w:rsidTr="00F55866">
        <w:trPr>
          <w:tblCellSpacing w:w="11" w:type="dxa"/>
        </w:trPr>
        <w:tc>
          <w:tcPr>
            <w:tcW w:w="1677" w:type="dxa"/>
            <w:shd w:val="clear" w:color="auto" w:fill="FDE9D9"/>
          </w:tcPr>
          <w:p w:rsidR="00444CBE" w:rsidRPr="00B45B4F" w:rsidRDefault="00444CBE" w:rsidP="0076200A">
            <w:pPr>
              <w:pStyle w:val="BodyText"/>
              <w:spacing w:before="120" w:line="276" w:lineRule="auto"/>
              <w:rPr>
                <w:rFonts w:ascii="Verdana" w:hAnsi="Verdana"/>
                <w:sz w:val="20"/>
                <w:szCs w:val="20"/>
              </w:rPr>
            </w:pPr>
            <w:r w:rsidRPr="00B45B4F">
              <w:rPr>
                <w:rFonts w:ascii="Verdana" w:hAnsi="Verdana"/>
                <w:sz w:val="20"/>
                <w:szCs w:val="20"/>
              </w:rPr>
              <w:t>Нужди и предвидени дейности</w:t>
            </w:r>
          </w:p>
        </w:tc>
        <w:tc>
          <w:tcPr>
            <w:tcW w:w="7347" w:type="dxa"/>
            <w:shd w:val="clear" w:color="auto" w:fill="C6D9F1"/>
          </w:tcPr>
          <w:p w:rsidR="00444CBE" w:rsidRPr="00B45B4F" w:rsidRDefault="005804DE" w:rsidP="005804DE">
            <w:pPr>
              <w:pStyle w:val="BodyText"/>
              <w:spacing w:before="120" w:line="276" w:lineRule="auto"/>
              <w:jc w:val="both"/>
              <w:rPr>
                <w:rFonts w:ascii="Verdana" w:hAnsi="Verdana"/>
                <w:sz w:val="20"/>
                <w:szCs w:val="20"/>
              </w:rPr>
            </w:pPr>
            <w:r w:rsidRPr="00B45B4F">
              <w:rPr>
                <w:rFonts w:ascii="Verdana" w:hAnsi="Verdana"/>
                <w:sz w:val="20"/>
                <w:szCs w:val="20"/>
              </w:rPr>
              <w:t>Повечето от предвидените дейности отговарят на поставената специфична цел. Конкретни бележки по дейности са дадени в таблица по-долу.</w:t>
            </w:r>
          </w:p>
        </w:tc>
      </w:tr>
      <w:tr w:rsidR="00444CBE" w:rsidRPr="00B45B4F" w:rsidTr="00F55866">
        <w:trPr>
          <w:tblCellSpacing w:w="11" w:type="dxa"/>
        </w:trPr>
        <w:tc>
          <w:tcPr>
            <w:tcW w:w="1677" w:type="dxa"/>
            <w:shd w:val="clear" w:color="auto" w:fill="FDE9D9"/>
          </w:tcPr>
          <w:p w:rsidR="00444CBE" w:rsidRPr="00B45B4F" w:rsidRDefault="00444CBE" w:rsidP="0076200A">
            <w:pPr>
              <w:pStyle w:val="BodyText"/>
              <w:spacing w:before="120" w:line="276" w:lineRule="auto"/>
              <w:rPr>
                <w:rFonts w:ascii="Verdana" w:hAnsi="Verdana"/>
                <w:sz w:val="20"/>
                <w:szCs w:val="20"/>
              </w:rPr>
            </w:pPr>
            <w:r w:rsidRPr="00B45B4F">
              <w:rPr>
                <w:rFonts w:ascii="Verdana" w:hAnsi="Verdana"/>
                <w:sz w:val="20"/>
                <w:szCs w:val="20"/>
              </w:rPr>
              <w:t>Индикатори за продукт и предвидени дейности</w:t>
            </w:r>
          </w:p>
        </w:tc>
        <w:tc>
          <w:tcPr>
            <w:tcW w:w="7347" w:type="dxa"/>
            <w:shd w:val="clear" w:color="auto" w:fill="DBE5F1"/>
          </w:tcPr>
          <w:p w:rsidR="00444CBE" w:rsidRPr="00B45B4F" w:rsidRDefault="00444CBE" w:rsidP="0076200A">
            <w:pPr>
              <w:pStyle w:val="BodyText"/>
              <w:spacing w:before="120" w:line="276" w:lineRule="auto"/>
              <w:jc w:val="both"/>
              <w:rPr>
                <w:rFonts w:ascii="Verdana" w:hAnsi="Verdana"/>
                <w:sz w:val="20"/>
                <w:szCs w:val="20"/>
              </w:rPr>
            </w:pPr>
            <w:r w:rsidRPr="00B45B4F">
              <w:rPr>
                <w:rFonts w:ascii="Verdana" w:hAnsi="Verdana"/>
                <w:sz w:val="20"/>
                <w:szCs w:val="20"/>
              </w:rPr>
              <w:t>Предвиден</w:t>
            </w:r>
            <w:r w:rsidR="005E1EB7" w:rsidRPr="00B45B4F">
              <w:rPr>
                <w:rFonts w:ascii="Verdana" w:hAnsi="Verdana"/>
                <w:sz w:val="20"/>
                <w:szCs w:val="20"/>
              </w:rPr>
              <w:t xml:space="preserve"> е един</w:t>
            </w:r>
            <w:r w:rsidRPr="00B45B4F">
              <w:rPr>
                <w:rFonts w:ascii="Verdana" w:hAnsi="Verdana"/>
                <w:sz w:val="20"/>
                <w:szCs w:val="20"/>
              </w:rPr>
              <w:t xml:space="preserve"> индикатор за продукт:</w:t>
            </w:r>
          </w:p>
          <w:p w:rsidR="005804DE" w:rsidRPr="00B45B4F" w:rsidRDefault="00F86D34" w:rsidP="006861B0">
            <w:pPr>
              <w:pStyle w:val="BodyText"/>
              <w:numPr>
                <w:ilvl w:val="0"/>
                <w:numId w:val="24"/>
              </w:numPr>
              <w:spacing w:before="120" w:line="276" w:lineRule="auto"/>
              <w:jc w:val="both"/>
              <w:rPr>
                <w:rFonts w:ascii="Verdana" w:hAnsi="Verdana"/>
                <w:sz w:val="20"/>
                <w:szCs w:val="20"/>
              </w:rPr>
            </w:pPr>
            <w:r w:rsidRPr="00E00187">
              <w:rPr>
                <w:rFonts w:ascii="Verdana" w:hAnsi="Verdana"/>
                <w:i/>
                <w:sz w:val="20"/>
                <w:szCs w:val="20"/>
              </w:rPr>
              <w:t>Брой деца, ученици, младежи от ромски произход, включени в мерки за образователна интеграция и реинтеграция</w:t>
            </w:r>
          </w:p>
        </w:tc>
      </w:tr>
      <w:tr w:rsidR="00444CBE" w:rsidRPr="00B45B4F" w:rsidTr="00F55866">
        <w:trPr>
          <w:tblCellSpacing w:w="11" w:type="dxa"/>
        </w:trPr>
        <w:tc>
          <w:tcPr>
            <w:tcW w:w="1677" w:type="dxa"/>
            <w:shd w:val="clear" w:color="auto" w:fill="FDE9D9"/>
          </w:tcPr>
          <w:p w:rsidR="00444CBE" w:rsidRPr="00B45B4F" w:rsidRDefault="00444CBE" w:rsidP="0076200A">
            <w:pPr>
              <w:pStyle w:val="BodyText"/>
              <w:spacing w:before="120" w:line="276" w:lineRule="auto"/>
              <w:rPr>
                <w:rFonts w:ascii="Verdana" w:hAnsi="Verdana"/>
                <w:sz w:val="20"/>
                <w:szCs w:val="20"/>
              </w:rPr>
            </w:pPr>
            <w:r w:rsidRPr="00B45B4F">
              <w:rPr>
                <w:rFonts w:ascii="Verdana" w:hAnsi="Verdana"/>
                <w:sz w:val="20"/>
                <w:szCs w:val="20"/>
              </w:rPr>
              <w:t>Индикатори за резултат и специфични цели</w:t>
            </w:r>
          </w:p>
        </w:tc>
        <w:tc>
          <w:tcPr>
            <w:tcW w:w="7347" w:type="dxa"/>
            <w:shd w:val="clear" w:color="auto" w:fill="C6D9F1"/>
          </w:tcPr>
          <w:p w:rsidR="00444CBE" w:rsidRPr="00B45B4F" w:rsidRDefault="00444CBE" w:rsidP="0076200A">
            <w:pPr>
              <w:pStyle w:val="BodyText"/>
              <w:spacing w:before="120" w:line="276" w:lineRule="auto"/>
              <w:jc w:val="both"/>
              <w:rPr>
                <w:rFonts w:ascii="Verdana" w:hAnsi="Verdana"/>
                <w:sz w:val="20"/>
                <w:szCs w:val="20"/>
              </w:rPr>
            </w:pPr>
            <w:r w:rsidRPr="00B45B4F">
              <w:rPr>
                <w:rFonts w:ascii="Verdana" w:hAnsi="Verdana"/>
                <w:sz w:val="20"/>
                <w:szCs w:val="20"/>
              </w:rPr>
              <w:t xml:space="preserve">Посочен е </w:t>
            </w:r>
            <w:r w:rsidR="005E1EB7" w:rsidRPr="00B45B4F">
              <w:rPr>
                <w:rFonts w:ascii="Verdana" w:hAnsi="Verdana"/>
                <w:sz w:val="20"/>
                <w:szCs w:val="20"/>
              </w:rPr>
              <w:t xml:space="preserve">един </w:t>
            </w:r>
            <w:r w:rsidRPr="00B45B4F">
              <w:rPr>
                <w:rFonts w:ascii="Verdana" w:hAnsi="Verdana"/>
                <w:sz w:val="20"/>
                <w:szCs w:val="20"/>
              </w:rPr>
              <w:t>индикатор за резултат:</w:t>
            </w:r>
          </w:p>
          <w:p w:rsidR="00F86D34" w:rsidRDefault="00F86D34" w:rsidP="006861B0">
            <w:pPr>
              <w:pStyle w:val="BodyText"/>
              <w:numPr>
                <w:ilvl w:val="0"/>
                <w:numId w:val="24"/>
              </w:numPr>
              <w:spacing w:before="120" w:line="276" w:lineRule="auto"/>
              <w:jc w:val="both"/>
              <w:rPr>
                <w:rFonts w:ascii="Verdana" w:hAnsi="Verdana"/>
                <w:i/>
                <w:sz w:val="20"/>
                <w:szCs w:val="20"/>
              </w:rPr>
            </w:pPr>
            <w:r w:rsidRPr="00E00187">
              <w:rPr>
                <w:rFonts w:ascii="Verdana" w:hAnsi="Verdana"/>
                <w:i/>
                <w:sz w:val="20"/>
                <w:szCs w:val="20"/>
              </w:rPr>
              <w:t>Брой лица, участващи в мерки, насочени към превенция на ранното отпадане от училище</w:t>
            </w:r>
          </w:p>
          <w:p w:rsidR="005E1EB7" w:rsidRPr="00B45B4F" w:rsidRDefault="00F86D34" w:rsidP="00F86D34">
            <w:pPr>
              <w:pStyle w:val="BodyText"/>
              <w:spacing w:before="120" w:line="276" w:lineRule="auto"/>
              <w:jc w:val="both"/>
              <w:rPr>
                <w:rFonts w:ascii="Verdana" w:hAnsi="Verdana"/>
                <w:sz w:val="20"/>
                <w:szCs w:val="20"/>
              </w:rPr>
            </w:pPr>
            <w:r>
              <w:rPr>
                <w:rFonts w:ascii="Verdana" w:hAnsi="Verdana"/>
                <w:sz w:val="20"/>
                <w:szCs w:val="20"/>
              </w:rPr>
              <w:t>Индикаторът е сходен с предложения индикатор за продукт.</w:t>
            </w:r>
          </w:p>
        </w:tc>
      </w:tr>
    </w:tbl>
    <w:p w:rsidR="00444CBE" w:rsidRPr="00B45B4F" w:rsidRDefault="00444CBE" w:rsidP="00FA776A">
      <w:pPr>
        <w:keepNext/>
        <w:pBdr>
          <w:bottom w:val="single" w:sz="4" w:space="1" w:color="0070C0"/>
        </w:pBdr>
        <w:spacing w:before="360" w:after="120"/>
        <w:jc w:val="both"/>
        <w:rPr>
          <w:rFonts w:ascii="Verdana" w:hAnsi="Verdana"/>
          <w:color w:val="0070C0"/>
          <w:sz w:val="20"/>
          <w:szCs w:val="20"/>
          <w:lang w:val="bg-BG" w:eastAsia="cs-CZ"/>
        </w:rPr>
      </w:pPr>
      <w:r w:rsidRPr="00B45B4F">
        <w:rPr>
          <w:rFonts w:ascii="Verdana" w:hAnsi="Verdana"/>
          <w:color w:val="0070C0"/>
          <w:sz w:val="20"/>
          <w:szCs w:val="20"/>
          <w:lang w:val="bg-BG" w:eastAsia="cs-CZ"/>
        </w:rPr>
        <w:lastRenderedPageBreak/>
        <w:t>ПО4. Техническа помощ</w:t>
      </w:r>
    </w:p>
    <w:p w:rsidR="00444CBE" w:rsidRPr="00B45B4F" w:rsidRDefault="00444CBE" w:rsidP="008410DF">
      <w:pPr>
        <w:pStyle w:val="BodyText"/>
        <w:tabs>
          <w:tab w:val="left" w:pos="0"/>
          <w:tab w:val="right" w:pos="9214"/>
        </w:tabs>
        <w:spacing w:before="240" w:line="276" w:lineRule="auto"/>
        <w:jc w:val="both"/>
        <w:rPr>
          <w:rFonts w:ascii="Verdana" w:hAnsi="Verdana"/>
          <w:b/>
          <w:sz w:val="20"/>
          <w:szCs w:val="20"/>
        </w:rPr>
      </w:pPr>
      <w:bookmarkStart w:id="84" w:name="_Toc395612576"/>
      <w:r w:rsidRPr="00B45B4F">
        <w:rPr>
          <w:rFonts w:ascii="Verdana" w:hAnsi="Verdana"/>
          <w:b/>
          <w:color w:val="548DD4" w:themeColor="text2" w:themeTint="99"/>
          <w:sz w:val="20"/>
          <w:szCs w:val="20"/>
        </w:rPr>
        <w:t xml:space="preserve">Таблица </w:t>
      </w:r>
      <w:r w:rsidR="00BF1936" w:rsidRPr="00B45B4F">
        <w:rPr>
          <w:rFonts w:ascii="Verdana" w:hAnsi="Verdana"/>
          <w:b/>
          <w:color w:val="548DD4" w:themeColor="text2" w:themeTint="99"/>
          <w:sz w:val="20"/>
          <w:szCs w:val="20"/>
        </w:rPr>
        <w:fldChar w:fldCharType="begin"/>
      </w:r>
      <w:r w:rsidRPr="00B45B4F">
        <w:rPr>
          <w:rFonts w:ascii="Verdana" w:hAnsi="Verdana"/>
          <w:b/>
          <w:color w:val="548DD4" w:themeColor="text2" w:themeTint="99"/>
          <w:sz w:val="20"/>
          <w:szCs w:val="20"/>
        </w:rPr>
        <w:instrText xml:space="preserve"> SEQ таблица \* ARABIC </w:instrText>
      </w:r>
      <w:r w:rsidR="00BF1936" w:rsidRPr="00B45B4F">
        <w:rPr>
          <w:rFonts w:ascii="Verdana" w:hAnsi="Verdana"/>
          <w:b/>
          <w:color w:val="548DD4" w:themeColor="text2" w:themeTint="99"/>
          <w:sz w:val="20"/>
          <w:szCs w:val="20"/>
        </w:rPr>
        <w:fldChar w:fldCharType="separate"/>
      </w:r>
      <w:r w:rsidR="001361E0">
        <w:rPr>
          <w:rFonts w:ascii="Verdana" w:hAnsi="Verdana"/>
          <w:b/>
          <w:noProof/>
          <w:color w:val="548DD4" w:themeColor="text2" w:themeTint="99"/>
          <w:sz w:val="20"/>
          <w:szCs w:val="20"/>
        </w:rPr>
        <w:t>20</w:t>
      </w:r>
      <w:r w:rsidR="00BF1936" w:rsidRPr="00B45B4F">
        <w:rPr>
          <w:rFonts w:ascii="Verdana" w:hAnsi="Verdana"/>
          <w:b/>
          <w:color w:val="548DD4" w:themeColor="text2" w:themeTint="99"/>
          <w:sz w:val="20"/>
          <w:szCs w:val="20"/>
        </w:rPr>
        <w:fldChar w:fldCharType="end"/>
      </w:r>
      <w:r w:rsidRPr="00B45B4F">
        <w:rPr>
          <w:rFonts w:ascii="Verdana" w:hAnsi="Verdana"/>
          <w:b/>
          <w:color w:val="548DD4" w:themeColor="text2" w:themeTint="99"/>
          <w:sz w:val="20"/>
          <w:szCs w:val="20"/>
        </w:rPr>
        <w:t>. ПО4 - Съответствие между нужди, ИП, дейности и индикатори</w:t>
      </w:r>
      <w:bookmarkEnd w:id="84"/>
    </w:p>
    <w:tbl>
      <w:tblPr>
        <w:tblW w:w="9072" w:type="dxa"/>
        <w:tblCellSpacing w:w="11" w:type="dxa"/>
        <w:tblInd w:w="130" w:type="dxa"/>
        <w:tblLook w:val="00A0" w:firstRow="1" w:lastRow="0" w:firstColumn="1" w:lastColumn="0" w:noHBand="0" w:noVBand="0"/>
      </w:tblPr>
      <w:tblGrid>
        <w:gridCol w:w="1829"/>
        <w:gridCol w:w="7243"/>
      </w:tblGrid>
      <w:tr w:rsidR="00444CBE" w:rsidRPr="00B45B4F" w:rsidTr="00AF6F4A">
        <w:trPr>
          <w:tblCellSpacing w:w="11" w:type="dxa"/>
        </w:trPr>
        <w:tc>
          <w:tcPr>
            <w:tcW w:w="1677" w:type="dxa"/>
            <w:shd w:val="clear" w:color="auto" w:fill="548DD4" w:themeFill="text2" w:themeFillTint="99"/>
          </w:tcPr>
          <w:p w:rsidR="00444CBE" w:rsidRPr="00B45B4F" w:rsidRDefault="00444CBE" w:rsidP="0076200A">
            <w:pPr>
              <w:pStyle w:val="BodyText"/>
              <w:spacing w:before="120" w:line="276" w:lineRule="auto"/>
              <w:jc w:val="center"/>
              <w:rPr>
                <w:rFonts w:ascii="Verdana" w:hAnsi="Verdana"/>
                <w:b/>
                <w:color w:val="FFFFFF"/>
                <w:sz w:val="20"/>
                <w:szCs w:val="20"/>
              </w:rPr>
            </w:pPr>
            <w:r w:rsidRPr="00B45B4F">
              <w:rPr>
                <w:rFonts w:ascii="Verdana" w:hAnsi="Verdana"/>
                <w:b/>
                <w:color w:val="FFFFFF"/>
                <w:sz w:val="20"/>
                <w:szCs w:val="20"/>
              </w:rPr>
              <w:t>Връзка</w:t>
            </w:r>
          </w:p>
        </w:tc>
        <w:tc>
          <w:tcPr>
            <w:tcW w:w="7329" w:type="dxa"/>
            <w:shd w:val="clear" w:color="auto" w:fill="548DD4" w:themeFill="text2" w:themeFillTint="99"/>
          </w:tcPr>
          <w:p w:rsidR="00444CBE" w:rsidRPr="00B45B4F" w:rsidRDefault="00444CBE" w:rsidP="0076200A">
            <w:pPr>
              <w:pStyle w:val="BodyText"/>
              <w:spacing w:before="120" w:line="276" w:lineRule="auto"/>
              <w:jc w:val="center"/>
              <w:rPr>
                <w:rFonts w:ascii="Verdana" w:hAnsi="Verdana"/>
                <w:b/>
                <w:color w:val="FFFFFF"/>
                <w:sz w:val="20"/>
                <w:szCs w:val="20"/>
              </w:rPr>
            </w:pPr>
            <w:r w:rsidRPr="00B45B4F">
              <w:rPr>
                <w:rFonts w:ascii="Verdana" w:hAnsi="Verdana"/>
                <w:b/>
                <w:color w:val="FFFFFF"/>
                <w:sz w:val="20"/>
                <w:szCs w:val="20"/>
              </w:rPr>
              <w:t>Коментар</w:t>
            </w:r>
          </w:p>
        </w:tc>
      </w:tr>
      <w:tr w:rsidR="00444CBE" w:rsidRPr="00B45B4F" w:rsidTr="00A77963">
        <w:trPr>
          <w:tblCellSpacing w:w="11" w:type="dxa"/>
        </w:trPr>
        <w:tc>
          <w:tcPr>
            <w:tcW w:w="9028" w:type="dxa"/>
            <w:gridSpan w:val="2"/>
            <w:shd w:val="clear" w:color="auto" w:fill="FBD4B4"/>
          </w:tcPr>
          <w:p w:rsidR="00444CBE" w:rsidRPr="00B45B4F" w:rsidRDefault="00A65447" w:rsidP="0076200A">
            <w:pPr>
              <w:spacing w:before="120" w:after="120"/>
              <w:rPr>
                <w:rFonts w:ascii="Verdana" w:hAnsi="Verdana"/>
                <w:sz w:val="20"/>
                <w:szCs w:val="20"/>
                <w:lang w:val="bg-BG"/>
              </w:rPr>
            </w:pPr>
            <w:r w:rsidRPr="00B45B4F">
              <w:rPr>
                <w:rFonts w:ascii="Verdana" w:hAnsi="Verdana"/>
                <w:b/>
                <w:sz w:val="20"/>
                <w:szCs w:val="20"/>
                <w:lang w:val="bg-BG"/>
              </w:rPr>
              <w:t>Специфична цел</w:t>
            </w:r>
            <w:r w:rsidR="00444CBE" w:rsidRPr="00B45B4F">
              <w:rPr>
                <w:rFonts w:ascii="Verdana" w:hAnsi="Verdana"/>
                <w:b/>
                <w:sz w:val="20"/>
                <w:szCs w:val="20"/>
                <w:lang w:val="bg-BG"/>
              </w:rPr>
              <w:t xml:space="preserve"> 1</w:t>
            </w:r>
            <w:r w:rsidR="00444CBE" w:rsidRPr="00F86D34">
              <w:rPr>
                <w:rFonts w:ascii="Verdana" w:hAnsi="Verdana"/>
                <w:i/>
                <w:sz w:val="20"/>
                <w:szCs w:val="20"/>
                <w:lang w:val="bg-BG"/>
              </w:rPr>
              <w:t xml:space="preserve">. </w:t>
            </w:r>
            <w:r w:rsidRPr="00F86D34">
              <w:rPr>
                <w:rFonts w:ascii="Verdana" w:hAnsi="Verdana"/>
                <w:i/>
                <w:sz w:val="20"/>
                <w:szCs w:val="20"/>
                <w:lang w:val="bg-BG"/>
              </w:rPr>
              <w:t>Укрепване и повишаване на административния капацитет на управляващия орган и бенефициентите по Оперативната програма</w:t>
            </w:r>
            <w:r w:rsidR="00A77963" w:rsidRPr="00F86D34">
              <w:rPr>
                <w:rFonts w:ascii="Verdana" w:hAnsi="Verdana"/>
                <w:i/>
                <w:sz w:val="20"/>
                <w:szCs w:val="20"/>
                <w:lang w:val="bg-BG"/>
              </w:rPr>
              <w:t>.</w:t>
            </w:r>
          </w:p>
        </w:tc>
      </w:tr>
      <w:tr w:rsidR="00444CBE" w:rsidRPr="00B45B4F" w:rsidTr="00A77963">
        <w:trPr>
          <w:tblCellSpacing w:w="11" w:type="dxa"/>
        </w:trPr>
        <w:tc>
          <w:tcPr>
            <w:tcW w:w="1677" w:type="dxa"/>
            <w:shd w:val="clear" w:color="auto" w:fill="FDE9D9"/>
          </w:tcPr>
          <w:p w:rsidR="00444CBE" w:rsidRPr="00B45B4F" w:rsidRDefault="00444CBE" w:rsidP="0076200A">
            <w:pPr>
              <w:pStyle w:val="BodyText"/>
              <w:spacing w:before="120" w:line="276" w:lineRule="auto"/>
              <w:rPr>
                <w:rFonts w:ascii="Verdana" w:hAnsi="Verdana"/>
                <w:sz w:val="20"/>
                <w:szCs w:val="20"/>
              </w:rPr>
            </w:pPr>
            <w:r w:rsidRPr="00B45B4F">
              <w:rPr>
                <w:rFonts w:ascii="Verdana" w:hAnsi="Verdana"/>
                <w:sz w:val="20"/>
                <w:szCs w:val="20"/>
              </w:rPr>
              <w:t xml:space="preserve">Нужди, инвестиционен приоритет и специфична цел </w:t>
            </w:r>
          </w:p>
        </w:tc>
        <w:tc>
          <w:tcPr>
            <w:tcW w:w="7329" w:type="dxa"/>
            <w:shd w:val="clear" w:color="auto" w:fill="DBE5F1"/>
          </w:tcPr>
          <w:p w:rsidR="00444CBE" w:rsidRPr="00B45B4F" w:rsidRDefault="00890363" w:rsidP="00A77963">
            <w:pPr>
              <w:pStyle w:val="BodyText"/>
              <w:spacing w:before="120" w:line="276" w:lineRule="auto"/>
              <w:jc w:val="both"/>
              <w:rPr>
                <w:rFonts w:ascii="Verdana" w:hAnsi="Verdana"/>
                <w:sz w:val="20"/>
                <w:szCs w:val="20"/>
              </w:rPr>
            </w:pPr>
            <w:r w:rsidRPr="00B45B4F">
              <w:rPr>
                <w:rFonts w:ascii="Verdana" w:hAnsi="Verdana"/>
                <w:sz w:val="20"/>
                <w:szCs w:val="20"/>
              </w:rPr>
              <w:t xml:space="preserve">Анализът на нуждите очертава основните </w:t>
            </w:r>
            <w:r w:rsidR="00A77963" w:rsidRPr="00B45B4F">
              <w:rPr>
                <w:rFonts w:ascii="Verdana" w:hAnsi="Verdana"/>
                <w:sz w:val="20"/>
                <w:szCs w:val="20"/>
              </w:rPr>
              <w:t>потребности</w:t>
            </w:r>
            <w:r w:rsidRPr="00B45B4F">
              <w:rPr>
                <w:rFonts w:ascii="Verdana" w:hAnsi="Verdana"/>
                <w:sz w:val="20"/>
                <w:szCs w:val="20"/>
              </w:rPr>
              <w:t xml:space="preserve"> и сегашната ситуация. Може да се добави информация относно материално</w:t>
            </w:r>
            <w:r w:rsidR="00A77963" w:rsidRPr="00B45B4F">
              <w:rPr>
                <w:rFonts w:ascii="Verdana" w:hAnsi="Verdana"/>
                <w:sz w:val="20"/>
                <w:szCs w:val="20"/>
              </w:rPr>
              <w:t>-</w:t>
            </w:r>
            <w:r w:rsidRPr="00B45B4F">
              <w:rPr>
                <w:rFonts w:ascii="Verdana" w:hAnsi="Verdana"/>
                <w:sz w:val="20"/>
                <w:szCs w:val="20"/>
              </w:rPr>
              <w:t xml:space="preserve"> техническото осигуряване и нуждите към момента – сграда, офиси, архив, работни пом</w:t>
            </w:r>
            <w:r w:rsidR="00EA126D" w:rsidRPr="00B45B4F">
              <w:rPr>
                <w:rFonts w:ascii="Verdana" w:hAnsi="Verdana"/>
                <w:sz w:val="20"/>
                <w:szCs w:val="20"/>
              </w:rPr>
              <w:t>ещения, компютърна техника, както и по отношение на експертния състав – предвиждат ли се нови назначения и нужда от обучение за тях.</w:t>
            </w:r>
          </w:p>
        </w:tc>
      </w:tr>
      <w:tr w:rsidR="00444CBE" w:rsidRPr="00B45B4F" w:rsidTr="00A77963">
        <w:trPr>
          <w:tblCellSpacing w:w="11" w:type="dxa"/>
        </w:trPr>
        <w:tc>
          <w:tcPr>
            <w:tcW w:w="1677" w:type="dxa"/>
            <w:shd w:val="clear" w:color="auto" w:fill="FDE9D9"/>
          </w:tcPr>
          <w:p w:rsidR="00444CBE" w:rsidRPr="00B45B4F" w:rsidRDefault="00444CBE" w:rsidP="0076200A">
            <w:pPr>
              <w:pStyle w:val="BodyText"/>
              <w:spacing w:before="120" w:line="276" w:lineRule="auto"/>
              <w:rPr>
                <w:rFonts w:ascii="Verdana" w:hAnsi="Verdana"/>
                <w:sz w:val="20"/>
                <w:szCs w:val="20"/>
              </w:rPr>
            </w:pPr>
            <w:r w:rsidRPr="00B45B4F">
              <w:rPr>
                <w:rFonts w:ascii="Verdana" w:hAnsi="Verdana"/>
                <w:sz w:val="20"/>
                <w:szCs w:val="20"/>
              </w:rPr>
              <w:t>Нужди и предвидени дейности</w:t>
            </w:r>
          </w:p>
        </w:tc>
        <w:tc>
          <w:tcPr>
            <w:tcW w:w="7329" w:type="dxa"/>
            <w:shd w:val="clear" w:color="auto" w:fill="C6D9F1"/>
          </w:tcPr>
          <w:p w:rsidR="00444CBE" w:rsidRPr="00B45B4F" w:rsidRDefault="0089761C" w:rsidP="0089761C">
            <w:pPr>
              <w:pStyle w:val="BodyText"/>
              <w:spacing w:before="120" w:line="276" w:lineRule="auto"/>
              <w:jc w:val="both"/>
              <w:rPr>
                <w:rFonts w:ascii="Verdana" w:hAnsi="Verdana"/>
                <w:sz w:val="20"/>
                <w:szCs w:val="20"/>
              </w:rPr>
            </w:pPr>
            <w:r w:rsidRPr="00B45B4F">
              <w:rPr>
                <w:rFonts w:ascii="Verdana" w:hAnsi="Verdana"/>
                <w:sz w:val="20"/>
                <w:szCs w:val="20"/>
              </w:rPr>
              <w:t>Като цяло, д</w:t>
            </w:r>
            <w:r w:rsidR="00890363" w:rsidRPr="00B45B4F">
              <w:rPr>
                <w:rFonts w:ascii="Verdana" w:hAnsi="Verdana"/>
                <w:sz w:val="20"/>
                <w:szCs w:val="20"/>
              </w:rPr>
              <w:t xml:space="preserve">ейностите адресират нуждите. Някои от тях </w:t>
            </w:r>
            <w:r w:rsidR="00BB4C5D" w:rsidRPr="00B45B4F">
              <w:rPr>
                <w:rFonts w:ascii="Verdana" w:hAnsi="Verdana"/>
                <w:sz w:val="20"/>
                <w:szCs w:val="20"/>
              </w:rPr>
              <w:t>се нуждаят</w:t>
            </w:r>
            <w:r w:rsidR="00890363" w:rsidRPr="00B45B4F">
              <w:rPr>
                <w:rFonts w:ascii="Verdana" w:hAnsi="Verdana"/>
                <w:sz w:val="20"/>
                <w:szCs w:val="20"/>
              </w:rPr>
              <w:t xml:space="preserve"> от прецизиране. Бележки са дадени в таблица по-долу.</w:t>
            </w:r>
          </w:p>
        </w:tc>
      </w:tr>
      <w:tr w:rsidR="00444CBE" w:rsidRPr="00B45B4F" w:rsidTr="00A77963">
        <w:trPr>
          <w:tblCellSpacing w:w="11" w:type="dxa"/>
        </w:trPr>
        <w:tc>
          <w:tcPr>
            <w:tcW w:w="1677" w:type="dxa"/>
            <w:shd w:val="clear" w:color="auto" w:fill="FDE9D9"/>
          </w:tcPr>
          <w:p w:rsidR="00444CBE" w:rsidRPr="00B45B4F" w:rsidRDefault="00444CBE" w:rsidP="0076200A">
            <w:pPr>
              <w:pStyle w:val="BodyText"/>
              <w:spacing w:before="120" w:line="276" w:lineRule="auto"/>
              <w:rPr>
                <w:rFonts w:ascii="Verdana" w:hAnsi="Verdana"/>
                <w:sz w:val="20"/>
                <w:szCs w:val="20"/>
              </w:rPr>
            </w:pPr>
            <w:r w:rsidRPr="00B45B4F">
              <w:rPr>
                <w:rFonts w:ascii="Verdana" w:hAnsi="Verdana"/>
                <w:sz w:val="20"/>
                <w:szCs w:val="20"/>
              </w:rPr>
              <w:t>Индикатори за продукт и предвидени дейности</w:t>
            </w:r>
          </w:p>
        </w:tc>
        <w:tc>
          <w:tcPr>
            <w:tcW w:w="7329" w:type="dxa"/>
            <w:shd w:val="clear" w:color="auto" w:fill="DBE5F1"/>
          </w:tcPr>
          <w:p w:rsidR="00444CBE" w:rsidRPr="00B45B4F" w:rsidRDefault="00444CBE" w:rsidP="0076200A">
            <w:pPr>
              <w:pStyle w:val="BodyText"/>
              <w:spacing w:before="120" w:line="276" w:lineRule="auto"/>
              <w:jc w:val="both"/>
              <w:rPr>
                <w:rFonts w:ascii="Verdana" w:hAnsi="Verdana"/>
                <w:i/>
                <w:sz w:val="20"/>
                <w:szCs w:val="20"/>
              </w:rPr>
            </w:pPr>
            <w:r w:rsidRPr="00B45B4F">
              <w:rPr>
                <w:rFonts w:ascii="Verdana" w:hAnsi="Verdana"/>
                <w:sz w:val="20"/>
                <w:szCs w:val="20"/>
              </w:rPr>
              <w:t xml:space="preserve">Предвидени са </w:t>
            </w:r>
            <w:r w:rsidR="00EA126D" w:rsidRPr="00B45B4F">
              <w:rPr>
                <w:rFonts w:ascii="Verdana" w:hAnsi="Verdana"/>
                <w:sz w:val="20"/>
                <w:szCs w:val="20"/>
              </w:rPr>
              <w:t xml:space="preserve">следните </w:t>
            </w:r>
            <w:r w:rsidRPr="00B45B4F">
              <w:rPr>
                <w:rFonts w:ascii="Verdana" w:hAnsi="Verdana"/>
                <w:sz w:val="20"/>
                <w:szCs w:val="20"/>
              </w:rPr>
              <w:t>индикатор</w:t>
            </w:r>
            <w:r w:rsidR="00EA126D" w:rsidRPr="00B45B4F">
              <w:rPr>
                <w:rFonts w:ascii="Verdana" w:hAnsi="Verdana"/>
                <w:sz w:val="20"/>
                <w:szCs w:val="20"/>
              </w:rPr>
              <w:t>и</w:t>
            </w:r>
            <w:r w:rsidRPr="00B45B4F">
              <w:rPr>
                <w:rFonts w:ascii="Verdana" w:hAnsi="Verdana"/>
                <w:sz w:val="20"/>
                <w:szCs w:val="20"/>
              </w:rPr>
              <w:t xml:space="preserve"> за продукт:</w:t>
            </w:r>
          </w:p>
          <w:p w:rsidR="00444CBE" w:rsidRPr="00B45B4F" w:rsidRDefault="00EA126D" w:rsidP="006861B0">
            <w:pPr>
              <w:pStyle w:val="BodyText"/>
              <w:numPr>
                <w:ilvl w:val="0"/>
                <w:numId w:val="26"/>
              </w:numPr>
              <w:spacing w:before="120" w:line="276" w:lineRule="auto"/>
              <w:jc w:val="both"/>
              <w:rPr>
                <w:rFonts w:ascii="Verdana" w:hAnsi="Verdana"/>
                <w:i/>
                <w:sz w:val="20"/>
                <w:szCs w:val="20"/>
              </w:rPr>
            </w:pPr>
            <w:r w:rsidRPr="00B45B4F">
              <w:rPr>
                <w:rFonts w:ascii="Verdana" w:hAnsi="Verdana"/>
                <w:i/>
                <w:sz w:val="20"/>
                <w:szCs w:val="20"/>
              </w:rPr>
              <w:t>Обучени служители на УО</w:t>
            </w:r>
          </w:p>
          <w:p w:rsidR="00EA126D" w:rsidRPr="00B45B4F" w:rsidRDefault="00EA126D" w:rsidP="006861B0">
            <w:pPr>
              <w:pStyle w:val="BodyText"/>
              <w:numPr>
                <w:ilvl w:val="0"/>
                <w:numId w:val="26"/>
              </w:numPr>
              <w:spacing w:before="120" w:line="276" w:lineRule="auto"/>
              <w:jc w:val="both"/>
              <w:rPr>
                <w:rFonts w:ascii="Verdana" w:hAnsi="Verdana"/>
                <w:i/>
                <w:sz w:val="20"/>
                <w:szCs w:val="20"/>
              </w:rPr>
            </w:pPr>
            <w:r w:rsidRPr="00B45B4F">
              <w:rPr>
                <w:rFonts w:ascii="Verdana" w:hAnsi="Verdana"/>
                <w:i/>
                <w:sz w:val="20"/>
                <w:szCs w:val="20"/>
              </w:rPr>
              <w:t>Извършени оценки на ОП</w:t>
            </w:r>
          </w:p>
          <w:p w:rsidR="00EA126D" w:rsidRPr="00B45B4F" w:rsidRDefault="00EA126D" w:rsidP="006861B0">
            <w:pPr>
              <w:pStyle w:val="BodyText"/>
              <w:numPr>
                <w:ilvl w:val="0"/>
                <w:numId w:val="26"/>
              </w:numPr>
              <w:spacing w:before="120" w:line="276" w:lineRule="auto"/>
              <w:jc w:val="both"/>
              <w:rPr>
                <w:rFonts w:ascii="Verdana" w:hAnsi="Verdana"/>
                <w:i/>
                <w:sz w:val="20"/>
                <w:szCs w:val="20"/>
              </w:rPr>
            </w:pPr>
            <w:r w:rsidRPr="00B45B4F">
              <w:rPr>
                <w:rFonts w:ascii="Verdana" w:hAnsi="Verdana"/>
                <w:i/>
                <w:sz w:val="20"/>
                <w:szCs w:val="20"/>
              </w:rPr>
              <w:t>Информационни събития</w:t>
            </w:r>
          </w:p>
          <w:p w:rsidR="00EA126D" w:rsidRPr="00B45B4F" w:rsidRDefault="00EA126D" w:rsidP="006861B0">
            <w:pPr>
              <w:pStyle w:val="BodyText"/>
              <w:numPr>
                <w:ilvl w:val="0"/>
                <w:numId w:val="26"/>
              </w:numPr>
              <w:spacing w:before="120" w:line="276" w:lineRule="auto"/>
              <w:jc w:val="both"/>
              <w:rPr>
                <w:rFonts w:ascii="Verdana" w:hAnsi="Verdana"/>
                <w:i/>
                <w:sz w:val="20"/>
                <w:szCs w:val="20"/>
              </w:rPr>
            </w:pPr>
            <w:r w:rsidRPr="00B45B4F">
              <w:rPr>
                <w:rFonts w:ascii="Verdana" w:hAnsi="Verdana"/>
                <w:i/>
                <w:sz w:val="20"/>
                <w:szCs w:val="20"/>
              </w:rPr>
              <w:t>Подкрепени бенефициенти</w:t>
            </w:r>
          </w:p>
          <w:p w:rsidR="00EA126D" w:rsidRPr="00B45B4F" w:rsidRDefault="00EA126D" w:rsidP="0076200A">
            <w:pPr>
              <w:pStyle w:val="BodyText"/>
              <w:spacing w:before="120" w:line="276" w:lineRule="auto"/>
              <w:jc w:val="both"/>
              <w:rPr>
                <w:rFonts w:ascii="Verdana" w:hAnsi="Verdana"/>
                <w:sz w:val="20"/>
                <w:szCs w:val="20"/>
              </w:rPr>
            </w:pPr>
            <w:r w:rsidRPr="00B45B4F">
              <w:rPr>
                <w:rFonts w:ascii="Verdana" w:hAnsi="Verdana"/>
                <w:sz w:val="20"/>
                <w:szCs w:val="20"/>
              </w:rPr>
              <w:t>Предложените индикатори за продукт са адекватни</w:t>
            </w:r>
            <w:r w:rsidR="0089761C" w:rsidRPr="00B45B4F">
              <w:rPr>
                <w:rFonts w:ascii="Verdana" w:hAnsi="Verdana"/>
                <w:sz w:val="20"/>
                <w:szCs w:val="20"/>
              </w:rPr>
              <w:t xml:space="preserve"> на предвидените дейности.</w:t>
            </w:r>
          </w:p>
        </w:tc>
      </w:tr>
      <w:tr w:rsidR="00444CBE" w:rsidRPr="00B45B4F" w:rsidTr="00A77963">
        <w:trPr>
          <w:tblCellSpacing w:w="11" w:type="dxa"/>
        </w:trPr>
        <w:tc>
          <w:tcPr>
            <w:tcW w:w="1677" w:type="dxa"/>
            <w:shd w:val="clear" w:color="auto" w:fill="FDE9D9"/>
          </w:tcPr>
          <w:p w:rsidR="00444CBE" w:rsidRPr="00B45B4F" w:rsidRDefault="00444CBE" w:rsidP="0076200A">
            <w:pPr>
              <w:pStyle w:val="BodyText"/>
              <w:spacing w:before="120" w:line="276" w:lineRule="auto"/>
              <w:rPr>
                <w:rFonts w:ascii="Verdana" w:hAnsi="Verdana"/>
                <w:sz w:val="20"/>
                <w:szCs w:val="20"/>
              </w:rPr>
            </w:pPr>
            <w:r w:rsidRPr="00B45B4F">
              <w:rPr>
                <w:rFonts w:ascii="Verdana" w:hAnsi="Verdana"/>
                <w:sz w:val="20"/>
                <w:szCs w:val="20"/>
              </w:rPr>
              <w:t>Индикатори за резултат и специфични цели</w:t>
            </w:r>
          </w:p>
        </w:tc>
        <w:tc>
          <w:tcPr>
            <w:tcW w:w="7329" w:type="dxa"/>
            <w:shd w:val="clear" w:color="auto" w:fill="C6D9F1"/>
          </w:tcPr>
          <w:p w:rsidR="00444CBE" w:rsidRPr="00B45B4F" w:rsidRDefault="00EA126D" w:rsidP="00B045AA">
            <w:pPr>
              <w:pStyle w:val="BodyText"/>
              <w:spacing w:before="120" w:line="276" w:lineRule="auto"/>
              <w:jc w:val="both"/>
              <w:rPr>
                <w:rFonts w:ascii="Verdana" w:hAnsi="Verdana"/>
                <w:sz w:val="20"/>
                <w:szCs w:val="20"/>
              </w:rPr>
            </w:pPr>
            <w:r w:rsidRPr="00B45B4F">
              <w:rPr>
                <w:rFonts w:ascii="Verdana" w:hAnsi="Verdana"/>
                <w:sz w:val="20"/>
                <w:szCs w:val="20"/>
              </w:rPr>
              <w:t xml:space="preserve">Във варианта на програмата от </w:t>
            </w:r>
            <w:r w:rsidR="00B045AA">
              <w:rPr>
                <w:rFonts w:ascii="Verdana" w:hAnsi="Verdana"/>
                <w:sz w:val="20"/>
                <w:szCs w:val="20"/>
              </w:rPr>
              <w:t>май</w:t>
            </w:r>
            <w:r w:rsidRPr="00B45B4F">
              <w:rPr>
                <w:rFonts w:ascii="Verdana" w:hAnsi="Verdana"/>
                <w:sz w:val="20"/>
                <w:szCs w:val="20"/>
              </w:rPr>
              <w:t xml:space="preserve"> 2014 не са предвидени индикатори за резултат.</w:t>
            </w:r>
          </w:p>
        </w:tc>
      </w:tr>
    </w:tbl>
    <w:p w:rsidR="00666C98" w:rsidRPr="00B45B4F" w:rsidRDefault="00666C98" w:rsidP="00711296">
      <w:pPr>
        <w:rPr>
          <w:lang w:val="bg-BG" w:eastAsia="bg-BG"/>
        </w:rPr>
      </w:pPr>
    </w:p>
    <w:tbl>
      <w:tblPr>
        <w:tblW w:w="9090" w:type="dxa"/>
        <w:tblInd w:w="108" w:type="dxa"/>
        <w:tblBorders>
          <w:top w:val="single" w:sz="4" w:space="0" w:color="auto"/>
          <w:bottom w:val="single" w:sz="4" w:space="0" w:color="auto"/>
        </w:tblBorders>
        <w:tblLook w:val="04A0" w:firstRow="1" w:lastRow="0" w:firstColumn="1" w:lastColumn="0" w:noHBand="0" w:noVBand="1"/>
      </w:tblPr>
      <w:tblGrid>
        <w:gridCol w:w="540"/>
        <w:gridCol w:w="8550"/>
      </w:tblGrid>
      <w:tr w:rsidR="009219B1" w:rsidRPr="00F86D34" w:rsidTr="00715D70">
        <w:tc>
          <w:tcPr>
            <w:tcW w:w="540" w:type="dxa"/>
            <w:vAlign w:val="center"/>
          </w:tcPr>
          <w:p w:rsidR="009219B1" w:rsidRPr="00F86D34" w:rsidRDefault="009219B1" w:rsidP="002F5309">
            <w:pPr>
              <w:pStyle w:val="BodyText"/>
              <w:spacing w:after="0" w:line="276" w:lineRule="auto"/>
              <w:jc w:val="center"/>
              <w:rPr>
                <w:rFonts w:ascii="Verdana" w:hAnsi="Verdana"/>
                <w:color w:val="548DD4"/>
                <w:sz w:val="36"/>
                <w:szCs w:val="36"/>
              </w:rPr>
            </w:pPr>
            <w:r w:rsidRPr="00F86D34">
              <w:rPr>
                <w:rFonts w:ascii="Verdana" w:hAnsi="Verdana"/>
                <w:color w:val="548DD4"/>
                <w:sz w:val="36"/>
                <w:szCs w:val="36"/>
              </w:rPr>
              <w:t>?</w:t>
            </w:r>
          </w:p>
        </w:tc>
        <w:tc>
          <w:tcPr>
            <w:tcW w:w="8550" w:type="dxa"/>
            <w:shd w:val="clear" w:color="auto" w:fill="B8CCE4"/>
          </w:tcPr>
          <w:p w:rsidR="009219B1" w:rsidRPr="00F86D34" w:rsidRDefault="009219B1" w:rsidP="00715D70">
            <w:pPr>
              <w:autoSpaceDE w:val="0"/>
              <w:autoSpaceDN w:val="0"/>
              <w:adjustRightInd w:val="0"/>
              <w:spacing w:before="120" w:after="120" w:line="240" w:lineRule="auto"/>
              <w:ind w:left="115"/>
              <w:rPr>
                <w:rFonts w:ascii="Verdana" w:hAnsi="Verdana"/>
                <w:sz w:val="20"/>
                <w:szCs w:val="20"/>
                <w:lang w:val="bg-BG"/>
              </w:rPr>
            </w:pPr>
            <w:r w:rsidRPr="00F86D34">
              <w:rPr>
                <w:rFonts w:ascii="Verdana" w:hAnsi="Verdana"/>
                <w:sz w:val="20"/>
                <w:szCs w:val="20"/>
                <w:lang w:val="bg-BG"/>
              </w:rPr>
              <w:t>Адекватност на мерките, заложени в програмата и степента, в която ще допр</w:t>
            </w:r>
            <w:r w:rsidR="00F7088F" w:rsidRPr="00F86D34">
              <w:rPr>
                <w:rFonts w:ascii="Verdana" w:hAnsi="Verdana"/>
                <w:sz w:val="20"/>
                <w:szCs w:val="20"/>
                <w:lang w:val="bg-BG"/>
              </w:rPr>
              <w:t>инесат за постигане на целите й</w:t>
            </w:r>
          </w:p>
        </w:tc>
      </w:tr>
    </w:tbl>
    <w:p w:rsidR="004E3258" w:rsidRPr="00B45B4F" w:rsidRDefault="004E3258" w:rsidP="00FA776A">
      <w:pPr>
        <w:keepNext/>
        <w:pBdr>
          <w:bottom w:val="single" w:sz="4" w:space="1" w:color="0070C0"/>
        </w:pBdr>
        <w:spacing w:before="360" w:after="120"/>
        <w:jc w:val="both"/>
        <w:rPr>
          <w:rFonts w:ascii="Verdana" w:hAnsi="Verdana"/>
          <w:color w:val="0070C0"/>
          <w:sz w:val="20"/>
          <w:szCs w:val="20"/>
          <w:lang w:val="bg-BG" w:eastAsia="cs-CZ"/>
        </w:rPr>
      </w:pPr>
      <w:r w:rsidRPr="00B45B4F">
        <w:rPr>
          <w:rFonts w:ascii="Verdana" w:hAnsi="Verdana"/>
          <w:color w:val="0070C0"/>
          <w:sz w:val="20"/>
          <w:szCs w:val="20"/>
          <w:lang w:val="bg-BG" w:eastAsia="cs-CZ"/>
        </w:rPr>
        <w:t>ПО1. Научни изследвания и технологично развитие</w:t>
      </w:r>
    </w:p>
    <w:p w:rsidR="004E3258" w:rsidRPr="00B45B4F" w:rsidRDefault="004E3258" w:rsidP="004E3258">
      <w:pPr>
        <w:pStyle w:val="BodyText"/>
        <w:keepNext/>
        <w:tabs>
          <w:tab w:val="left" w:pos="0"/>
          <w:tab w:val="right" w:pos="9214"/>
        </w:tabs>
        <w:spacing w:before="240" w:line="276" w:lineRule="auto"/>
        <w:jc w:val="both"/>
        <w:rPr>
          <w:rFonts w:ascii="Verdana" w:hAnsi="Verdana"/>
          <w:sz w:val="20"/>
          <w:szCs w:val="20"/>
        </w:rPr>
      </w:pPr>
      <w:bookmarkStart w:id="85" w:name="_Toc373747259"/>
      <w:bookmarkStart w:id="86" w:name="_Toc379364673"/>
      <w:bookmarkStart w:id="87" w:name="_Toc395612577"/>
      <w:r w:rsidRPr="00B45B4F">
        <w:rPr>
          <w:rFonts w:ascii="Verdana" w:hAnsi="Verdana"/>
          <w:b/>
          <w:color w:val="548DD4" w:themeColor="text2" w:themeTint="99"/>
          <w:sz w:val="20"/>
          <w:szCs w:val="20"/>
        </w:rPr>
        <w:t xml:space="preserve">Таблица </w:t>
      </w:r>
      <w:r w:rsidR="00BF1936" w:rsidRPr="00B45B4F">
        <w:rPr>
          <w:rFonts w:ascii="Verdana" w:hAnsi="Verdana"/>
          <w:b/>
          <w:color w:val="548DD4" w:themeColor="text2" w:themeTint="99"/>
          <w:sz w:val="20"/>
          <w:szCs w:val="20"/>
        </w:rPr>
        <w:fldChar w:fldCharType="begin"/>
      </w:r>
      <w:r w:rsidRPr="00B45B4F">
        <w:rPr>
          <w:rFonts w:ascii="Verdana" w:hAnsi="Verdana"/>
          <w:b/>
          <w:color w:val="548DD4" w:themeColor="text2" w:themeTint="99"/>
          <w:sz w:val="20"/>
          <w:szCs w:val="20"/>
        </w:rPr>
        <w:instrText xml:space="preserve"> SEQ таблица \* ARABIC </w:instrText>
      </w:r>
      <w:r w:rsidR="00BF1936" w:rsidRPr="00B45B4F">
        <w:rPr>
          <w:rFonts w:ascii="Verdana" w:hAnsi="Verdana"/>
          <w:b/>
          <w:color w:val="548DD4" w:themeColor="text2" w:themeTint="99"/>
          <w:sz w:val="20"/>
          <w:szCs w:val="20"/>
        </w:rPr>
        <w:fldChar w:fldCharType="separate"/>
      </w:r>
      <w:r w:rsidR="001361E0">
        <w:rPr>
          <w:rFonts w:ascii="Verdana" w:hAnsi="Verdana"/>
          <w:b/>
          <w:noProof/>
          <w:color w:val="548DD4" w:themeColor="text2" w:themeTint="99"/>
          <w:sz w:val="20"/>
          <w:szCs w:val="20"/>
        </w:rPr>
        <w:t>21</w:t>
      </w:r>
      <w:r w:rsidR="00BF1936" w:rsidRPr="00B45B4F">
        <w:rPr>
          <w:rFonts w:ascii="Verdana" w:hAnsi="Verdana"/>
          <w:b/>
          <w:color w:val="548DD4" w:themeColor="text2" w:themeTint="99"/>
          <w:sz w:val="20"/>
          <w:szCs w:val="20"/>
        </w:rPr>
        <w:fldChar w:fldCharType="end"/>
      </w:r>
      <w:r w:rsidRPr="00B45B4F">
        <w:rPr>
          <w:rFonts w:ascii="Verdana" w:hAnsi="Verdana"/>
          <w:b/>
          <w:color w:val="548DD4" w:themeColor="text2" w:themeTint="99"/>
          <w:sz w:val="20"/>
          <w:szCs w:val="20"/>
        </w:rPr>
        <w:t>. ПО1 – Анализ на дейностите</w:t>
      </w:r>
      <w:bookmarkEnd w:id="85"/>
      <w:bookmarkEnd w:id="86"/>
      <w:bookmarkEnd w:id="87"/>
    </w:p>
    <w:tbl>
      <w:tblPr>
        <w:tblW w:w="0" w:type="auto"/>
        <w:tblCellSpacing w:w="11" w:type="dxa"/>
        <w:tblInd w:w="130" w:type="dxa"/>
        <w:tblLook w:val="04A0" w:firstRow="1" w:lastRow="0" w:firstColumn="1" w:lastColumn="0" w:noHBand="0" w:noVBand="1"/>
      </w:tblPr>
      <w:tblGrid>
        <w:gridCol w:w="5257"/>
        <w:gridCol w:w="3833"/>
      </w:tblGrid>
      <w:tr w:rsidR="00B3560D" w:rsidRPr="00B45B4F" w:rsidTr="00AF6F4A">
        <w:trPr>
          <w:tblCellSpacing w:w="11" w:type="dxa"/>
        </w:trPr>
        <w:tc>
          <w:tcPr>
            <w:tcW w:w="5224" w:type="dxa"/>
            <w:shd w:val="clear" w:color="auto" w:fill="548DD4" w:themeFill="text2" w:themeFillTint="99"/>
          </w:tcPr>
          <w:p w:rsidR="00B3560D" w:rsidRPr="00B45B4F" w:rsidRDefault="00B3560D" w:rsidP="00757B38">
            <w:pPr>
              <w:pStyle w:val="BodyText"/>
              <w:spacing w:before="120" w:line="276" w:lineRule="auto"/>
              <w:jc w:val="center"/>
              <w:rPr>
                <w:rFonts w:ascii="Verdana" w:hAnsi="Verdana"/>
                <w:b/>
                <w:color w:val="FFFFFF"/>
                <w:sz w:val="20"/>
                <w:szCs w:val="20"/>
              </w:rPr>
            </w:pPr>
            <w:r w:rsidRPr="00B45B4F">
              <w:rPr>
                <w:rFonts w:ascii="Verdana" w:hAnsi="Verdana"/>
                <w:b/>
                <w:color w:val="FFFFFF"/>
                <w:sz w:val="20"/>
                <w:szCs w:val="20"/>
              </w:rPr>
              <w:t>Предвидени мерки/дейности</w:t>
            </w:r>
          </w:p>
        </w:tc>
        <w:tc>
          <w:tcPr>
            <w:tcW w:w="3800" w:type="dxa"/>
            <w:shd w:val="clear" w:color="auto" w:fill="548DD4" w:themeFill="text2" w:themeFillTint="99"/>
          </w:tcPr>
          <w:p w:rsidR="00B3560D" w:rsidRPr="00B45B4F" w:rsidRDefault="00B3560D" w:rsidP="00B3560D">
            <w:pPr>
              <w:pStyle w:val="BodyText"/>
              <w:spacing w:before="120" w:line="276" w:lineRule="auto"/>
              <w:jc w:val="center"/>
              <w:rPr>
                <w:rFonts w:ascii="Verdana" w:hAnsi="Verdana"/>
                <w:b/>
                <w:color w:val="FFFFFF"/>
                <w:sz w:val="20"/>
                <w:szCs w:val="20"/>
              </w:rPr>
            </w:pPr>
            <w:r w:rsidRPr="00B45B4F">
              <w:rPr>
                <w:rFonts w:ascii="Verdana" w:hAnsi="Verdana"/>
                <w:b/>
                <w:color w:val="FFFFFF"/>
                <w:sz w:val="20"/>
                <w:szCs w:val="20"/>
              </w:rPr>
              <w:t xml:space="preserve">Адекватност </w:t>
            </w:r>
          </w:p>
        </w:tc>
      </w:tr>
      <w:tr w:rsidR="00B3560D" w:rsidRPr="00B45B4F" w:rsidTr="00F55866">
        <w:trPr>
          <w:tblCellSpacing w:w="11" w:type="dxa"/>
        </w:trPr>
        <w:tc>
          <w:tcPr>
            <w:tcW w:w="9046" w:type="dxa"/>
            <w:gridSpan w:val="2"/>
            <w:shd w:val="clear" w:color="auto" w:fill="FBD4B4" w:themeFill="accent6" w:themeFillTint="66"/>
          </w:tcPr>
          <w:p w:rsidR="00B3560D" w:rsidRPr="00F86D34" w:rsidRDefault="00B3560D" w:rsidP="00BF4412">
            <w:pPr>
              <w:autoSpaceDE w:val="0"/>
              <w:autoSpaceDN w:val="0"/>
              <w:adjustRightInd w:val="0"/>
              <w:spacing w:after="0" w:line="288" w:lineRule="auto"/>
              <w:jc w:val="both"/>
              <w:rPr>
                <w:rFonts w:ascii="Verdana" w:hAnsi="Verdana" w:cs="Arial Narrow"/>
                <w:color w:val="000000"/>
                <w:sz w:val="20"/>
                <w:szCs w:val="20"/>
                <w:lang w:val="bg-BG" w:eastAsia="bg-BG"/>
              </w:rPr>
            </w:pPr>
            <w:r w:rsidRPr="00F86D34">
              <w:rPr>
                <w:rFonts w:ascii="Verdana" w:hAnsi="Verdana"/>
                <w:b/>
                <w:sz w:val="20"/>
                <w:szCs w:val="20"/>
                <w:lang w:val="bg-BG"/>
              </w:rPr>
              <w:t xml:space="preserve">Инвестиционен приоритет 1: </w:t>
            </w:r>
            <w:r w:rsidR="00FF6574" w:rsidRPr="00F86D34">
              <w:rPr>
                <w:rFonts w:ascii="Verdana" w:hAnsi="Verdana" w:cs="Arial Narrow"/>
                <w:i/>
                <w:color w:val="000000"/>
                <w:sz w:val="20"/>
                <w:szCs w:val="20"/>
                <w:lang w:val="bg-BG" w:eastAsia="bg-BG"/>
              </w:rPr>
              <w:t xml:space="preserve">Укрепване на инфраструктурата, необходима за </w:t>
            </w:r>
            <w:r w:rsidR="00FF6574" w:rsidRPr="00F86D34">
              <w:rPr>
                <w:rFonts w:ascii="Verdana" w:hAnsi="Verdana" w:cs="Arial Narrow"/>
                <w:i/>
                <w:color w:val="000000"/>
                <w:sz w:val="20"/>
                <w:szCs w:val="20"/>
                <w:lang w:val="bg-BG" w:eastAsia="bg-BG"/>
              </w:rPr>
              <w:lastRenderedPageBreak/>
              <w:t>научноизследователска и иновационна дейност (НИД) и на капацитета за реализиране на достижения в областта на научноизследователската и иновационната дейност и насърчаване на центрове на компетентност, по-специално центрове, които са от интерес за Европа</w:t>
            </w:r>
            <w:r w:rsidR="0003214F" w:rsidRPr="00F86D34">
              <w:rPr>
                <w:rFonts w:ascii="Verdana" w:hAnsi="Verdana" w:cs="Arial Narrow"/>
                <w:i/>
                <w:color w:val="000000"/>
                <w:sz w:val="20"/>
                <w:szCs w:val="20"/>
                <w:lang w:val="bg-BG" w:eastAsia="bg-BG"/>
              </w:rPr>
              <w:t>.</w:t>
            </w:r>
          </w:p>
        </w:tc>
      </w:tr>
      <w:tr w:rsidR="004E3258" w:rsidRPr="00B45B4F" w:rsidTr="00F55866">
        <w:trPr>
          <w:tblCellSpacing w:w="11" w:type="dxa"/>
        </w:trPr>
        <w:tc>
          <w:tcPr>
            <w:tcW w:w="5224" w:type="dxa"/>
            <w:shd w:val="clear" w:color="auto" w:fill="C6D9F1" w:themeFill="text2" w:themeFillTint="33"/>
          </w:tcPr>
          <w:p w:rsidR="004E3258" w:rsidRPr="00B45B4F" w:rsidRDefault="004E3258" w:rsidP="004E3258">
            <w:pPr>
              <w:spacing w:before="120" w:after="120" w:line="360" w:lineRule="auto"/>
              <w:contextualSpacing/>
              <w:jc w:val="both"/>
              <w:rPr>
                <w:rFonts w:ascii="Verdana" w:eastAsia="Times New Roman" w:hAnsi="Verdana"/>
                <w:sz w:val="20"/>
                <w:szCs w:val="20"/>
                <w:lang w:val="bg-BG"/>
              </w:rPr>
            </w:pPr>
            <w:r w:rsidRPr="00B45B4F">
              <w:rPr>
                <w:rFonts w:ascii="Verdana" w:eastAsia="Times New Roman" w:hAnsi="Verdana"/>
                <w:sz w:val="20"/>
                <w:szCs w:val="20"/>
                <w:lang w:val="bg-BG"/>
              </w:rPr>
              <w:lastRenderedPageBreak/>
              <w:t>Подкрепа за създаване и развитие на центрове за върхови постижения и центрове за компетентност</w:t>
            </w:r>
            <w:r w:rsidR="00F224CD">
              <w:rPr>
                <w:rFonts w:ascii="Verdana" w:eastAsia="Times New Roman" w:hAnsi="Verdana"/>
                <w:sz w:val="20"/>
                <w:szCs w:val="20"/>
                <w:lang w:val="bg-BG"/>
              </w:rPr>
              <w:t xml:space="preserve"> </w:t>
            </w:r>
            <w:r w:rsidR="00505682" w:rsidRPr="00FE5A49">
              <w:rPr>
                <w:rFonts w:ascii="Verdana" w:eastAsia="Times New Roman" w:hAnsi="Verdana"/>
                <w:sz w:val="20"/>
                <w:szCs w:val="20"/>
                <w:lang w:val="bg-BG"/>
              </w:rPr>
              <w:t>вкл. обновяване на сградния фонд, материалната база и закупуване на оборудване</w:t>
            </w:r>
            <w:r w:rsidRPr="00B45B4F">
              <w:rPr>
                <w:rFonts w:ascii="Verdana" w:eastAsia="Times New Roman" w:hAnsi="Verdana"/>
                <w:sz w:val="20"/>
                <w:szCs w:val="20"/>
                <w:lang w:val="bg-BG"/>
              </w:rPr>
              <w:t>;</w:t>
            </w:r>
          </w:p>
        </w:tc>
        <w:tc>
          <w:tcPr>
            <w:tcW w:w="3800" w:type="dxa"/>
            <w:shd w:val="clear" w:color="auto" w:fill="C6D9F1" w:themeFill="text2" w:themeFillTint="33"/>
          </w:tcPr>
          <w:p w:rsidR="004E3258" w:rsidRPr="00B45B4F" w:rsidRDefault="00CB587B" w:rsidP="004E3258">
            <w:pPr>
              <w:pStyle w:val="BodyText"/>
              <w:spacing w:before="120" w:line="276" w:lineRule="auto"/>
              <w:jc w:val="both"/>
              <w:rPr>
                <w:rFonts w:ascii="Verdana" w:hAnsi="Verdana"/>
                <w:sz w:val="20"/>
                <w:szCs w:val="20"/>
              </w:rPr>
            </w:pPr>
            <w:r w:rsidRPr="00B45B4F">
              <w:rPr>
                <w:rFonts w:ascii="Verdana" w:hAnsi="Verdana"/>
                <w:sz w:val="20"/>
                <w:szCs w:val="20"/>
              </w:rPr>
              <w:t>Адекватна и ще допринесе за постигане на целите</w:t>
            </w:r>
          </w:p>
        </w:tc>
      </w:tr>
      <w:tr w:rsidR="004E3258" w:rsidRPr="00B45B4F" w:rsidTr="00E65EF5">
        <w:trPr>
          <w:tblCellSpacing w:w="11" w:type="dxa"/>
        </w:trPr>
        <w:tc>
          <w:tcPr>
            <w:tcW w:w="5224" w:type="dxa"/>
            <w:shd w:val="clear" w:color="auto" w:fill="F2F2F2" w:themeFill="background1" w:themeFillShade="F2"/>
          </w:tcPr>
          <w:p w:rsidR="004E3258" w:rsidRPr="00B45B4F" w:rsidRDefault="00505682" w:rsidP="00A60A54">
            <w:pPr>
              <w:pStyle w:val="BodyText"/>
              <w:spacing w:before="120" w:line="276" w:lineRule="auto"/>
              <w:jc w:val="both"/>
              <w:rPr>
                <w:rFonts w:ascii="Verdana" w:hAnsi="Verdana"/>
                <w:sz w:val="20"/>
                <w:szCs w:val="20"/>
              </w:rPr>
            </w:pPr>
            <w:r w:rsidRPr="00FE5A49">
              <w:rPr>
                <w:rFonts w:ascii="Verdana" w:eastAsia="Times New Roman" w:hAnsi="Verdana"/>
                <w:sz w:val="20"/>
                <w:szCs w:val="20"/>
                <w:lang w:eastAsia="en-US"/>
              </w:rPr>
              <w:t>Подкрепа за модернизирането на научната инфраструктура и на съществуващите учебно-изследователски лаборатории на научни институти и висши учебни заведения, които провеждат изследвания в области, съответстващи на регионалните и националните икономически и социални предизвикателства</w:t>
            </w:r>
            <w:r w:rsidR="004E3258" w:rsidRPr="00B45B4F">
              <w:rPr>
                <w:rFonts w:ascii="Verdana" w:hAnsi="Verdana"/>
                <w:sz w:val="20"/>
                <w:szCs w:val="20"/>
              </w:rPr>
              <w:t>;</w:t>
            </w:r>
          </w:p>
        </w:tc>
        <w:tc>
          <w:tcPr>
            <w:tcW w:w="3800" w:type="dxa"/>
            <w:shd w:val="clear" w:color="auto" w:fill="F2F2F2" w:themeFill="background1" w:themeFillShade="F2"/>
          </w:tcPr>
          <w:p w:rsidR="004E3258" w:rsidRPr="00B45B4F" w:rsidRDefault="00CB587B" w:rsidP="004E3258">
            <w:pPr>
              <w:pStyle w:val="BodyText"/>
              <w:spacing w:before="120" w:line="276" w:lineRule="auto"/>
              <w:jc w:val="both"/>
              <w:rPr>
                <w:rFonts w:ascii="Verdana" w:hAnsi="Verdana"/>
                <w:sz w:val="20"/>
                <w:szCs w:val="20"/>
              </w:rPr>
            </w:pPr>
            <w:r w:rsidRPr="00B45B4F">
              <w:rPr>
                <w:rFonts w:ascii="Verdana" w:hAnsi="Verdana"/>
                <w:sz w:val="20"/>
                <w:szCs w:val="20"/>
              </w:rPr>
              <w:t>Адекватна и ще допринесе за постигане на целите</w:t>
            </w:r>
          </w:p>
        </w:tc>
      </w:tr>
      <w:tr w:rsidR="004E3258" w:rsidRPr="00B45B4F" w:rsidTr="00F55866">
        <w:trPr>
          <w:tblCellSpacing w:w="11" w:type="dxa"/>
        </w:trPr>
        <w:tc>
          <w:tcPr>
            <w:tcW w:w="5224" w:type="dxa"/>
            <w:shd w:val="clear" w:color="auto" w:fill="C6D9F1" w:themeFill="text2" w:themeFillTint="33"/>
          </w:tcPr>
          <w:p w:rsidR="004E3258" w:rsidRPr="00B45B4F" w:rsidRDefault="004E3258" w:rsidP="00E839B6">
            <w:pPr>
              <w:pStyle w:val="BodyText"/>
              <w:spacing w:before="120" w:line="276" w:lineRule="auto"/>
              <w:jc w:val="both"/>
              <w:rPr>
                <w:rFonts w:ascii="Verdana" w:hAnsi="Verdana"/>
                <w:sz w:val="20"/>
                <w:szCs w:val="20"/>
              </w:rPr>
            </w:pPr>
            <w:r w:rsidRPr="00B45B4F">
              <w:rPr>
                <w:rFonts w:ascii="Verdana" w:hAnsi="Verdana"/>
                <w:sz w:val="20"/>
                <w:szCs w:val="20"/>
              </w:rPr>
              <w:t xml:space="preserve">Създаване и развитието на регионални научни инфраструктури, в т.ч. и на уникални колекции и архиви и на национални звена – партньори на Европейските научни комплекси, определени в Европейската пътна карта за научна инфраструктура; </w:t>
            </w:r>
          </w:p>
        </w:tc>
        <w:tc>
          <w:tcPr>
            <w:tcW w:w="3800" w:type="dxa"/>
            <w:shd w:val="clear" w:color="auto" w:fill="C6D9F1" w:themeFill="text2" w:themeFillTint="33"/>
          </w:tcPr>
          <w:p w:rsidR="004E3258" w:rsidRPr="00B45B4F" w:rsidRDefault="00CB587B" w:rsidP="004E3258">
            <w:pPr>
              <w:pStyle w:val="BodyText"/>
              <w:spacing w:before="120" w:line="276" w:lineRule="auto"/>
              <w:jc w:val="both"/>
              <w:rPr>
                <w:rFonts w:ascii="Verdana" w:hAnsi="Verdana"/>
                <w:sz w:val="20"/>
                <w:szCs w:val="20"/>
              </w:rPr>
            </w:pPr>
            <w:r w:rsidRPr="00B45B4F">
              <w:rPr>
                <w:rFonts w:ascii="Verdana" w:hAnsi="Verdana"/>
                <w:sz w:val="20"/>
                <w:szCs w:val="20"/>
              </w:rPr>
              <w:t>Адекватна и ще допринесе за постигане на целите</w:t>
            </w:r>
          </w:p>
        </w:tc>
      </w:tr>
      <w:tr w:rsidR="00BE63CF" w:rsidRPr="00B45B4F" w:rsidTr="00F55866">
        <w:trPr>
          <w:tblCellSpacing w:w="11" w:type="dxa"/>
        </w:trPr>
        <w:tc>
          <w:tcPr>
            <w:tcW w:w="9046" w:type="dxa"/>
            <w:gridSpan w:val="2"/>
            <w:shd w:val="clear" w:color="auto" w:fill="FBD4B4" w:themeFill="accent6" w:themeFillTint="66"/>
          </w:tcPr>
          <w:p w:rsidR="00BE63CF" w:rsidRPr="00F86D34" w:rsidRDefault="00BE63CF" w:rsidP="00BF4412">
            <w:pPr>
              <w:spacing w:before="120"/>
              <w:jc w:val="both"/>
              <w:rPr>
                <w:rFonts w:ascii="Verdana" w:hAnsi="Verdana"/>
                <w:sz w:val="20"/>
                <w:szCs w:val="20"/>
                <w:lang w:val="bg-BG"/>
              </w:rPr>
            </w:pPr>
            <w:r w:rsidRPr="00F86D34">
              <w:rPr>
                <w:rFonts w:ascii="Verdana" w:hAnsi="Verdana"/>
                <w:b/>
                <w:sz w:val="20"/>
                <w:szCs w:val="20"/>
                <w:lang w:val="bg-BG"/>
              </w:rPr>
              <w:t xml:space="preserve">Инвестиционен приоритет 2: </w:t>
            </w:r>
            <w:r w:rsidR="00BF4412" w:rsidRPr="00F86D34">
              <w:rPr>
                <w:rFonts w:ascii="Verdana" w:hAnsi="Verdana"/>
                <w:i/>
                <w:sz w:val="20"/>
                <w:szCs w:val="20"/>
                <w:lang w:val="bg-BG"/>
              </w:rPr>
              <w:t xml:space="preserve">Насърчаване на инвестициите на предприятията в НИД, разработване на връзки и взаимодействие между предприятията, центровете за научноизследователска и развойна дейност и сектора на висшите учебни заведения, по-специално поощряване на инвестициите в разработването на продукти и услуги, на трансфера на технологии, на социалната иновация, </w:t>
            </w:r>
            <w:proofErr w:type="spellStart"/>
            <w:r w:rsidR="00BF4412" w:rsidRPr="00F86D34">
              <w:rPr>
                <w:rFonts w:ascii="Verdana" w:hAnsi="Verdana"/>
                <w:i/>
                <w:sz w:val="20"/>
                <w:szCs w:val="20"/>
                <w:lang w:val="bg-BG"/>
              </w:rPr>
              <w:t>екоиновациите</w:t>
            </w:r>
            <w:proofErr w:type="spellEnd"/>
            <w:r w:rsidR="00BF4412" w:rsidRPr="00F86D34">
              <w:rPr>
                <w:rFonts w:ascii="Verdana" w:hAnsi="Verdana"/>
                <w:i/>
                <w:sz w:val="20"/>
                <w:szCs w:val="20"/>
                <w:lang w:val="bg-BG"/>
              </w:rPr>
              <w:t xml:space="preserve"> и приложенията за публични услуги, на стимулирането на търсенето, на изграждането на мрежи, на клъстерите и на отворените иновации посредством интелигентна специализация и подпомагане на технологичните и приложните научни изследвания, пилотни линии, действия за одобрение на продуктите на начален етап, усъвършенствани производствени възможности и пилотно производство, по-специално в ключови базови технологии, както и разпространението на технологии с общо предназначение</w:t>
            </w:r>
            <w:r w:rsidR="0003214F" w:rsidRPr="00F86D34">
              <w:rPr>
                <w:rFonts w:ascii="Verdana" w:hAnsi="Verdana"/>
                <w:i/>
                <w:sz w:val="20"/>
                <w:szCs w:val="20"/>
                <w:lang w:val="bg-BG"/>
              </w:rPr>
              <w:t>.</w:t>
            </w:r>
          </w:p>
        </w:tc>
      </w:tr>
      <w:tr w:rsidR="004E3258" w:rsidRPr="00B45B4F" w:rsidTr="00F55866">
        <w:trPr>
          <w:tblCellSpacing w:w="11" w:type="dxa"/>
        </w:trPr>
        <w:tc>
          <w:tcPr>
            <w:tcW w:w="5224" w:type="dxa"/>
            <w:shd w:val="clear" w:color="auto" w:fill="C6D9F1" w:themeFill="text2" w:themeFillTint="33"/>
          </w:tcPr>
          <w:p w:rsidR="004E3258" w:rsidRPr="00B45B4F" w:rsidRDefault="004E3258" w:rsidP="00E839B6">
            <w:pPr>
              <w:pStyle w:val="BodyText"/>
              <w:spacing w:before="120" w:line="276" w:lineRule="auto"/>
              <w:jc w:val="both"/>
              <w:rPr>
                <w:rFonts w:ascii="Verdana" w:hAnsi="Verdana"/>
                <w:sz w:val="20"/>
                <w:szCs w:val="20"/>
              </w:rPr>
            </w:pPr>
            <w:r w:rsidRPr="00B45B4F">
              <w:rPr>
                <w:rFonts w:ascii="Verdana" w:hAnsi="Verdana"/>
                <w:sz w:val="20"/>
                <w:szCs w:val="20"/>
              </w:rPr>
              <w:t>Подкрепа за стратегически изследователски програми в центровете за компетентност и в инфраструктурните комплекси, които да гарантират тяхното устойчиво развитие и добавен ефект за нацио</w:t>
            </w:r>
            <w:r w:rsidR="007777A0" w:rsidRPr="00B45B4F">
              <w:rPr>
                <w:rFonts w:ascii="Verdana" w:hAnsi="Verdana"/>
                <w:sz w:val="20"/>
                <w:szCs w:val="20"/>
              </w:rPr>
              <w:t xml:space="preserve">налната и регионална </w:t>
            </w:r>
            <w:r w:rsidR="007777A0" w:rsidRPr="00B45B4F">
              <w:rPr>
                <w:rFonts w:ascii="Verdana" w:hAnsi="Verdana"/>
                <w:sz w:val="20"/>
                <w:szCs w:val="20"/>
              </w:rPr>
              <w:lastRenderedPageBreak/>
              <w:t>икономика</w:t>
            </w:r>
            <w:r w:rsidR="0003214F" w:rsidRPr="00B45B4F">
              <w:rPr>
                <w:rFonts w:ascii="Verdana" w:hAnsi="Verdana"/>
                <w:sz w:val="20"/>
                <w:szCs w:val="20"/>
              </w:rPr>
              <w:t>;</w:t>
            </w:r>
          </w:p>
        </w:tc>
        <w:tc>
          <w:tcPr>
            <w:tcW w:w="3800" w:type="dxa"/>
            <w:shd w:val="clear" w:color="auto" w:fill="C6D9F1" w:themeFill="text2" w:themeFillTint="33"/>
          </w:tcPr>
          <w:p w:rsidR="004E3258" w:rsidRPr="00B45B4F" w:rsidRDefault="007777A0" w:rsidP="00E839B6">
            <w:pPr>
              <w:pStyle w:val="BodyText"/>
              <w:spacing w:before="120" w:line="276" w:lineRule="auto"/>
              <w:jc w:val="both"/>
              <w:rPr>
                <w:rFonts w:ascii="Verdana" w:hAnsi="Verdana"/>
                <w:sz w:val="20"/>
                <w:szCs w:val="20"/>
              </w:rPr>
            </w:pPr>
            <w:r w:rsidRPr="00B45B4F">
              <w:rPr>
                <w:rFonts w:ascii="Verdana" w:hAnsi="Verdana"/>
                <w:sz w:val="20"/>
                <w:szCs w:val="20"/>
              </w:rPr>
              <w:lastRenderedPageBreak/>
              <w:t xml:space="preserve">Няма ясна връзка с поставената специфична цел. Специфичната цел визира приложни изследвания за развитие на икономиката, докато дейността е насочена към стратегически </w:t>
            </w:r>
            <w:r w:rsidRPr="00B45B4F">
              <w:rPr>
                <w:rFonts w:ascii="Verdana" w:hAnsi="Verdana"/>
                <w:sz w:val="20"/>
                <w:szCs w:val="20"/>
              </w:rPr>
              <w:lastRenderedPageBreak/>
              <w:t>програми с цел гарантиране на устойчивото развитие на центровете.</w:t>
            </w:r>
          </w:p>
        </w:tc>
      </w:tr>
      <w:tr w:rsidR="004E3258" w:rsidRPr="00B45B4F" w:rsidTr="00E65EF5">
        <w:trPr>
          <w:tblCellSpacing w:w="11" w:type="dxa"/>
        </w:trPr>
        <w:tc>
          <w:tcPr>
            <w:tcW w:w="5224" w:type="dxa"/>
            <w:shd w:val="clear" w:color="auto" w:fill="F2F2F2" w:themeFill="background1" w:themeFillShade="F2"/>
          </w:tcPr>
          <w:p w:rsidR="004E3258" w:rsidRPr="00B45B4F" w:rsidRDefault="004E3258" w:rsidP="00E839B6">
            <w:pPr>
              <w:pStyle w:val="BodyText"/>
              <w:spacing w:before="120" w:line="276" w:lineRule="auto"/>
              <w:jc w:val="both"/>
              <w:rPr>
                <w:rFonts w:ascii="Verdana" w:hAnsi="Verdana"/>
                <w:sz w:val="20"/>
                <w:szCs w:val="20"/>
              </w:rPr>
            </w:pPr>
            <w:r w:rsidRPr="00B45B4F">
              <w:rPr>
                <w:rFonts w:ascii="Verdana" w:hAnsi="Verdana"/>
                <w:sz w:val="20"/>
                <w:szCs w:val="20"/>
              </w:rPr>
              <w:lastRenderedPageBreak/>
              <w:t>Подкрепа за провеждане на приложни научни изследвания. Финансиране на самите изследвания и дейности, свързани със закупуване на нова или модернизиране на съществуваща апаратура, оборудване, материали, консумативи и др., необходими за провеждане на приложното научно изследване, включително и разходите по възнаграждения на участниците;</w:t>
            </w:r>
          </w:p>
        </w:tc>
        <w:tc>
          <w:tcPr>
            <w:tcW w:w="3800" w:type="dxa"/>
            <w:shd w:val="clear" w:color="auto" w:fill="F2F2F2" w:themeFill="background1" w:themeFillShade="F2"/>
          </w:tcPr>
          <w:p w:rsidR="004E3258" w:rsidRPr="00B45B4F" w:rsidRDefault="007777A0" w:rsidP="00065C14">
            <w:pPr>
              <w:pStyle w:val="BodyText"/>
              <w:spacing w:before="120" w:line="276" w:lineRule="auto"/>
              <w:jc w:val="both"/>
              <w:rPr>
                <w:rFonts w:ascii="Verdana" w:hAnsi="Verdana"/>
                <w:sz w:val="20"/>
                <w:szCs w:val="20"/>
              </w:rPr>
            </w:pPr>
            <w:r w:rsidRPr="00B45B4F">
              <w:rPr>
                <w:rFonts w:ascii="Verdana" w:hAnsi="Verdana"/>
                <w:sz w:val="20"/>
                <w:szCs w:val="20"/>
              </w:rPr>
              <w:t>Адекватна и отговоря на заложената специфична цел.</w:t>
            </w:r>
          </w:p>
        </w:tc>
      </w:tr>
      <w:tr w:rsidR="004E3258" w:rsidRPr="00B45B4F" w:rsidTr="00F55866">
        <w:trPr>
          <w:tblCellSpacing w:w="11" w:type="dxa"/>
        </w:trPr>
        <w:tc>
          <w:tcPr>
            <w:tcW w:w="5224" w:type="dxa"/>
            <w:shd w:val="clear" w:color="auto" w:fill="C6D9F1" w:themeFill="text2" w:themeFillTint="33"/>
          </w:tcPr>
          <w:p w:rsidR="004E3258" w:rsidRPr="00B45B4F" w:rsidRDefault="004E3258" w:rsidP="00E839B6">
            <w:pPr>
              <w:pStyle w:val="BodyText"/>
              <w:spacing w:before="120" w:line="276" w:lineRule="auto"/>
              <w:jc w:val="both"/>
              <w:rPr>
                <w:rFonts w:ascii="Verdana" w:hAnsi="Verdana"/>
                <w:sz w:val="20"/>
                <w:szCs w:val="20"/>
              </w:rPr>
            </w:pPr>
            <w:r w:rsidRPr="00B45B4F">
              <w:rPr>
                <w:rFonts w:ascii="Verdana" w:hAnsi="Verdana"/>
                <w:sz w:val="20"/>
                <w:szCs w:val="20"/>
              </w:rPr>
              <w:t>Осигуряване на подкрепа за достъп и участие на български научни организации и висши училища до различни европейски тех</w:t>
            </w:r>
            <w:r w:rsidR="00C03E96" w:rsidRPr="00B45B4F">
              <w:rPr>
                <w:rFonts w:ascii="Verdana" w:hAnsi="Verdana"/>
                <w:sz w:val="20"/>
                <w:szCs w:val="20"/>
              </w:rPr>
              <w:t>н</w:t>
            </w:r>
            <w:r w:rsidRPr="00B45B4F">
              <w:rPr>
                <w:rFonts w:ascii="Verdana" w:hAnsi="Verdana"/>
                <w:sz w:val="20"/>
                <w:szCs w:val="20"/>
              </w:rPr>
              <w:t>ологични платформи съвместни технологични инициативи и в Европейския институт за технологии и иновации;</w:t>
            </w:r>
          </w:p>
        </w:tc>
        <w:tc>
          <w:tcPr>
            <w:tcW w:w="3800" w:type="dxa"/>
            <w:shd w:val="clear" w:color="auto" w:fill="C6D9F1" w:themeFill="text2" w:themeFillTint="33"/>
          </w:tcPr>
          <w:p w:rsidR="004E3258" w:rsidRPr="00B45B4F" w:rsidRDefault="008C0C4E" w:rsidP="00E839B6">
            <w:pPr>
              <w:pStyle w:val="BodyText"/>
              <w:spacing w:before="120" w:line="276" w:lineRule="auto"/>
              <w:jc w:val="both"/>
              <w:rPr>
                <w:rFonts w:ascii="Verdana" w:hAnsi="Verdana"/>
                <w:sz w:val="20"/>
                <w:szCs w:val="20"/>
              </w:rPr>
            </w:pPr>
            <w:r w:rsidRPr="00B45B4F">
              <w:rPr>
                <w:rFonts w:ascii="Verdana" w:hAnsi="Verdana"/>
                <w:sz w:val="20"/>
                <w:szCs w:val="20"/>
              </w:rPr>
              <w:t>Ще способства обмен на опит и развитие на научно-приложни изследвания.</w:t>
            </w:r>
          </w:p>
        </w:tc>
      </w:tr>
      <w:tr w:rsidR="004E3258" w:rsidRPr="00B45B4F" w:rsidTr="00E65EF5">
        <w:trPr>
          <w:tblCellSpacing w:w="11" w:type="dxa"/>
        </w:trPr>
        <w:tc>
          <w:tcPr>
            <w:tcW w:w="5224" w:type="dxa"/>
            <w:shd w:val="clear" w:color="auto" w:fill="F2F2F2" w:themeFill="background1" w:themeFillShade="F2"/>
          </w:tcPr>
          <w:p w:rsidR="004E3258" w:rsidRPr="00B45B4F" w:rsidRDefault="004E3258" w:rsidP="00E839B6">
            <w:pPr>
              <w:pStyle w:val="BodyText"/>
              <w:spacing w:before="120" w:line="276" w:lineRule="auto"/>
              <w:jc w:val="both"/>
              <w:rPr>
                <w:rFonts w:ascii="Verdana" w:hAnsi="Verdana"/>
                <w:sz w:val="20"/>
                <w:szCs w:val="20"/>
              </w:rPr>
            </w:pPr>
            <w:r w:rsidRPr="00B45B4F">
              <w:rPr>
                <w:rFonts w:ascii="Verdana" w:hAnsi="Verdana"/>
                <w:sz w:val="20"/>
                <w:szCs w:val="20"/>
              </w:rPr>
              <w:t>Обучение на кадри по заявка и с финансовото участие на бизнеса чрез ваучерни схеми;</w:t>
            </w:r>
          </w:p>
        </w:tc>
        <w:tc>
          <w:tcPr>
            <w:tcW w:w="3800" w:type="dxa"/>
            <w:shd w:val="clear" w:color="auto" w:fill="F2F2F2" w:themeFill="background1" w:themeFillShade="F2"/>
          </w:tcPr>
          <w:p w:rsidR="004E3258" w:rsidRPr="00B45B4F" w:rsidRDefault="00444CBE" w:rsidP="00520717">
            <w:pPr>
              <w:pStyle w:val="BodyText"/>
              <w:spacing w:before="120" w:line="276" w:lineRule="auto"/>
              <w:jc w:val="both"/>
              <w:rPr>
                <w:rFonts w:ascii="Verdana" w:hAnsi="Verdana"/>
                <w:sz w:val="20"/>
                <w:szCs w:val="20"/>
              </w:rPr>
            </w:pPr>
            <w:r w:rsidRPr="00B45B4F">
              <w:rPr>
                <w:rFonts w:ascii="Verdana" w:hAnsi="Verdana"/>
                <w:sz w:val="20"/>
                <w:szCs w:val="20"/>
              </w:rPr>
              <w:t>Предполага се, че дейността визира обучение на студенти във висшите училища или докторанти във висшите училища и/или институтите по заявка на бизнеса.  В този смисъл дейността</w:t>
            </w:r>
            <w:r w:rsidR="00520717" w:rsidRPr="00B45B4F">
              <w:rPr>
                <w:rFonts w:ascii="Verdana" w:hAnsi="Verdana"/>
                <w:sz w:val="20"/>
                <w:szCs w:val="20"/>
              </w:rPr>
              <w:t xml:space="preserve"> ще</w:t>
            </w:r>
            <w:r w:rsidRPr="00B45B4F">
              <w:rPr>
                <w:rFonts w:ascii="Verdana" w:hAnsi="Verdana"/>
                <w:sz w:val="20"/>
                <w:szCs w:val="20"/>
              </w:rPr>
              <w:t xml:space="preserve"> способства за по-добрите връзки между бизнеса и обра</w:t>
            </w:r>
            <w:r w:rsidR="00520717" w:rsidRPr="00B45B4F">
              <w:rPr>
                <w:rFonts w:ascii="Verdana" w:hAnsi="Verdana"/>
                <w:sz w:val="20"/>
                <w:szCs w:val="20"/>
              </w:rPr>
              <w:t>зованието, и подари това като ця</w:t>
            </w:r>
            <w:r w:rsidRPr="00B45B4F">
              <w:rPr>
                <w:rFonts w:ascii="Verdana" w:hAnsi="Verdana"/>
                <w:sz w:val="20"/>
                <w:szCs w:val="20"/>
              </w:rPr>
              <w:t>л</w:t>
            </w:r>
            <w:r w:rsidR="00520717" w:rsidRPr="00B45B4F">
              <w:rPr>
                <w:rFonts w:ascii="Verdana" w:hAnsi="Verdana"/>
                <w:sz w:val="20"/>
                <w:szCs w:val="20"/>
              </w:rPr>
              <w:t>о</w:t>
            </w:r>
            <w:r w:rsidRPr="00B45B4F">
              <w:rPr>
                <w:rFonts w:ascii="Verdana" w:hAnsi="Verdana"/>
                <w:sz w:val="20"/>
                <w:szCs w:val="20"/>
              </w:rPr>
              <w:t xml:space="preserve"> е уместна, но не </w:t>
            </w:r>
            <w:r w:rsidR="00520717" w:rsidRPr="00B45B4F">
              <w:rPr>
                <w:rFonts w:ascii="Verdana" w:hAnsi="Verdana"/>
                <w:sz w:val="20"/>
                <w:szCs w:val="20"/>
              </w:rPr>
              <w:t>за конкретната</w:t>
            </w:r>
            <w:r w:rsidRPr="00B45B4F">
              <w:rPr>
                <w:rFonts w:ascii="Verdana" w:hAnsi="Verdana"/>
                <w:sz w:val="20"/>
                <w:szCs w:val="20"/>
              </w:rPr>
              <w:t xml:space="preserve"> специфичната цел. По-подходящо е дейността да бъде преместена в ИП2 (СЦ1) на ПО2.</w:t>
            </w:r>
          </w:p>
        </w:tc>
      </w:tr>
      <w:tr w:rsidR="004E3258" w:rsidRPr="00B45B4F" w:rsidTr="00F55866">
        <w:trPr>
          <w:tblCellSpacing w:w="11" w:type="dxa"/>
        </w:trPr>
        <w:tc>
          <w:tcPr>
            <w:tcW w:w="5224" w:type="dxa"/>
            <w:shd w:val="clear" w:color="auto" w:fill="C6D9F1" w:themeFill="text2" w:themeFillTint="33"/>
          </w:tcPr>
          <w:p w:rsidR="004E3258" w:rsidRPr="00B45B4F" w:rsidRDefault="004E3258" w:rsidP="00B75EAE">
            <w:pPr>
              <w:pStyle w:val="BodyText"/>
              <w:spacing w:before="120" w:line="276" w:lineRule="auto"/>
              <w:jc w:val="both"/>
              <w:rPr>
                <w:rFonts w:ascii="Verdana" w:hAnsi="Verdana"/>
                <w:sz w:val="20"/>
                <w:szCs w:val="20"/>
              </w:rPr>
            </w:pPr>
            <w:r w:rsidRPr="00B45B4F">
              <w:rPr>
                <w:rFonts w:ascii="Verdana" w:hAnsi="Verdana"/>
                <w:sz w:val="20"/>
                <w:szCs w:val="20"/>
              </w:rPr>
              <w:t xml:space="preserve">Предоставяне на подкрепа за изграждане, развитие и използване на пилотни производствени центрове във висшите училища и научните институти за провеждане на научно обучение, изследователска работа, експериментално развитие и </w:t>
            </w:r>
            <w:proofErr w:type="spellStart"/>
            <w:r w:rsidRPr="00B45B4F">
              <w:rPr>
                <w:rFonts w:ascii="Verdana" w:hAnsi="Verdana"/>
                <w:sz w:val="20"/>
                <w:szCs w:val="20"/>
              </w:rPr>
              <w:t>прототипиране</w:t>
            </w:r>
            <w:proofErr w:type="spellEnd"/>
            <w:r w:rsidRPr="00B45B4F">
              <w:rPr>
                <w:rFonts w:ascii="Verdana" w:hAnsi="Verdana"/>
                <w:sz w:val="20"/>
                <w:szCs w:val="20"/>
              </w:rPr>
              <w:t>.</w:t>
            </w:r>
          </w:p>
        </w:tc>
        <w:tc>
          <w:tcPr>
            <w:tcW w:w="3800" w:type="dxa"/>
            <w:shd w:val="clear" w:color="auto" w:fill="C6D9F1" w:themeFill="text2" w:themeFillTint="33"/>
          </w:tcPr>
          <w:p w:rsidR="004E3258" w:rsidRPr="00B45B4F" w:rsidRDefault="000F3BDC" w:rsidP="00065C14">
            <w:pPr>
              <w:pStyle w:val="BodyText"/>
              <w:spacing w:before="120" w:line="276" w:lineRule="auto"/>
              <w:jc w:val="both"/>
              <w:rPr>
                <w:rFonts w:ascii="Verdana" w:hAnsi="Verdana"/>
                <w:sz w:val="20"/>
                <w:szCs w:val="20"/>
              </w:rPr>
            </w:pPr>
            <w:r>
              <w:rPr>
                <w:rFonts w:ascii="Verdana" w:hAnsi="Verdana"/>
                <w:sz w:val="20"/>
                <w:szCs w:val="20"/>
              </w:rPr>
              <w:t>Д</w:t>
            </w:r>
            <w:r w:rsidR="008C3784" w:rsidRPr="00B45B4F">
              <w:rPr>
                <w:rFonts w:ascii="Verdana" w:hAnsi="Verdana"/>
                <w:sz w:val="20"/>
                <w:szCs w:val="20"/>
              </w:rPr>
              <w:t>ейността ще способства постигането на специфичната цел.</w:t>
            </w:r>
          </w:p>
        </w:tc>
      </w:tr>
    </w:tbl>
    <w:p w:rsidR="00444CBE" w:rsidRPr="00B45B4F" w:rsidRDefault="00444CBE" w:rsidP="00FA776A">
      <w:pPr>
        <w:keepNext/>
        <w:pBdr>
          <w:bottom w:val="single" w:sz="4" w:space="1" w:color="0070C0"/>
        </w:pBdr>
        <w:spacing w:before="360" w:after="120"/>
        <w:jc w:val="both"/>
        <w:rPr>
          <w:rFonts w:ascii="Verdana" w:hAnsi="Verdana"/>
          <w:color w:val="0070C0"/>
          <w:sz w:val="20"/>
          <w:szCs w:val="20"/>
          <w:lang w:val="bg-BG" w:eastAsia="cs-CZ"/>
        </w:rPr>
      </w:pPr>
      <w:r w:rsidRPr="00B45B4F">
        <w:rPr>
          <w:rFonts w:ascii="Verdana" w:hAnsi="Verdana"/>
          <w:color w:val="0070C0"/>
          <w:sz w:val="20"/>
          <w:szCs w:val="20"/>
          <w:lang w:val="bg-BG" w:eastAsia="cs-CZ"/>
        </w:rPr>
        <w:lastRenderedPageBreak/>
        <w:t>ПО</w:t>
      </w:r>
      <w:r w:rsidR="00057F10" w:rsidRPr="00B45B4F">
        <w:rPr>
          <w:rFonts w:ascii="Verdana" w:hAnsi="Verdana"/>
          <w:color w:val="0070C0"/>
          <w:sz w:val="20"/>
          <w:szCs w:val="20"/>
          <w:lang w:val="bg-BG" w:eastAsia="cs-CZ"/>
        </w:rPr>
        <w:t>2</w:t>
      </w:r>
      <w:r w:rsidRPr="00B45B4F">
        <w:rPr>
          <w:rFonts w:ascii="Verdana" w:hAnsi="Verdana"/>
          <w:color w:val="0070C0"/>
          <w:sz w:val="20"/>
          <w:szCs w:val="20"/>
          <w:lang w:val="bg-BG" w:eastAsia="cs-CZ"/>
        </w:rPr>
        <w:t xml:space="preserve">. </w:t>
      </w:r>
      <w:r w:rsidR="00057F10" w:rsidRPr="00B45B4F">
        <w:rPr>
          <w:rFonts w:ascii="Verdana" w:hAnsi="Verdana"/>
          <w:color w:val="0070C0"/>
          <w:sz w:val="20"/>
          <w:szCs w:val="20"/>
          <w:lang w:val="bg-BG" w:eastAsia="cs-CZ"/>
        </w:rPr>
        <w:t>Образование и учене през целия живот</w:t>
      </w:r>
    </w:p>
    <w:p w:rsidR="00444CBE" w:rsidRPr="00B45B4F" w:rsidRDefault="00444CBE" w:rsidP="00444CBE">
      <w:pPr>
        <w:pStyle w:val="BodyText"/>
        <w:keepNext/>
        <w:tabs>
          <w:tab w:val="left" w:pos="0"/>
          <w:tab w:val="right" w:pos="9214"/>
        </w:tabs>
        <w:spacing w:before="240" w:line="276" w:lineRule="auto"/>
        <w:jc w:val="both"/>
        <w:rPr>
          <w:rFonts w:ascii="Verdana" w:hAnsi="Verdana"/>
          <w:sz w:val="20"/>
          <w:szCs w:val="20"/>
        </w:rPr>
      </w:pPr>
      <w:bookmarkStart w:id="88" w:name="_Toc395612578"/>
      <w:r w:rsidRPr="00B45B4F">
        <w:rPr>
          <w:rFonts w:ascii="Verdana" w:hAnsi="Verdana"/>
          <w:b/>
          <w:color w:val="548DD4" w:themeColor="text2" w:themeTint="99"/>
          <w:sz w:val="20"/>
          <w:szCs w:val="20"/>
        </w:rPr>
        <w:t xml:space="preserve">Таблица </w:t>
      </w:r>
      <w:r w:rsidR="00BF1936" w:rsidRPr="00B45B4F">
        <w:rPr>
          <w:rFonts w:ascii="Verdana" w:hAnsi="Verdana"/>
          <w:b/>
          <w:color w:val="548DD4" w:themeColor="text2" w:themeTint="99"/>
          <w:sz w:val="20"/>
          <w:szCs w:val="20"/>
        </w:rPr>
        <w:fldChar w:fldCharType="begin"/>
      </w:r>
      <w:r w:rsidRPr="00B45B4F">
        <w:rPr>
          <w:rFonts w:ascii="Verdana" w:hAnsi="Verdana"/>
          <w:b/>
          <w:color w:val="548DD4" w:themeColor="text2" w:themeTint="99"/>
          <w:sz w:val="20"/>
          <w:szCs w:val="20"/>
        </w:rPr>
        <w:instrText xml:space="preserve"> SEQ таблица \* ARABIC </w:instrText>
      </w:r>
      <w:r w:rsidR="00BF1936" w:rsidRPr="00B45B4F">
        <w:rPr>
          <w:rFonts w:ascii="Verdana" w:hAnsi="Verdana"/>
          <w:b/>
          <w:color w:val="548DD4" w:themeColor="text2" w:themeTint="99"/>
          <w:sz w:val="20"/>
          <w:szCs w:val="20"/>
        </w:rPr>
        <w:fldChar w:fldCharType="separate"/>
      </w:r>
      <w:r w:rsidR="001361E0">
        <w:rPr>
          <w:rFonts w:ascii="Verdana" w:hAnsi="Verdana"/>
          <w:b/>
          <w:noProof/>
          <w:color w:val="548DD4" w:themeColor="text2" w:themeTint="99"/>
          <w:sz w:val="20"/>
          <w:szCs w:val="20"/>
        </w:rPr>
        <w:t>22</w:t>
      </w:r>
      <w:r w:rsidR="00BF1936" w:rsidRPr="00B45B4F">
        <w:rPr>
          <w:rFonts w:ascii="Verdana" w:hAnsi="Verdana"/>
          <w:b/>
          <w:color w:val="548DD4" w:themeColor="text2" w:themeTint="99"/>
          <w:sz w:val="20"/>
          <w:szCs w:val="20"/>
        </w:rPr>
        <w:fldChar w:fldCharType="end"/>
      </w:r>
      <w:r w:rsidRPr="00B45B4F">
        <w:rPr>
          <w:rFonts w:ascii="Verdana" w:hAnsi="Verdana"/>
          <w:b/>
          <w:color w:val="548DD4" w:themeColor="text2" w:themeTint="99"/>
          <w:sz w:val="20"/>
          <w:szCs w:val="20"/>
        </w:rPr>
        <w:t>. ПО</w:t>
      </w:r>
      <w:r w:rsidR="00057F10" w:rsidRPr="00B45B4F">
        <w:rPr>
          <w:rFonts w:ascii="Verdana" w:hAnsi="Verdana"/>
          <w:b/>
          <w:color w:val="548DD4" w:themeColor="text2" w:themeTint="99"/>
          <w:sz w:val="20"/>
          <w:szCs w:val="20"/>
        </w:rPr>
        <w:t>2</w:t>
      </w:r>
      <w:r w:rsidRPr="00B45B4F">
        <w:rPr>
          <w:rFonts w:ascii="Verdana" w:hAnsi="Verdana"/>
          <w:b/>
          <w:color w:val="548DD4" w:themeColor="text2" w:themeTint="99"/>
          <w:sz w:val="20"/>
          <w:szCs w:val="20"/>
        </w:rPr>
        <w:t xml:space="preserve"> – Анализ на дейностите</w:t>
      </w:r>
      <w:bookmarkEnd w:id="88"/>
    </w:p>
    <w:tbl>
      <w:tblPr>
        <w:tblW w:w="9090" w:type="dxa"/>
        <w:tblCellSpacing w:w="11" w:type="dxa"/>
        <w:tblInd w:w="130" w:type="dxa"/>
        <w:tblLook w:val="04A0" w:firstRow="1" w:lastRow="0" w:firstColumn="1" w:lastColumn="0" w:noHBand="0" w:noVBand="1"/>
      </w:tblPr>
      <w:tblGrid>
        <w:gridCol w:w="5130"/>
        <w:gridCol w:w="127"/>
        <w:gridCol w:w="3833"/>
      </w:tblGrid>
      <w:tr w:rsidR="00444CBE" w:rsidRPr="00B45B4F" w:rsidTr="00094703">
        <w:trPr>
          <w:tblCellSpacing w:w="11" w:type="dxa"/>
        </w:trPr>
        <w:tc>
          <w:tcPr>
            <w:tcW w:w="5224" w:type="dxa"/>
            <w:gridSpan w:val="2"/>
            <w:shd w:val="clear" w:color="auto" w:fill="548DD4" w:themeFill="text2" w:themeFillTint="99"/>
          </w:tcPr>
          <w:p w:rsidR="00444CBE" w:rsidRPr="00B45B4F" w:rsidRDefault="00444CBE" w:rsidP="0076200A">
            <w:pPr>
              <w:pStyle w:val="BodyText"/>
              <w:spacing w:before="120" w:line="276" w:lineRule="auto"/>
              <w:jc w:val="center"/>
              <w:rPr>
                <w:rFonts w:ascii="Verdana" w:hAnsi="Verdana"/>
                <w:b/>
                <w:color w:val="FFFFFF"/>
                <w:sz w:val="20"/>
                <w:szCs w:val="20"/>
              </w:rPr>
            </w:pPr>
            <w:r w:rsidRPr="00B45B4F">
              <w:rPr>
                <w:rFonts w:ascii="Verdana" w:hAnsi="Verdana"/>
                <w:b/>
                <w:color w:val="FFFFFF"/>
                <w:sz w:val="20"/>
                <w:szCs w:val="20"/>
              </w:rPr>
              <w:t>Предвидени мерки/дейности</w:t>
            </w:r>
          </w:p>
        </w:tc>
        <w:tc>
          <w:tcPr>
            <w:tcW w:w="3800" w:type="dxa"/>
            <w:shd w:val="clear" w:color="auto" w:fill="548DD4" w:themeFill="text2" w:themeFillTint="99"/>
          </w:tcPr>
          <w:p w:rsidR="00444CBE" w:rsidRPr="00B45B4F" w:rsidRDefault="00444CBE" w:rsidP="0076200A">
            <w:pPr>
              <w:pStyle w:val="BodyText"/>
              <w:spacing w:before="120" w:line="276" w:lineRule="auto"/>
              <w:jc w:val="center"/>
              <w:rPr>
                <w:rFonts w:ascii="Verdana" w:hAnsi="Verdana"/>
                <w:b/>
                <w:color w:val="FFFFFF"/>
                <w:sz w:val="20"/>
                <w:szCs w:val="20"/>
              </w:rPr>
            </w:pPr>
            <w:r w:rsidRPr="00B45B4F">
              <w:rPr>
                <w:rFonts w:ascii="Verdana" w:hAnsi="Verdana"/>
                <w:b/>
                <w:color w:val="FFFFFF"/>
                <w:sz w:val="20"/>
                <w:szCs w:val="20"/>
              </w:rPr>
              <w:t xml:space="preserve">Адекватност </w:t>
            </w:r>
          </w:p>
        </w:tc>
      </w:tr>
      <w:tr w:rsidR="00444CBE" w:rsidRPr="00B45B4F" w:rsidTr="00094703">
        <w:trPr>
          <w:tblCellSpacing w:w="11" w:type="dxa"/>
        </w:trPr>
        <w:tc>
          <w:tcPr>
            <w:tcW w:w="9046" w:type="dxa"/>
            <w:gridSpan w:val="3"/>
            <w:shd w:val="clear" w:color="auto" w:fill="FBD4B4" w:themeFill="accent6" w:themeFillTint="66"/>
          </w:tcPr>
          <w:p w:rsidR="00444CBE" w:rsidRPr="00B45B4F" w:rsidRDefault="00444CBE" w:rsidP="00BF4412">
            <w:pPr>
              <w:spacing w:before="120"/>
              <w:jc w:val="both"/>
              <w:rPr>
                <w:rFonts w:ascii="Verdana" w:hAnsi="Verdana"/>
                <w:i/>
                <w:sz w:val="20"/>
                <w:szCs w:val="20"/>
                <w:lang w:val="bg-BG"/>
              </w:rPr>
            </w:pPr>
            <w:r w:rsidRPr="00B45B4F">
              <w:rPr>
                <w:rFonts w:ascii="Verdana" w:hAnsi="Verdana"/>
                <w:b/>
                <w:sz w:val="20"/>
                <w:szCs w:val="20"/>
                <w:lang w:val="bg-BG"/>
              </w:rPr>
              <w:t xml:space="preserve">Инвестиционен приоритет 1: </w:t>
            </w:r>
            <w:r w:rsidR="00BF4412" w:rsidRPr="00B45B4F">
              <w:rPr>
                <w:rFonts w:ascii="Verdana" w:hAnsi="Verdana"/>
                <w:i/>
                <w:sz w:val="20"/>
                <w:szCs w:val="20"/>
                <w:lang w:val="bg-BG"/>
              </w:rPr>
              <w:t>Намаляване и предотвратяване на преждевременното напускане на училище и насърчаване на равния достъп до висококачествено предучилищно, основно и средно образование, включващо формални, неформални и неофициални начини на учене за повторно включване в образователната система и системата на обучение</w:t>
            </w:r>
          </w:p>
        </w:tc>
      </w:tr>
      <w:tr w:rsidR="00444CBE" w:rsidRPr="00B45B4F" w:rsidTr="00094703">
        <w:trPr>
          <w:tblCellSpacing w:w="11" w:type="dxa"/>
        </w:trPr>
        <w:tc>
          <w:tcPr>
            <w:tcW w:w="5097" w:type="dxa"/>
            <w:shd w:val="clear" w:color="auto" w:fill="C6D9F1" w:themeFill="text2" w:themeFillTint="33"/>
          </w:tcPr>
          <w:p w:rsidR="00444CBE" w:rsidRPr="00B45B4F" w:rsidRDefault="00B75EAE" w:rsidP="00B75EAE">
            <w:pPr>
              <w:pStyle w:val="BodyText"/>
              <w:spacing w:before="120" w:line="276" w:lineRule="auto"/>
              <w:jc w:val="both"/>
              <w:rPr>
                <w:rFonts w:ascii="Verdana" w:eastAsia="Times New Roman" w:hAnsi="Verdana"/>
                <w:sz w:val="20"/>
                <w:szCs w:val="20"/>
              </w:rPr>
            </w:pPr>
            <w:r w:rsidRPr="00EB2718">
              <w:rPr>
                <w:rFonts w:ascii="Verdana" w:hAnsi="Verdana"/>
                <w:sz w:val="20"/>
                <w:szCs w:val="20"/>
              </w:rPr>
              <w:t>Дейности за подобряване на ключовите компетентности на учениците с акцент върху грамотността, уменията за общуване на чужд език, диги</w:t>
            </w:r>
            <w:r w:rsidRPr="00065C14">
              <w:rPr>
                <w:rFonts w:ascii="Verdana" w:hAnsi="Verdana"/>
                <w:sz w:val="20"/>
                <w:szCs w:val="20"/>
              </w:rPr>
              <w:t>талната компетентност, социалните и гражданските компетентности</w:t>
            </w:r>
            <w:r w:rsidR="00A96A0C" w:rsidRPr="00B57A71">
              <w:rPr>
                <w:rFonts w:ascii="Verdana" w:hAnsi="Verdana"/>
                <w:sz w:val="20"/>
                <w:szCs w:val="20"/>
              </w:rPr>
              <w:t>.</w:t>
            </w:r>
          </w:p>
        </w:tc>
        <w:tc>
          <w:tcPr>
            <w:tcW w:w="3927" w:type="dxa"/>
            <w:gridSpan w:val="2"/>
            <w:shd w:val="clear" w:color="auto" w:fill="C6D9F1" w:themeFill="text2" w:themeFillTint="33"/>
          </w:tcPr>
          <w:p w:rsidR="00444CBE" w:rsidRPr="00B45B4F" w:rsidRDefault="00B75EAE" w:rsidP="00A96A0C">
            <w:pPr>
              <w:pStyle w:val="BodyText"/>
              <w:spacing w:before="120" w:line="276" w:lineRule="auto"/>
              <w:jc w:val="both"/>
              <w:rPr>
                <w:rFonts w:ascii="Verdana" w:hAnsi="Verdana"/>
                <w:sz w:val="20"/>
                <w:szCs w:val="20"/>
              </w:rPr>
            </w:pPr>
            <w:r w:rsidRPr="00B45B4F">
              <w:rPr>
                <w:rFonts w:ascii="Verdana" w:hAnsi="Verdana"/>
                <w:sz w:val="20"/>
                <w:szCs w:val="20"/>
              </w:rPr>
              <w:t xml:space="preserve">Мярката отговаря на </w:t>
            </w:r>
            <w:r w:rsidR="0088452F" w:rsidRPr="00B45B4F">
              <w:rPr>
                <w:rFonts w:ascii="Verdana" w:hAnsi="Verdana"/>
                <w:sz w:val="20"/>
                <w:szCs w:val="20"/>
              </w:rPr>
              <w:t xml:space="preserve">първата </w:t>
            </w:r>
            <w:r w:rsidRPr="00B45B4F">
              <w:rPr>
                <w:rFonts w:ascii="Verdana" w:hAnsi="Verdana"/>
                <w:sz w:val="20"/>
                <w:szCs w:val="20"/>
              </w:rPr>
              <w:t xml:space="preserve">специфична цел, но </w:t>
            </w:r>
            <w:r w:rsidR="00794C58" w:rsidRPr="00B45B4F">
              <w:rPr>
                <w:rFonts w:ascii="Verdana" w:hAnsi="Verdana"/>
                <w:sz w:val="20"/>
                <w:szCs w:val="20"/>
              </w:rPr>
              <w:t xml:space="preserve">е </w:t>
            </w:r>
            <w:r w:rsidRPr="00B45B4F">
              <w:rPr>
                <w:rFonts w:ascii="Verdana" w:hAnsi="Verdana"/>
                <w:sz w:val="20"/>
                <w:szCs w:val="20"/>
              </w:rPr>
              <w:t>твърде обща</w:t>
            </w:r>
            <w:r w:rsidR="00A96A0C" w:rsidRPr="00B45B4F">
              <w:rPr>
                <w:rFonts w:ascii="Verdana" w:hAnsi="Verdana"/>
                <w:sz w:val="20"/>
                <w:szCs w:val="20"/>
              </w:rPr>
              <w:t xml:space="preserve"> и може да включва в себе си много от по-долу изброените дейности</w:t>
            </w:r>
            <w:r w:rsidRPr="00B45B4F">
              <w:rPr>
                <w:rFonts w:ascii="Verdana" w:hAnsi="Verdana"/>
                <w:sz w:val="20"/>
                <w:szCs w:val="20"/>
              </w:rPr>
              <w:t>.</w:t>
            </w:r>
          </w:p>
        </w:tc>
      </w:tr>
      <w:tr w:rsidR="00B75EAE" w:rsidRPr="00B45B4F" w:rsidTr="00094703">
        <w:trPr>
          <w:tblCellSpacing w:w="11" w:type="dxa"/>
        </w:trPr>
        <w:tc>
          <w:tcPr>
            <w:tcW w:w="5097" w:type="dxa"/>
            <w:shd w:val="clear" w:color="auto" w:fill="F2F2F2" w:themeFill="background1" w:themeFillShade="F2"/>
          </w:tcPr>
          <w:p w:rsidR="00B75EAE" w:rsidRPr="00B45B4F" w:rsidRDefault="00B75EAE" w:rsidP="00B75EAE">
            <w:pPr>
              <w:pStyle w:val="BodyText"/>
              <w:spacing w:before="120" w:line="276" w:lineRule="auto"/>
              <w:jc w:val="both"/>
              <w:rPr>
                <w:rFonts w:ascii="Verdana" w:hAnsi="Verdana"/>
                <w:sz w:val="20"/>
                <w:szCs w:val="20"/>
              </w:rPr>
            </w:pPr>
            <w:r w:rsidRPr="00B45B4F">
              <w:rPr>
                <w:rFonts w:ascii="Verdana" w:hAnsi="Verdana"/>
                <w:sz w:val="20"/>
                <w:szCs w:val="20"/>
              </w:rPr>
              <w:t>Разширяване и усъвършенстване на прилагането на системата за оценяване (външно и/или вътрешно) на резултатите от обучението на учениците на национално, регионално и училищно равнище;</w:t>
            </w:r>
          </w:p>
        </w:tc>
        <w:tc>
          <w:tcPr>
            <w:tcW w:w="3927" w:type="dxa"/>
            <w:gridSpan w:val="2"/>
            <w:shd w:val="clear" w:color="auto" w:fill="F2F2F2" w:themeFill="background1" w:themeFillShade="F2"/>
          </w:tcPr>
          <w:p w:rsidR="00B75EAE" w:rsidRPr="00B45B4F" w:rsidRDefault="0088452F" w:rsidP="00B75EAE">
            <w:pPr>
              <w:pStyle w:val="BodyText"/>
              <w:spacing w:before="120" w:line="276" w:lineRule="auto"/>
              <w:jc w:val="both"/>
              <w:rPr>
                <w:rFonts w:ascii="Verdana" w:hAnsi="Verdana"/>
                <w:sz w:val="20"/>
                <w:szCs w:val="20"/>
              </w:rPr>
            </w:pPr>
            <w:r w:rsidRPr="00B45B4F">
              <w:rPr>
                <w:rFonts w:ascii="Verdana" w:hAnsi="Verdana"/>
                <w:sz w:val="20"/>
                <w:szCs w:val="20"/>
              </w:rPr>
              <w:t>Мярката ще способства за постигане на третата специфична цел.</w:t>
            </w:r>
          </w:p>
        </w:tc>
      </w:tr>
      <w:tr w:rsidR="00B75EAE" w:rsidRPr="00B45B4F" w:rsidTr="00094703">
        <w:trPr>
          <w:tblCellSpacing w:w="11" w:type="dxa"/>
        </w:trPr>
        <w:tc>
          <w:tcPr>
            <w:tcW w:w="5097" w:type="dxa"/>
            <w:shd w:val="clear" w:color="auto" w:fill="C6D9F1" w:themeFill="text2" w:themeFillTint="33"/>
          </w:tcPr>
          <w:p w:rsidR="00B75EAE" w:rsidRPr="00B45B4F" w:rsidRDefault="00B75EAE" w:rsidP="00B75EAE">
            <w:pPr>
              <w:pStyle w:val="BodyText"/>
              <w:spacing w:before="120" w:line="276" w:lineRule="auto"/>
              <w:jc w:val="both"/>
              <w:rPr>
                <w:rFonts w:ascii="Verdana" w:hAnsi="Verdana"/>
                <w:sz w:val="20"/>
                <w:szCs w:val="20"/>
              </w:rPr>
            </w:pPr>
            <w:r w:rsidRPr="00B45B4F">
              <w:rPr>
                <w:rFonts w:ascii="Verdana" w:hAnsi="Verdana"/>
                <w:sz w:val="20"/>
                <w:szCs w:val="20"/>
              </w:rPr>
              <w:t>Измерване на постиженията на учениците в областта на четенето, математиката и природните науки в т.ч. дейности, свързани с участие в национални и международни изследвания, вкл. обучение на педагогически специалисти за прилагане на международни стандарти за оценяване на учениците;</w:t>
            </w:r>
          </w:p>
        </w:tc>
        <w:tc>
          <w:tcPr>
            <w:tcW w:w="3927" w:type="dxa"/>
            <w:gridSpan w:val="2"/>
            <w:shd w:val="clear" w:color="auto" w:fill="C6D9F1" w:themeFill="text2" w:themeFillTint="33"/>
          </w:tcPr>
          <w:p w:rsidR="00B75EAE" w:rsidRPr="00B45B4F" w:rsidRDefault="0088452F" w:rsidP="00B75EAE">
            <w:pPr>
              <w:pStyle w:val="BodyText"/>
              <w:spacing w:before="120" w:line="276" w:lineRule="auto"/>
              <w:jc w:val="both"/>
              <w:rPr>
                <w:rFonts w:ascii="Verdana" w:hAnsi="Verdana"/>
                <w:sz w:val="20"/>
                <w:szCs w:val="20"/>
              </w:rPr>
            </w:pPr>
            <w:r w:rsidRPr="00B45B4F">
              <w:rPr>
                <w:rFonts w:ascii="Verdana" w:hAnsi="Verdana"/>
                <w:sz w:val="20"/>
                <w:szCs w:val="20"/>
              </w:rPr>
              <w:t>Мярката ще способства за постигане на третата специфична цел.</w:t>
            </w:r>
          </w:p>
        </w:tc>
      </w:tr>
      <w:tr w:rsidR="00B75EAE" w:rsidRPr="00B45B4F" w:rsidTr="00094703">
        <w:trPr>
          <w:tblCellSpacing w:w="11" w:type="dxa"/>
        </w:trPr>
        <w:tc>
          <w:tcPr>
            <w:tcW w:w="5097" w:type="dxa"/>
            <w:shd w:val="clear" w:color="auto" w:fill="F2F2F2" w:themeFill="background1" w:themeFillShade="F2"/>
          </w:tcPr>
          <w:p w:rsidR="00B75EAE" w:rsidRPr="00B45B4F" w:rsidRDefault="00B75EAE" w:rsidP="00B75EAE">
            <w:pPr>
              <w:pStyle w:val="BodyText"/>
              <w:spacing w:before="120" w:line="276" w:lineRule="auto"/>
              <w:jc w:val="both"/>
              <w:rPr>
                <w:rFonts w:ascii="Verdana" w:hAnsi="Verdana"/>
                <w:sz w:val="20"/>
                <w:szCs w:val="20"/>
              </w:rPr>
            </w:pPr>
            <w:r w:rsidRPr="00065C14">
              <w:rPr>
                <w:rFonts w:ascii="Verdana" w:hAnsi="Verdana"/>
                <w:sz w:val="20"/>
                <w:szCs w:val="20"/>
              </w:rPr>
              <w:t>Въвеждане на модерни технологии и интерактивни методи и средства в образователния процес, включително и на електронно съдържание;</w:t>
            </w:r>
          </w:p>
        </w:tc>
        <w:tc>
          <w:tcPr>
            <w:tcW w:w="3927" w:type="dxa"/>
            <w:gridSpan w:val="2"/>
            <w:shd w:val="clear" w:color="auto" w:fill="F2F2F2" w:themeFill="background1" w:themeFillShade="F2"/>
          </w:tcPr>
          <w:p w:rsidR="00B75EAE" w:rsidRPr="00B45B4F" w:rsidRDefault="0088452F" w:rsidP="00B75EAE">
            <w:pPr>
              <w:pStyle w:val="BodyText"/>
              <w:spacing w:before="120" w:line="276" w:lineRule="auto"/>
              <w:jc w:val="both"/>
              <w:rPr>
                <w:rFonts w:ascii="Verdana" w:hAnsi="Verdana"/>
                <w:sz w:val="20"/>
                <w:szCs w:val="20"/>
              </w:rPr>
            </w:pPr>
            <w:r w:rsidRPr="00B45B4F">
              <w:rPr>
                <w:rFonts w:ascii="Verdana" w:hAnsi="Verdana"/>
                <w:sz w:val="20"/>
                <w:szCs w:val="20"/>
              </w:rPr>
              <w:t>Мярката ще способства за подобряване на качеството на образованието и по-този начин ще допринесе за постигане на СЦ1 и СЦ2.</w:t>
            </w:r>
          </w:p>
        </w:tc>
      </w:tr>
      <w:tr w:rsidR="00B75EAE" w:rsidRPr="00B45B4F" w:rsidTr="00094703">
        <w:trPr>
          <w:tblCellSpacing w:w="11" w:type="dxa"/>
        </w:trPr>
        <w:tc>
          <w:tcPr>
            <w:tcW w:w="5097" w:type="dxa"/>
            <w:shd w:val="clear" w:color="auto" w:fill="C6D9F1" w:themeFill="text2" w:themeFillTint="33"/>
          </w:tcPr>
          <w:p w:rsidR="00B75EAE" w:rsidRPr="00B57A71" w:rsidRDefault="00B75EAE" w:rsidP="00B75EAE">
            <w:pPr>
              <w:pStyle w:val="BodyText"/>
              <w:spacing w:before="120" w:line="276" w:lineRule="auto"/>
              <w:jc w:val="both"/>
              <w:rPr>
                <w:rFonts w:ascii="Verdana" w:hAnsi="Verdana"/>
                <w:sz w:val="20"/>
                <w:szCs w:val="20"/>
              </w:rPr>
            </w:pPr>
            <w:r w:rsidRPr="00065C14">
              <w:rPr>
                <w:rFonts w:ascii="Verdana" w:hAnsi="Verdana"/>
                <w:sz w:val="20"/>
                <w:szCs w:val="20"/>
              </w:rPr>
              <w:t>Разработване, актуализиране и оценка на ефективността на учебни планове и програми;</w:t>
            </w:r>
          </w:p>
        </w:tc>
        <w:tc>
          <w:tcPr>
            <w:tcW w:w="3927" w:type="dxa"/>
            <w:gridSpan w:val="2"/>
            <w:shd w:val="clear" w:color="auto" w:fill="C6D9F1" w:themeFill="text2" w:themeFillTint="33"/>
          </w:tcPr>
          <w:p w:rsidR="00B75EAE" w:rsidRPr="00EB2718" w:rsidRDefault="0088452F" w:rsidP="008C2BE4">
            <w:pPr>
              <w:pStyle w:val="BodyText"/>
              <w:spacing w:before="120" w:line="276" w:lineRule="auto"/>
              <w:jc w:val="both"/>
              <w:rPr>
                <w:rFonts w:ascii="Verdana" w:hAnsi="Verdana"/>
                <w:sz w:val="20"/>
                <w:szCs w:val="20"/>
              </w:rPr>
            </w:pPr>
            <w:r w:rsidRPr="00FB3AF7">
              <w:rPr>
                <w:rFonts w:ascii="Verdana" w:hAnsi="Verdana"/>
                <w:sz w:val="20"/>
                <w:szCs w:val="20"/>
              </w:rPr>
              <w:t>Мярката е адекватна що се отнася до оценка на ефективността на плановете и програмите, защото ще способства за подобряване на управлението, а от там и до каче</w:t>
            </w:r>
            <w:r w:rsidRPr="00EB2718">
              <w:rPr>
                <w:rFonts w:ascii="Verdana" w:hAnsi="Verdana"/>
                <w:sz w:val="20"/>
                <w:szCs w:val="20"/>
              </w:rPr>
              <w:t xml:space="preserve">ството на образование и по този начин ще допринесе за постигане на поставените три специфични цели. Разработването </w:t>
            </w:r>
            <w:r w:rsidRPr="00EB2718">
              <w:rPr>
                <w:rFonts w:ascii="Verdana" w:hAnsi="Verdana"/>
                <w:sz w:val="20"/>
                <w:szCs w:val="20"/>
              </w:rPr>
              <w:lastRenderedPageBreak/>
              <w:t>и актуализирането на учебни планове и програми е част от задълженията на съответните специалисти</w:t>
            </w:r>
            <w:r w:rsidR="00794C58" w:rsidRPr="00EB2718">
              <w:rPr>
                <w:rFonts w:ascii="Verdana" w:hAnsi="Verdana"/>
                <w:sz w:val="20"/>
                <w:szCs w:val="20"/>
              </w:rPr>
              <w:t xml:space="preserve"> в системата на образованието</w:t>
            </w:r>
            <w:r w:rsidRPr="00EB2718">
              <w:rPr>
                <w:rFonts w:ascii="Verdana" w:hAnsi="Verdana"/>
                <w:sz w:val="20"/>
                <w:szCs w:val="20"/>
              </w:rPr>
              <w:t xml:space="preserve"> и поради това подкрепата на оперативната програма няма да има добавена стойност.</w:t>
            </w:r>
            <w:r w:rsidR="00794C58" w:rsidRPr="00EB2718">
              <w:rPr>
                <w:rFonts w:ascii="Verdana" w:hAnsi="Verdana"/>
                <w:sz w:val="20"/>
                <w:szCs w:val="20"/>
              </w:rPr>
              <w:t xml:space="preserve"> По-скоро подходящ</w:t>
            </w:r>
            <w:r w:rsidR="008C2BE4" w:rsidRPr="00EB2718">
              <w:rPr>
                <w:rFonts w:ascii="Verdana" w:hAnsi="Verdana"/>
                <w:sz w:val="20"/>
                <w:szCs w:val="20"/>
              </w:rPr>
              <w:t>а</w:t>
            </w:r>
            <w:r w:rsidR="00794C58" w:rsidRPr="00EB2718">
              <w:rPr>
                <w:rFonts w:ascii="Verdana" w:hAnsi="Verdana"/>
                <w:sz w:val="20"/>
                <w:szCs w:val="20"/>
              </w:rPr>
              <w:t xml:space="preserve"> би бил</w:t>
            </w:r>
            <w:r w:rsidR="008C2BE4" w:rsidRPr="00EB2718">
              <w:rPr>
                <w:rFonts w:ascii="Verdana" w:hAnsi="Verdana"/>
                <w:sz w:val="20"/>
                <w:szCs w:val="20"/>
              </w:rPr>
              <w:t>а мярка, която ще доведе до</w:t>
            </w:r>
            <w:r w:rsidR="00794C58" w:rsidRPr="00EB2718">
              <w:rPr>
                <w:rFonts w:ascii="Verdana" w:hAnsi="Verdana"/>
                <w:sz w:val="20"/>
                <w:szCs w:val="20"/>
              </w:rPr>
              <w:t xml:space="preserve"> подобряване на процесите на разработване и актуализиране на учебни планове и програми.</w:t>
            </w:r>
          </w:p>
        </w:tc>
      </w:tr>
      <w:tr w:rsidR="00B75EAE" w:rsidRPr="00B45B4F" w:rsidTr="00094703">
        <w:trPr>
          <w:tblCellSpacing w:w="11" w:type="dxa"/>
        </w:trPr>
        <w:tc>
          <w:tcPr>
            <w:tcW w:w="5097" w:type="dxa"/>
            <w:shd w:val="clear" w:color="auto" w:fill="F2F2F2" w:themeFill="background1" w:themeFillShade="F2"/>
          </w:tcPr>
          <w:p w:rsidR="00B75EAE" w:rsidRPr="00EB2718" w:rsidRDefault="00B75EAE" w:rsidP="00B75EAE">
            <w:pPr>
              <w:pStyle w:val="BodyText"/>
              <w:spacing w:before="120" w:line="276" w:lineRule="auto"/>
              <w:jc w:val="both"/>
              <w:rPr>
                <w:rFonts w:ascii="Verdana" w:hAnsi="Verdana"/>
                <w:sz w:val="20"/>
                <w:szCs w:val="20"/>
              </w:rPr>
            </w:pPr>
            <w:r w:rsidRPr="00EB2718">
              <w:rPr>
                <w:rFonts w:ascii="Verdana" w:hAnsi="Verdana"/>
                <w:sz w:val="20"/>
                <w:szCs w:val="20"/>
              </w:rPr>
              <w:lastRenderedPageBreak/>
              <w:t>Изграждане на модерна защитена образователна среда в училищата, базирана на съвременни ИКТ за образованието</w:t>
            </w:r>
            <w:r w:rsidR="008C2BE4" w:rsidRPr="00EB2718">
              <w:rPr>
                <w:rFonts w:ascii="Verdana" w:hAnsi="Verdana"/>
                <w:sz w:val="20"/>
                <w:szCs w:val="20"/>
              </w:rPr>
              <w:t>.</w:t>
            </w:r>
          </w:p>
        </w:tc>
        <w:tc>
          <w:tcPr>
            <w:tcW w:w="3927" w:type="dxa"/>
            <w:gridSpan w:val="2"/>
            <w:shd w:val="clear" w:color="auto" w:fill="F2F2F2" w:themeFill="background1" w:themeFillShade="F2"/>
          </w:tcPr>
          <w:p w:rsidR="00B75EAE" w:rsidRPr="00EB2718" w:rsidRDefault="0088452F" w:rsidP="00B75EAE">
            <w:pPr>
              <w:pStyle w:val="BodyText"/>
              <w:spacing w:before="120" w:line="276" w:lineRule="auto"/>
              <w:jc w:val="both"/>
              <w:rPr>
                <w:rFonts w:ascii="Verdana" w:hAnsi="Verdana"/>
                <w:sz w:val="20"/>
                <w:szCs w:val="20"/>
              </w:rPr>
            </w:pPr>
            <w:r w:rsidRPr="00EB2718">
              <w:rPr>
                <w:rFonts w:ascii="Verdana" w:hAnsi="Verdana"/>
                <w:sz w:val="20"/>
                <w:szCs w:val="20"/>
              </w:rPr>
              <w:t>Дейността е адекватна и ще способства за подобряване качеството на образованието и задържане</w:t>
            </w:r>
            <w:r w:rsidR="00A02878" w:rsidRPr="00EB2718">
              <w:rPr>
                <w:rFonts w:ascii="Verdana" w:hAnsi="Verdana"/>
                <w:sz w:val="20"/>
                <w:szCs w:val="20"/>
              </w:rPr>
              <w:t>то</w:t>
            </w:r>
            <w:r w:rsidRPr="00EB2718">
              <w:rPr>
                <w:rFonts w:ascii="Verdana" w:hAnsi="Verdana"/>
                <w:sz w:val="20"/>
                <w:szCs w:val="20"/>
              </w:rPr>
              <w:t xml:space="preserve"> на учениците в училище.</w:t>
            </w:r>
          </w:p>
        </w:tc>
      </w:tr>
      <w:tr w:rsidR="00B75EAE" w:rsidRPr="00B45B4F" w:rsidTr="00094703">
        <w:trPr>
          <w:tblCellSpacing w:w="11" w:type="dxa"/>
        </w:trPr>
        <w:tc>
          <w:tcPr>
            <w:tcW w:w="5097" w:type="dxa"/>
            <w:shd w:val="clear" w:color="auto" w:fill="C6D9F1" w:themeFill="text2" w:themeFillTint="33"/>
          </w:tcPr>
          <w:p w:rsidR="00B75EAE" w:rsidRPr="00FB3AF7" w:rsidRDefault="00B75EAE" w:rsidP="00B75EAE">
            <w:pPr>
              <w:pStyle w:val="BodyText"/>
              <w:spacing w:before="120" w:line="276" w:lineRule="auto"/>
              <w:jc w:val="both"/>
              <w:rPr>
                <w:rFonts w:ascii="Verdana" w:hAnsi="Verdana"/>
                <w:sz w:val="20"/>
                <w:szCs w:val="20"/>
              </w:rPr>
            </w:pPr>
            <w:r w:rsidRPr="00065C14">
              <w:rPr>
                <w:rFonts w:ascii="Verdana" w:hAnsi="Verdana"/>
                <w:sz w:val="20"/>
                <w:szCs w:val="20"/>
              </w:rPr>
              <w:t xml:space="preserve">Осигуряване на ИКТ средства за онагледяване/представяне на учебния материал </w:t>
            </w:r>
            <w:r w:rsidRPr="00B57A71">
              <w:rPr>
                <w:rFonts w:ascii="Verdana" w:hAnsi="Verdana"/>
                <w:sz w:val="20"/>
                <w:szCs w:val="20"/>
              </w:rPr>
              <w:t>в кабинетите с общо предназначение и за обезпечаване на специализираните кабинети (физика, химия и др.), както и внедряване на интелигентни интерактивни системи за общуване с родители и общество;</w:t>
            </w:r>
          </w:p>
        </w:tc>
        <w:tc>
          <w:tcPr>
            <w:tcW w:w="3927" w:type="dxa"/>
            <w:gridSpan w:val="2"/>
            <w:shd w:val="clear" w:color="auto" w:fill="C6D9F1" w:themeFill="text2" w:themeFillTint="33"/>
          </w:tcPr>
          <w:p w:rsidR="00B75EAE" w:rsidRPr="00EB2718" w:rsidRDefault="0088452F" w:rsidP="00B75EAE">
            <w:pPr>
              <w:pStyle w:val="BodyText"/>
              <w:spacing w:before="120" w:line="276" w:lineRule="auto"/>
              <w:jc w:val="both"/>
              <w:rPr>
                <w:rFonts w:ascii="Verdana" w:hAnsi="Verdana"/>
                <w:sz w:val="20"/>
                <w:szCs w:val="20"/>
              </w:rPr>
            </w:pPr>
            <w:r w:rsidRPr="00EB2718">
              <w:rPr>
                <w:rFonts w:ascii="Verdana" w:hAnsi="Verdana"/>
                <w:sz w:val="20"/>
                <w:szCs w:val="20"/>
              </w:rPr>
              <w:t>Дейността ще способства за подобряване качеството на образованието, комуникацията с родителите и въвличането им в образователния процес  и задържане на учениците в училище.</w:t>
            </w:r>
          </w:p>
        </w:tc>
      </w:tr>
      <w:tr w:rsidR="00B75EAE" w:rsidRPr="00B45B4F" w:rsidTr="00094703">
        <w:trPr>
          <w:tblCellSpacing w:w="11" w:type="dxa"/>
        </w:trPr>
        <w:tc>
          <w:tcPr>
            <w:tcW w:w="5097" w:type="dxa"/>
            <w:shd w:val="clear" w:color="auto" w:fill="F2F2F2" w:themeFill="background1" w:themeFillShade="F2"/>
          </w:tcPr>
          <w:p w:rsidR="00B75EAE" w:rsidRPr="00FB3AF7" w:rsidRDefault="00B75EAE" w:rsidP="00B75EAE">
            <w:pPr>
              <w:pStyle w:val="BodyText"/>
              <w:spacing w:before="120" w:line="276" w:lineRule="auto"/>
              <w:jc w:val="both"/>
              <w:rPr>
                <w:rFonts w:ascii="Verdana" w:hAnsi="Verdana"/>
                <w:sz w:val="20"/>
                <w:szCs w:val="20"/>
              </w:rPr>
            </w:pPr>
            <w:r w:rsidRPr="00065C14">
              <w:rPr>
                <w:rFonts w:ascii="Verdana" w:hAnsi="Verdana"/>
                <w:sz w:val="20"/>
                <w:szCs w:val="20"/>
              </w:rPr>
              <w:t xml:space="preserve">Изграждане на модерна сигурна, гъвкава и скалируема облачна среда за общи и специфични ИКТ образователни услуги и съдържание и осигуряване на </w:t>
            </w:r>
            <w:r w:rsidRPr="00B57A71">
              <w:rPr>
                <w:rFonts w:ascii="Verdana" w:hAnsi="Verdana"/>
                <w:sz w:val="20"/>
                <w:szCs w:val="20"/>
              </w:rPr>
              <w:t>надежден комуникационен достъп до нея на потребителите от сферата на образованието и науката.</w:t>
            </w:r>
          </w:p>
        </w:tc>
        <w:tc>
          <w:tcPr>
            <w:tcW w:w="3927" w:type="dxa"/>
            <w:gridSpan w:val="2"/>
            <w:shd w:val="clear" w:color="auto" w:fill="F2F2F2" w:themeFill="background1" w:themeFillShade="F2"/>
          </w:tcPr>
          <w:p w:rsidR="00B75EAE" w:rsidRPr="00EB2718" w:rsidRDefault="00A96A0C" w:rsidP="00A02878">
            <w:pPr>
              <w:pStyle w:val="BodyText"/>
              <w:spacing w:before="120" w:line="276" w:lineRule="auto"/>
              <w:jc w:val="both"/>
              <w:rPr>
                <w:rFonts w:ascii="Verdana" w:hAnsi="Verdana"/>
                <w:sz w:val="20"/>
                <w:szCs w:val="20"/>
              </w:rPr>
            </w:pPr>
            <w:r w:rsidRPr="00EB2718">
              <w:rPr>
                <w:rFonts w:ascii="Verdana" w:hAnsi="Verdana"/>
                <w:sz w:val="20"/>
                <w:szCs w:val="20"/>
              </w:rPr>
              <w:t xml:space="preserve">Дейността ще способства за подобряване </w:t>
            </w:r>
            <w:r w:rsidR="00A02878" w:rsidRPr="00EB2718">
              <w:rPr>
                <w:rFonts w:ascii="Verdana" w:hAnsi="Verdana"/>
                <w:sz w:val="20"/>
                <w:szCs w:val="20"/>
              </w:rPr>
              <w:t xml:space="preserve">на </w:t>
            </w:r>
            <w:r w:rsidRPr="00EB2718">
              <w:rPr>
                <w:rFonts w:ascii="Verdana" w:hAnsi="Verdana"/>
                <w:sz w:val="20"/>
                <w:szCs w:val="20"/>
              </w:rPr>
              <w:t xml:space="preserve">управлението </w:t>
            </w:r>
            <w:r w:rsidR="00A02878" w:rsidRPr="00EB2718">
              <w:rPr>
                <w:rFonts w:ascii="Verdana" w:hAnsi="Verdana"/>
                <w:sz w:val="20"/>
                <w:szCs w:val="20"/>
              </w:rPr>
              <w:t xml:space="preserve">в областта </w:t>
            </w:r>
            <w:r w:rsidRPr="00EB2718">
              <w:rPr>
                <w:rFonts w:ascii="Verdana" w:hAnsi="Verdana"/>
                <w:sz w:val="20"/>
                <w:szCs w:val="20"/>
              </w:rPr>
              <w:t>на образованието.</w:t>
            </w:r>
          </w:p>
        </w:tc>
      </w:tr>
      <w:tr w:rsidR="00B75EAE" w:rsidRPr="00B45B4F" w:rsidTr="00094703">
        <w:trPr>
          <w:tblCellSpacing w:w="11" w:type="dxa"/>
        </w:trPr>
        <w:tc>
          <w:tcPr>
            <w:tcW w:w="5097" w:type="dxa"/>
            <w:shd w:val="clear" w:color="auto" w:fill="C6D9F1" w:themeFill="text2" w:themeFillTint="33"/>
          </w:tcPr>
          <w:p w:rsidR="00B75EAE" w:rsidRPr="00FB3AF7" w:rsidRDefault="00B75EAE" w:rsidP="00A96A0C">
            <w:pPr>
              <w:pStyle w:val="BodyText"/>
              <w:spacing w:before="120" w:line="276" w:lineRule="auto"/>
              <w:jc w:val="both"/>
              <w:rPr>
                <w:rFonts w:ascii="Verdana" w:hAnsi="Verdana"/>
                <w:sz w:val="20"/>
                <w:szCs w:val="20"/>
              </w:rPr>
            </w:pPr>
            <w:r w:rsidRPr="00065C14">
              <w:rPr>
                <w:rFonts w:ascii="Verdana" w:hAnsi="Verdana"/>
                <w:sz w:val="20"/>
                <w:szCs w:val="20"/>
              </w:rPr>
              <w:t>Модернизиране на учебния процес чрез внедряване на ИКТ решения за преподаване</w:t>
            </w:r>
            <w:r w:rsidRPr="00B57A71">
              <w:rPr>
                <w:rFonts w:ascii="Verdana" w:hAnsi="Verdana"/>
                <w:sz w:val="20"/>
                <w:szCs w:val="20"/>
              </w:rPr>
              <w:t xml:space="preserve"> и учене от разстояние, осигуряване на специализирано оборудване за онлайн сътрудничество и съвместни проекти между институти/висши училища/училища и др.;</w:t>
            </w:r>
          </w:p>
        </w:tc>
        <w:tc>
          <w:tcPr>
            <w:tcW w:w="3927" w:type="dxa"/>
            <w:gridSpan w:val="2"/>
            <w:shd w:val="clear" w:color="auto" w:fill="C6D9F1" w:themeFill="text2" w:themeFillTint="33"/>
          </w:tcPr>
          <w:p w:rsidR="00B75EAE" w:rsidRPr="00EB2718" w:rsidRDefault="00A96A0C" w:rsidP="008C2BE4">
            <w:pPr>
              <w:pStyle w:val="BodyText"/>
              <w:spacing w:before="120" w:line="276" w:lineRule="auto"/>
              <w:jc w:val="both"/>
              <w:rPr>
                <w:rFonts w:ascii="Verdana" w:hAnsi="Verdana"/>
                <w:sz w:val="20"/>
                <w:szCs w:val="20"/>
              </w:rPr>
            </w:pPr>
            <w:r w:rsidRPr="00EB2718">
              <w:rPr>
                <w:rFonts w:ascii="Verdana" w:hAnsi="Verdana"/>
                <w:sz w:val="20"/>
                <w:szCs w:val="20"/>
              </w:rPr>
              <w:t>Дейността ще способства за подобряване на качеството на образованието</w:t>
            </w:r>
            <w:r w:rsidR="00846235" w:rsidRPr="00EB2718">
              <w:rPr>
                <w:rFonts w:ascii="Verdana" w:hAnsi="Verdana"/>
                <w:sz w:val="20"/>
                <w:szCs w:val="20"/>
              </w:rPr>
              <w:t>, подобряване достъпа до образование</w:t>
            </w:r>
            <w:r w:rsidRPr="00EB2718">
              <w:rPr>
                <w:rFonts w:ascii="Verdana" w:hAnsi="Verdana"/>
                <w:sz w:val="20"/>
                <w:szCs w:val="20"/>
              </w:rPr>
              <w:t xml:space="preserve"> и кариерно ориентиране на по-големите ученици</w:t>
            </w:r>
            <w:r w:rsidR="008C2BE4" w:rsidRPr="00EB2718">
              <w:rPr>
                <w:rFonts w:ascii="Verdana" w:hAnsi="Verdana"/>
                <w:sz w:val="20"/>
                <w:szCs w:val="20"/>
              </w:rPr>
              <w:t>. Също така</w:t>
            </w:r>
            <w:r w:rsidR="00A02878" w:rsidRPr="00EB2718">
              <w:rPr>
                <w:rFonts w:ascii="Verdana" w:hAnsi="Verdana"/>
                <w:sz w:val="20"/>
                <w:szCs w:val="20"/>
              </w:rPr>
              <w:t>, дейността ще допринесе за по</w:t>
            </w:r>
            <w:r w:rsidR="008C2BE4" w:rsidRPr="00EB2718">
              <w:rPr>
                <w:rFonts w:ascii="Verdana" w:hAnsi="Verdana"/>
                <w:sz w:val="20"/>
                <w:szCs w:val="20"/>
              </w:rPr>
              <w:t xml:space="preserve">добряване на сътрудничеството между образованието и науката. </w:t>
            </w:r>
          </w:p>
        </w:tc>
      </w:tr>
      <w:tr w:rsidR="00A96A0C" w:rsidRPr="00B45B4F" w:rsidTr="00094703">
        <w:trPr>
          <w:tblCellSpacing w:w="11" w:type="dxa"/>
        </w:trPr>
        <w:tc>
          <w:tcPr>
            <w:tcW w:w="5097" w:type="dxa"/>
            <w:shd w:val="clear" w:color="auto" w:fill="F2F2F2" w:themeFill="background1" w:themeFillShade="F2"/>
          </w:tcPr>
          <w:p w:rsidR="00A96A0C" w:rsidRPr="00FB3AF7" w:rsidRDefault="00A96A0C" w:rsidP="00B75EAE">
            <w:pPr>
              <w:pStyle w:val="BodyText"/>
              <w:spacing w:before="120" w:line="276" w:lineRule="auto"/>
              <w:jc w:val="both"/>
              <w:rPr>
                <w:rFonts w:ascii="Verdana" w:hAnsi="Verdana"/>
                <w:sz w:val="20"/>
                <w:szCs w:val="20"/>
              </w:rPr>
            </w:pPr>
            <w:r w:rsidRPr="00065C14">
              <w:rPr>
                <w:rFonts w:ascii="Verdana" w:hAnsi="Verdana"/>
                <w:sz w:val="20"/>
                <w:szCs w:val="20"/>
              </w:rPr>
              <w:t xml:space="preserve">Подобряване на управлението на </w:t>
            </w:r>
            <w:r w:rsidRPr="00065C14">
              <w:rPr>
                <w:rFonts w:ascii="Verdana" w:hAnsi="Verdana"/>
                <w:sz w:val="20"/>
                <w:szCs w:val="20"/>
              </w:rPr>
              <w:lastRenderedPageBreak/>
              <w:t>институциите и процесите в системата на предучилищното и училищното обр</w:t>
            </w:r>
            <w:r w:rsidRPr="00B57A71">
              <w:rPr>
                <w:rFonts w:ascii="Verdana" w:hAnsi="Verdana"/>
                <w:sz w:val="20"/>
                <w:szCs w:val="20"/>
              </w:rPr>
              <w:t>азование, включително в областта на инспектирането</w:t>
            </w:r>
            <w:r w:rsidRPr="00FB3AF7">
              <w:rPr>
                <w:rFonts w:ascii="Verdana" w:hAnsi="Verdana"/>
                <w:sz w:val="20"/>
                <w:szCs w:val="20"/>
              </w:rPr>
              <w:t>;</w:t>
            </w:r>
          </w:p>
        </w:tc>
        <w:tc>
          <w:tcPr>
            <w:tcW w:w="3927" w:type="dxa"/>
            <w:gridSpan w:val="2"/>
            <w:shd w:val="clear" w:color="auto" w:fill="F2F2F2" w:themeFill="background1" w:themeFillShade="F2"/>
          </w:tcPr>
          <w:p w:rsidR="00A96A0C" w:rsidRPr="00B45B4F" w:rsidRDefault="00A96A0C" w:rsidP="00A02878">
            <w:pPr>
              <w:pStyle w:val="BodyText"/>
              <w:spacing w:before="120" w:line="276" w:lineRule="auto"/>
              <w:jc w:val="both"/>
              <w:rPr>
                <w:rFonts w:ascii="Verdana" w:hAnsi="Verdana"/>
                <w:sz w:val="20"/>
                <w:szCs w:val="20"/>
              </w:rPr>
            </w:pPr>
            <w:r w:rsidRPr="00B45B4F">
              <w:rPr>
                <w:rFonts w:ascii="Verdana" w:hAnsi="Verdana"/>
                <w:sz w:val="20"/>
                <w:szCs w:val="20"/>
              </w:rPr>
              <w:lastRenderedPageBreak/>
              <w:t xml:space="preserve">Дейността ще способства за </w:t>
            </w:r>
            <w:r w:rsidRPr="00B45B4F">
              <w:rPr>
                <w:rFonts w:ascii="Verdana" w:hAnsi="Verdana"/>
                <w:sz w:val="20"/>
                <w:szCs w:val="20"/>
              </w:rPr>
              <w:lastRenderedPageBreak/>
              <w:t xml:space="preserve">подобряване </w:t>
            </w:r>
            <w:r w:rsidR="00A02878" w:rsidRPr="00B45B4F">
              <w:rPr>
                <w:rFonts w:ascii="Verdana" w:hAnsi="Verdana"/>
                <w:sz w:val="20"/>
                <w:szCs w:val="20"/>
              </w:rPr>
              <w:t xml:space="preserve">на </w:t>
            </w:r>
            <w:r w:rsidRPr="00B45B4F">
              <w:rPr>
                <w:rFonts w:ascii="Verdana" w:hAnsi="Verdana"/>
                <w:sz w:val="20"/>
                <w:szCs w:val="20"/>
              </w:rPr>
              <w:t xml:space="preserve">управлението </w:t>
            </w:r>
            <w:r w:rsidR="00A02878" w:rsidRPr="00B45B4F">
              <w:rPr>
                <w:rFonts w:ascii="Verdana" w:hAnsi="Verdana"/>
                <w:sz w:val="20"/>
                <w:szCs w:val="20"/>
              </w:rPr>
              <w:t xml:space="preserve">в областта </w:t>
            </w:r>
            <w:r w:rsidRPr="00B45B4F">
              <w:rPr>
                <w:rFonts w:ascii="Verdana" w:hAnsi="Verdana"/>
                <w:sz w:val="20"/>
                <w:szCs w:val="20"/>
              </w:rPr>
              <w:t>на образованието.</w:t>
            </w:r>
          </w:p>
        </w:tc>
      </w:tr>
      <w:tr w:rsidR="00B75EAE" w:rsidRPr="00B45B4F" w:rsidTr="00094703">
        <w:trPr>
          <w:tblCellSpacing w:w="11" w:type="dxa"/>
        </w:trPr>
        <w:tc>
          <w:tcPr>
            <w:tcW w:w="5097" w:type="dxa"/>
            <w:shd w:val="clear" w:color="auto" w:fill="C6D9F1" w:themeFill="text2" w:themeFillTint="33"/>
          </w:tcPr>
          <w:p w:rsidR="00B75EAE" w:rsidRPr="00B57A71" w:rsidRDefault="00B75EAE" w:rsidP="00065C14">
            <w:pPr>
              <w:pStyle w:val="BodyText"/>
              <w:spacing w:before="120" w:line="276" w:lineRule="auto"/>
              <w:jc w:val="both"/>
              <w:rPr>
                <w:rFonts w:ascii="Verdana" w:hAnsi="Verdana"/>
                <w:sz w:val="20"/>
                <w:szCs w:val="20"/>
              </w:rPr>
            </w:pPr>
            <w:r w:rsidRPr="00065C14">
              <w:rPr>
                <w:rFonts w:ascii="Verdana" w:hAnsi="Verdana"/>
                <w:sz w:val="20"/>
                <w:szCs w:val="20"/>
              </w:rPr>
              <w:lastRenderedPageBreak/>
              <w:t>Разработване на стандарти за гарантиране на качеството на предучилищното образование с участието на всички заинтересова</w:t>
            </w:r>
            <w:r w:rsidRPr="00B57A71">
              <w:rPr>
                <w:rFonts w:ascii="Verdana" w:hAnsi="Verdana"/>
                <w:sz w:val="20"/>
                <w:szCs w:val="20"/>
              </w:rPr>
              <w:t xml:space="preserve">ни страни (включително </w:t>
            </w:r>
            <w:r w:rsidR="00740F6D">
              <w:rPr>
                <w:rFonts w:ascii="Verdana" w:hAnsi="Verdana"/>
                <w:sz w:val="20"/>
                <w:szCs w:val="20"/>
              </w:rPr>
              <w:t>родителите</w:t>
            </w:r>
            <w:r w:rsidRPr="00065C14">
              <w:rPr>
                <w:rFonts w:ascii="Verdana" w:hAnsi="Verdana"/>
                <w:sz w:val="20"/>
                <w:szCs w:val="20"/>
              </w:rPr>
              <w:t>) и разработване на подходящи за развитието на децата програми и учебно съдържание, които благоприятстват придобиването както на когнитивни, така и на некогнитивни умения;</w:t>
            </w:r>
          </w:p>
        </w:tc>
        <w:tc>
          <w:tcPr>
            <w:tcW w:w="3927" w:type="dxa"/>
            <w:gridSpan w:val="2"/>
            <w:shd w:val="clear" w:color="auto" w:fill="C6D9F1" w:themeFill="text2" w:themeFillTint="33"/>
          </w:tcPr>
          <w:p w:rsidR="00B75EAE" w:rsidRPr="00B45B4F" w:rsidRDefault="00A96A0C" w:rsidP="001A183C">
            <w:pPr>
              <w:pStyle w:val="BodyText"/>
              <w:spacing w:before="120" w:line="276" w:lineRule="auto"/>
              <w:jc w:val="both"/>
              <w:rPr>
                <w:rFonts w:ascii="Verdana" w:hAnsi="Verdana"/>
                <w:sz w:val="20"/>
                <w:szCs w:val="20"/>
              </w:rPr>
            </w:pPr>
            <w:r w:rsidRPr="00B45B4F">
              <w:rPr>
                <w:rFonts w:ascii="Verdana" w:hAnsi="Verdana"/>
                <w:sz w:val="20"/>
                <w:szCs w:val="20"/>
              </w:rPr>
              <w:t>В обосновката е посочено, че са в процес на разработване</w:t>
            </w:r>
            <w:r w:rsidR="00846235" w:rsidRPr="00B45B4F">
              <w:rPr>
                <w:rFonts w:ascii="Verdana" w:hAnsi="Verdana"/>
                <w:sz w:val="20"/>
                <w:szCs w:val="20"/>
              </w:rPr>
              <w:t xml:space="preserve">: </w:t>
            </w:r>
            <w:r w:rsidR="00E8510D" w:rsidRPr="00B45B4F">
              <w:rPr>
                <w:rFonts w:ascii="Verdana" w:hAnsi="Verdana"/>
                <w:sz w:val="20"/>
                <w:szCs w:val="20"/>
              </w:rPr>
              <w:t>(</w:t>
            </w:r>
            <w:r w:rsidR="00846235" w:rsidRPr="00B45B4F">
              <w:rPr>
                <w:rFonts w:ascii="Verdana" w:hAnsi="Verdana"/>
                <w:sz w:val="20"/>
                <w:szCs w:val="20"/>
              </w:rPr>
              <w:t>1)</w:t>
            </w:r>
            <w:r w:rsidRPr="00B45B4F">
              <w:rPr>
                <w:rFonts w:ascii="Verdana" w:hAnsi="Verdana"/>
                <w:sz w:val="20"/>
                <w:szCs w:val="20"/>
              </w:rPr>
              <w:t xml:space="preserve"> стандарт за инспектиране на институциите в системата на предучилищното и училищното образование, </w:t>
            </w:r>
            <w:r w:rsidR="00E8510D" w:rsidRPr="00B45B4F">
              <w:rPr>
                <w:rFonts w:ascii="Verdana" w:hAnsi="Verdana"/>
                <w:sz w:val="20"/>
                <w:szCs w:val="20"/>
              </w:rPr>
              <w:t>(</w:t>
            </w:r>
            <w:r w:rsidR="00846235" w:rsidRPr="00B45B4F">
              <w:rPr>
                <w:rFonts w:ascii="Verdana" w:hAnsi="Verdana"/>
                <w:sz w:val="20"/>
                <w:szCs w:val="20"/>
              </w:rPr>
              <w:t xml:space="preserve">2) </w:t>
            </w:r>
            <w:r w:rsidRPr="00B45B4F">
              <w:rPr>
                <w:rFonts w:ascii="Verdana" w:hAnsi="Verdana"/>
                <w:sz w:val="20"/>
                <w:szCs w:val="20"/>
              </w:rPr>
              <w:t xml:space="preserve">стандарт за организационно развитие и управление на качеството, както и </w:t>
            </w:r>
            <w:r w:rsidR="00E8510D" w:rsidRPr="00B45B4F">
              <w:rPr>
                <w:rFonts w:ascii="Verdana" w:hAnsi="Verdana"/>
                <w:sz w:val="20"/>
                <w:szCs w:val="20"/>
              </w:rPr>
              <w:t>(</w:t>
            </w:r>
            <w:r w:rsidR="00846235" w:rsidRPr="00B45B4F">
              <w:rPr>
                <w:rFonts w:ascii="Verdana" w:hAnsi="Verdana"/>
                <w:sz w:val="20"/>
                <w:szCs w:val="20"/>
              </w:rPr>
              <w:t xml:space="preserve">3) </w:t>
            </w:r>
            <w:r w:rsidRPr="00B45B4F">
              <w:rPr>
                <w:rFonts w:ascii="Verdana" w:hAnsi="Verdana"/>
                <w:sz w:val="20"/>
                <w:szCs w:val="20"/>
              </w:rPr>
              <w:t xml:space="preserve">индикатори за ефективност на образованието. Не е ясно доколко предложените в дейността стандарти са по-различни от тези, които се разработват в момента. </w:t>
            </w:r>
          </w:p>
        </w:tc>
      </w:tr>
      <w:tr w:rsidR="00B75EAE" w:rsidRPr="00B45B4F" w:rsidTr="00094703">
        <w:trPr>
          <w:tblCellSpacing w:w="11" w:type="dxa"/>
        </w:trPr>
        <w:tc>
          <w:tcPr>
            <w:tcW w:w="5097" w:type="dxa"/>
            <w:shd w:val="clear" w:color="auto" w:fill="F2F2F2" w:themeFill="background1" w:themeFillShade="F2"/>
          </w:tcPr>
          <w:p w:rsidR="00B75EAE" w:rsidRPr="00EB2718" w:rsidRDefault="00B75EAE" w:rsidP="00B75EAE">
            <w:pPr>
              <w:pStyle w:val="BodyText"/>
              <w:spacing w:before="120" w:line="276" w:lineRule="auto"/>
              <w:jc w:val="both"/>
              <w:rPr>
                <w:rFonts w:ascii="Verdana" w:hAnsi="Verdana"/>
                <w:sz w:val="20"/>
                <w:szCs w:val="20"/>
              </w:rPr>
            </w:pPr>
            <w:r w:rsidRPr="00FB3AF7">
              <w:rPr>
                <w:rFonts w:ascii="Verdana" w:hAnsi="Verdana"/>
                <w:sz w:val="20"/>
                <w:szCs w:val="20"/>
              </w:rPr>
              <w:t>Внедряване, прилагане и оценка на ефективността от стандартизирана диагностика за училищната готовност;</w:t>
            </w:r>
          </w:p>
        </w:tc>
        <w:tc>
          <w:tcPr>
            <w:tcW w:w="3927" w:type="dxa"/>
            <w:gridSpan w:val="2"/>
            <w:shd w:val="clear" w:color="auto" w:fill="F2F2F2" w:themeFill="background1" w:themeFillShade="F2"/>
          </w:tcPr>
          <w:p w:rsidR="00B75EAE" w:rsidRPr="00B45B4F" w:rsidRDefault="001A183C" w:rsidP="00B75EAE">
            <w:pPr>
              <w:pStyle w:val="BodyText"/>
              <w:spacing w:before="120" w:line="276" w:lineRule="auto"/>
              <w:jc w:val="both"/>
              <w:rPr>
                <w:rFonts w:ascii="Verdana" w:hAnsi="Verdana"/>
                <w:sz w:val="20"/>
                <w:szCs w:val="20"/>
              </w:rPr>
            </w:pPr>
            <w:r w:rsidRPr="00B45B4F">
              <w:rPr>
                <w:rFonts w:ascii="Verdana" w:hAnsi="Verdana"/>
                <w:sz w:val="20"/>
                <w:szCs w:val="20"/>
              </w:rPr>
              <w:t>Дейността ще способства постигането на СЦ3.</w:t>
            </w:r>
          </w:p>
        </w:tc>
      </w:tr>
      <w:tr w:rsidR="00B75EAE" w:rsidRPr="00B45B4F" w:rsidTr="00094703">
        <w:trPr>
          <w:tblCellSpacing w:w="11" w:type="dxa"/>
        </w:trPr>
        <w:tc>
          <w:tcPr>
            <w:tcW w:w="5097" w:type="dxa"/>
            <w:shd w:val="clear" w:color="auto" w:fill="C6D9F1" w:themeFill="text2" w:themeFillTint="33"/>
          </w:tcPr>
          <w:p w:rsidR="00B75EAE" w:rsidRPr="00EB2718" w:rsidRDefault="00B75EAE" w:rsidP="00065C14">
            <w:pPr>
              <w:pStyle w:val="BodyText"/>
              <w:spacing w:before="120" w:line="276" w:lineRule="auto"/>
              <w:jc w:val="both"/>
              <w:rPr>
                <w:rFonts w:ascii="Verdana" w:hAnsi="Verdana"/>
                <w:sz w:val="20"/>
                <w:szCs w:val="20"/>
              </w:rPr>
            </w:pPr>
            <w:r w:rsidRPr="00065C14">
              <w:rPr>
                <w:rFonts w:ascii="Verdana" w:hAnsi="Verdana"/>
                <w:sz w:val="20"/>
                <w:szCs w:val="20"/>
              </w:rPr>
              <w:t>Осигуряване на условия за целодневна организация на учебния ден в училищата</w:t>
            </w:r>
            <w:r w:rsidR="00EB2718" w:rsidRPr="00FB3AF7">
              <w:rPr>
                <w:rFonts w:ascii="Verdana" w:hAnsi="Verdana"/>
                <w:sz w:val="20"/>
                <w:szCs w:val="20"/>
              </w:rPr>
              <w:t>.</w:t>
            </w:r>
          </w:p>
        </w:tc>
        <w:tc>
          <w:tcPr>
            <w:tcW w:w="3927" w:type="dxa"/>
            <w:gridSpan w:val="2"/>
            <w:shd w:val="clear" w:color="auto" w:fill="C6D9F1" w:themeFill="text2" w:themeFillTint="33"/>
          </w:tcPr>
          <w:p w:rsidR="00B75EAE" w:rsidRPr="00B45B4F" w:rsidRDefault="001A183C" w:rsidP="00E8510D">
            <w:pPr>
              <w:pStyle w:val="BodyText"/>
              <w:spacing w:before="120" w:line="276" w:lineRule="auto"/>
              <w:jc w:val="both"/>
              <w:rPr>
                <w:rFonts w:ascii="Verdana" w:hAnsi="Verdana"/>
                <w:sz w:val="20"/>
                <w:szCs w:val="20"/>
              </w:rPr>
            </w:pPr>
            <w:r w:rsidRPr="00B45B4F">
              <w:rPr>
                <w:rFonts w:ascii="Verdana" w:hAnsi="Verdana"/>
                <w:sz w:val="20"/>
                <w:szCs w:val="20"/>
              </w:rPr>
              <w:t xml:space="preserve">Дейността </w:t>
            </w:r>
            <w:r w:rsidR="00846235" w:rsidRPr="00B45B4F">
              <w:rPr>
                <w:rFonts w:ascii="Verdana" w:hAnsi="Verdana"/>
                <w:sz w:val="20"/>
                <w:szCs w:val="20"/>
              </w:rPr>
              <w:t xml:space="preserve">е </w:t>
            </w:r>
            <w:r w:rsidR="00E8510D" w:rsidRPr="00B45B4F">
              <w:rPr>
                <w:rFonts w:ascii="Verdana" w:hAnsi="Verdana"/>
                <w:sz w:val="20"/>
                <w:szCs w:val="20"/>
              </w:rPr>
              <w:t>особено</w:t>
            </w:r>
            <w:r w:rsidR="00846235" w:rsidRPr="00B45B4F">
              <w:rPr>
                <w:rFonts w:ascii="Verdana" w:hAnsi="Verdana"/>
                <w:sz w:val="20"/>
                <w:szCs w:val="20"/>
              </w:rPr>
              <w:t xml:space="preserve"> важна с оглед на реформите в образованието и осигуряването на възможност на родителите за целодневна трудова заетост, но </w:t>
            </w:r>
            <w:r w:rsidRPr="00B45B4F">
              <w:rPr>
                <w:rFonts w:ascii="Verdana" w:hAnsi="Verdana"/>
                <w:sz w:val="20"/>
                <w:szCs w:val="20"/>
              </w:rPr>
              <w:t xml:space="preserve">няма пряка връзка </w:t>
            </w:r>
            <w:r w:rsidR="00846235" w:rsidRPr="00B45B4F">
              <w:rPr>
                <w:rFonts w:ascii="Verdana" w:hAnsi="Verdana"/>
                <w:sz w:val="20"/>
                <w:szCs w:val="20"/>
              </w:rPr>
              <w:t xml:space="preserve">с </w:t>
            </w:r>
            <w:r w:rsidRPr="00B45B4F">
              <w:rPr>
                <w:rFonts w:ascii="Verdana" w:hAnsi="Verdana"/>
                <w:sz w:val="20"/>
                <w:szCs w:val="20"/>
              </w:rPr>
              <w:t xml:space="preserve">поставените специфични цели. </w:t>
            </w:r>
            <w:r w:rsidR="00846235" w:rsidRPr="00B45B4F">
              <w:rPr>
                <w:rFonts w:ascii="Verdana" w:hAnsi="Verdana"/>
                <w:sz w:val="20"/>
                <w:szCs w:val="20"/>
              </w:rPr>
              <w:t>Не е добре мотивирана в обосновката.</w:t>
            </w:r>
          </w:p>
        </w:tc>
      </w:tr>
      <w:tr w:rsidR="00B75EAE" w:rsidRPr="00B45B4F" w:rsidTr="00094703">
        <w:trPr>
          <w:tblCellSpacing w:w="11" w:type="dxa"/>
        </w:trPr>
        <w:tc>
          <w:tcPr>
            <w:tcW w:w="5097" w:type="dxa"/>
            <w:shd w:val="clear" w:color="auto" w:fill="F2F2F2" w:themeFill="background1" w:themeFillShade="F2"/>
          </w:tcPr>
          <w:p w:rsidR="00B75EAE" w:rsidRPr="00EB2718" w:rsidRDefault="00B75EAE" w:rsidP="0076200A">
            <w:pPr>
              <w:pStyle w:val="BodyText"/>
              <w:spacing w:before="120" w:line="276" w:lineRule="auto"/>
              <w:jc w:val="both"/>
              <w:rPr>
                <w:rFonts w:ascii="Verdana" w:hAnsi="Verdana"/>
                <w:sz w:val="20"/>
                <w:szCs w:val="20"/>
              </w:rPr>
            </w:pPr>
            <w:r w:rsidRPr="00EB2718">
              <w:rPr>
                <w:rFonts w:ascii="Verdana" w:hAnsi="Verdana"/>
                <w:sz w:val="20"/>
                <w:szCs w:val="20"/>
              </w:rPr>
              <w:t>Подкрепа на педагогическите иновации, които увеличат шансовете на децата и учениците за постигане на по-добри образователни резултати</w:t>
            </w:r>
            <w:r w:rsidR="00E8510D" w:rsidRPr="00EB2718">
              <w:rPr>
                <w:rFonts w:ascii="Verdana" w:hAnsi="Verdana"/>
                <w:sz w:val="20"/>
                <w:szCs w:val="20"/>
              </w:rPr>
              <w:t>;</w:t>
            </w:r>
          </w:p>
        </w:tc>
        <w:tc>
          <w:tcPr>
            <w:tcW w:w="3927" w:type="dxa"/>
            <w:gridSpan w:val="2"/>
            <w:shd w:val="clear" w:color="auto" w:fill="F2F2F2" w:themeFill="background1" w:themeFillShade="F2"/>
          </w:tcPr>
          <w:p w:rsidR="00B75EAE" w:rsidRPr="00B45B4F" w:rsidRDefault="0076200A" w:rsidP="00B75EAE">
            <w:pPr>
              <w:pStyle w:val="BodyText"/>
              <w:spacing w:before="120" w:line="276" w:lineRule="auto"/>
              <w:jc w:val="both"/>
              <w:rPr>
                <w:rFonts w:ascii="Verdana" w:hAnsi="Verdana"/>
                <w:sz w:val="20"/>
                <w:szCs w:val="20"/>
              </w:rPr>
            </w:pPr>
            <w:r w:rsidRPr="00B45B4F">
              <w:rPr>
                <w:rFonts w:ascii="Verdana" w:hAnsi="Verdana"/>
                <w:sz w:val="20"/>
                <w:szCs w:val="20"/>
              </w:rPr>
              <w:t>Ще допринесе за постигане на СЦ1.</w:t>
            </w:r>
          </w:p>
        </w:tc>
      </w:tr>
      <w:tr w:rsidR="00B75EAE" w:rsidRPr="00B45B4F" w:rsidTr="00094703">
        <w:trPr>
          <w:tblCellSpacing w:w="11" w:type="dxa"/>
        </w:trPr>
        <w:tc>
          <w:tcPr>
            <w:tcW w:w="5097" w:type="dxa"/>
            <w:shd w:val="clear" w:color="auto" w:fill="C6D9F1" w:themeFill="text2" w:themeFillTint="33"/>
          </w:tcPr>
          <w:p w:rsidR="00B75EAE" w:rsidRPr="00EB2718" w:rsidRDefault="00B75EAE" w:rsidP="00B75EAE">
            <w:pPr>
              <w:pStyle w:val="BodyText"/>
              <w:spacing w:before="120" w:line="276" w:lineRule="auto"/>
              <w:jc w:val="both"/>
              <w:rPr>
                <w:rFonts w:ascii="Verdana" w:hAnsi="Verdana"/>
                <w:sz w:val="20"/>
                <w:szCs w:val="20"/>
              </w:rPr>
            </w:pPr>
            <w:r w:rsidRPr="00065C14">
              <w:rPr>
                <w:rFonts w:ascii="Verdana" w:hAnsi="Verdana"/>
                <w:sz w:val="20"/>
                <w:szCs w:val="20"/>
              </w:rPr>
              <w:t>Осигуряване на възможности за обучение, съобразно с индивидуалните потребности на децата и учениците, стимулиране на инов</w:t>
            </w:r>
            <w:r w:rsidR="00E8510D" w:rsidRPr="00B57A71">
              <w:rPr>
                <w:rFonts w:ascii="Verdana" w:hAnsi="Verdana"/>
                <w:sz w:val="20"/>
                <w:szCs w:val="20"/>
              </w:rPr>
              <w:t>ативността и предприемачеството</w:t>
            </w:r>
            <w:r w:rsidR="00E8510D" w:rsidRPr="00FB3AF7">
              <w:rPr>
                <w:rFonts w:ascii="Verdana" w:hAnsi="Verdana"/>
                <w:sz w:val="20"/>
                <w:szCs w:val="20"/>
              </w:rPr>
              <w:t>;</w:t>
            </w:r>
          </w:p>
        </w:tc>
        <w:tc>
          <w:tcPr>
            <w:tcW w:w="3927" w:type="dxa"/>
            <w:gridSpan w:val="2"/>
            <w:shd w:val="clear" w:color="auto" w:fill="C6D9F1" w:themeFill="text2" w:themeFillTint="33"/>
          </w:tcPr>
          <w:p w:rsidR="00B75EAE" w:rsidRPr="00B45B4F" w:rsidRDefault="0076200A" w:rsidP="008768F9">
            <w:pPr>
              <w:pStyle w:val="BodyText"/>
              <w:spacing w:before="120" w:line="276" w:lineRule="auto"/>
              <w:jc w:val="both"/>
              <w:rPr>
                <w:rFonts w:ascii="Verdana" w:hAnsi="Verdana"/>
                <w:sz w:val="20"/>
                <w:szCs w:val="20"/>
              </w:rPr>
            </w:pPr>
            <w:r w:rsidRPr="00B45B4F">
              <w:rPr>
                <w:rFonts w:ascii="Verdana" w:hAnsi="Verdana"/>
                <w:sz w:val="20"/>
                <w:szCs w:val="20"/>
              </w:rPr>
              <w:t>Ще допринесе за постигане на СЦ1 и СЦ2.</w:t>
            </w:r>
            <w:r w:rsidR="000362F7" w:rsidRPr="00B45B4F">
              <w:rPr>
                <w:rFonts w:ascii="Verdana" w:hAnsi="Verdana"/>
                <w:sz w:val="20"/>
                <w:szCs w:val="20"/>
              </w:rPr>
              <w:t xml:space="preserve"> Дейности, в подкрепа на индивидуалните потребности на децата и учениците се подкрепят по ИП1 на ПО3 поради това </w:t>
            </w:r>
            <w:r w:rsidR="008768F9" w:rsidRPr="00B45B4F">
              <w:rPr>
                <w:rFonts w:ascii="Verdana" w:hAnsi="Verdana"/>
                <w:sz w:val="20"/>
                <w:szCs w:val="20"/>
              </w:rPr>
              <w:t xml:space="preserve">съществува възможност за дублиране на </w:t>
            </w:r>
            <w:r w:rsidR="000362F7" w:rsidRPr="00B45B4F">
              <w:rPr>
                <w:rFonts w:ascii="Verdana" w:hAnsi="Verdana"/>
                <w:sz w:val="20"/>
                <w:szCs w:val="20"/>
              </w:rPr>
              <w:t>подкрепа.</w:t>
            </w:r>
          </w:p>
        </w:tc>
      </w:tr>
      <w:tr w:rsidR="00B75EAE" w:rsidRPr="00B45B4F" w:rsidTr="00094703">
        <w:trPr>
          <w:tblCellSpacing w:w="11" w:type="dxa"/>
        </w:trPr>
        <w:tc>
          <w:tcPr>
            <w:tcW w:w="5097" w:type="dxa"/>
            <w:shd w:val="clear" w:color="auto" w:fill="F2F2F2" w:themeFill="background1" w:themeFillShade="F2"/>
          </w:tcPr>
          <w:p w:rsidR="00B75EAE" w:rsidRPr="00FB3AF7" w:rsidRDefault="00B75EAE" w:rsidP="008768F9">
            <w:pPr>
              <w:pStyle w:val="BodyText"/>
              <w:spacing w:before="120" w:line="276" w:lineRule="auto"/>
              <w:jc w:val="both"/>
              <w:rPr>
                <w:rFonts w:ascii="Verdana" w:hAnsi="Verdana"/>
                <w:sz w:val="20"/>
                <w:szCs w:val="20"/>
              </w:rPr>
            </w:pPr>
            <w:r w:rsidRPr="00065C14">
              <w:rPr>
                <w:rFonts w:ascii="Verdana" w:hAnsi="Verdana"/>
                <w:sz w:val="20"/>
                <w:szCs w:val="20"/>
              </w:rPr>
              <w:t>Засилване интереса и мотивацията на децата и учениците за учене чрез модернизиране</w:t>
            </w:r>
            <w:r w:rsidRPr="00B57A71">
              <w:rPr>
                <w:rFonts w:ascii="Verdana" w:hAnsi="Verdana"/>
                <w:sz w:val="20"/>
                <w:szCs w:val="20"/>
              </w:rPr>
              <w:t xml:space="preserve"> на системата за отпускане на ученически </w:t>
            </w:r>
            <w:r w:rsidRPr="00B57A71">
              <w:rPr>
                <w:rFonts w:ascii="Verdana" w:hAnsi="Verdana"/>
                <w:sz w:val="20"/>
                <w:szCs w:val="20"/>
              </w:rPr>
              <w:lastRenderedPageBreak/>
              <w:t>стипендии;</w:t>
            </w:r>
          </w:p>
        </w:tc>
        <w:tc>
          <w:tcPr>
            <w:tcW w:w="3927" w:type="dxa"/>
            <w:gridSpan w:val="2"/>
            <w:shd w:val="clear" w:color="auto" w:fill="F2F2F2" w:themeFill="background1" w:themeFillShade="F2"/>
          </w:tcPr>
          <w:p w:rsidR="00B75EAE" w:rsidRPr="00B45B4F" w:rsidRDefault="0076200A" w:rsidP="00B75EAE">
            <w:pPr>
              <w:pStyle w:val="BodyText"/>
              <w:spacing w:before="120" w:line="276" w:lineRule="auto"/>
              <w:jc w:val="both"/>
              <w:rPr>
                <w:rFonts w:ascii="Verdana" w:hAnsi="Verdana"/>
                <w:sz w:val="20"/>
                <w:szCs w:val="20"/>
              </w:rPr>
            </w:pPr>
            <w:r w:rsidRPr="00B45B4F">
              <w:rPr>
                <w:rFonts w:ascii="Verdana" w:hAnsi="Verdana"/>
                <w:sz w:val="20"/>
                <w:szCs w:val="20"/>
              </w:rPr>
              <w:lastRenderedPageBreak/>
              <w:t>Ще допринесе за постигане на СЦ2.</w:t>
            </w:r>
          </w:p>
        </w:tc>
      </w:tr>
      <w:tr w:rsidR="00B75EAE" w:rsidRPr="00B45B4F" w:rsidTr="00094703">
        <w:trPr>
          <w:tblCellSpacing w:w="11" w:type="dxa"/>
        </w:trPr>
        <w:tc>
          <w:tcPr>
            <w:tcW w:w="5097" w:type="dxa"/>
            <w:shd w:val="clear" w:color="auto" w:fill="C6D9F1" w:themeFill="text2" w:themeFillTint="33"/>
          </w:tcPr>
          <w:p w:rsidR="00B75EAE" w:rsidRPr="00065C14" w:rsidRDefault="00B75EAE" w:rsidP="00B75EAE">
            <w:pPr>
              <w:pStyle w:val="BodyText"/>
              <w:spacing w:before="120" w:line="276" w:lineRule="auto"/>
              <w:jc w:val="both"/>
              <w:rPr>
                <w:rFonts w:ascii="Verdana" w:hAnsi="Verdana"/>
                <w:sz w:val="20"/>
                <w:szCs w:val="20"/>
              </w:rPr>
            </w:pPr>
            <w:r w:rsidRPr="00065C14">
              <w:rPr>
                <w:rFonts w:ascii="Verdana" w:hAnsi="Verdana"/>
                <w:sz w:val="20"/>
                <w:szCs w:val="20"/>
              </w:rPr>
              <w:lastRenderedPageBreak/>
              <w:t xml:space="preserve">Разработване на програми за семейна подкрепа с цел насърчаване участието на родителите в образователния процес; </w:t>
            </w:r>
          </w:p>
        </w:tc>
        <w:tc>
          <w:tcPr>
            <w:tcW w:w="3927" w:type="dxa"/>
            <w:gridSpan w:val="2"/>
            <w:shd w:val="clear" w:color="auto" w:fill="C6D9F1" w:themeFill="text2" w:themeFillTint="33"/>
          </w:tcPr>
          <w:p w:rsidR="00B75EAE" w:rsidRPr="00B45B4F" w:rsidRDefault="0076200A" w:rsidP="00B75EAE">
            <w:pPr>
              <w:pStyle w:val="BodyText"/>
              <w:spacing w:before="120" w:line="276" w:lineRule="auto"/>
              <w:jc w:val="both"/>
              <w:rPr>
                <w:rFonts w:ascii="Verdana" w:hAnsi="Verdana"/>
                <w:sz w:val="20"/>
                <w:szCs w:val="20"/>
              </w:rPr>
            </w:pPr>
            <w:r w:rsidRPr="00B45B4F">
              <w:rPr>
                <w:rFonts w:ascii="Verdana" w:hAnsi="Verdana"/>
                <w:sz w:val="20"/>
                <w:szCs w:val="20"/>
              </w:rPr>
              <w:t>Ще допринесе за постигане на СЦ2и косвено на СЦ1.</w:t>
            </w:r>
          </w:p>
        </w:tc>
      </w:tr>
      <w:tr w:rsidR="00B75EAE" w:rsidRPr="00B45B4F" w:rsidTr="00094703">
        <w:trPr>
          <w:tblCellSpacing w:w="11" w:type="dxa"/>
        </w:trPr>
        <w:tc>
          <w:tcPr>
            <w:tcW w:w="5097" w:type="dxa"/>
            <w:shd w:val="clear" w:color="auto" w:fill="F2F2F2" w:themeFill="background1" w:themeFillShade="F2"/>
          </w:tcPr>
          <w:p w:rsidR="00B75EAE" w:rsidRPr="00EB2718" w:rsidRDefault="00B75EAE" w:rsidP="00B75EAE">
            <w:pPr>
              <w:pStyle w:val="BodyText"/>
              <w:spacing w:before="120" w:line="276" w:lineRule="auto"/>
              <w:jc w:val="both"/>
              <w:rPr>
                <w:rFonts w:ascii="Verdana" w:hAnsi="Verdana"/>
                <w:sz w:val="20"/>
                <w:szCs w:val="20"/>
              </w:rPr>
            </w:pPr>
            <w:r w:rsidRPr="00065C14">
              <w:rPr>
                <w:rFonts w:ascii="Verdana" w:hAnsi="Verdana"/>
                <w:sz w:val="20"/>
                <w:szCs w:val="20"/>
              </w:rPr>
              <w:t>Подкрепа за разработване и реализиране на училищни политики и програми за превенция на насилието и агресията сред децата като предпоставка за създаване на благоприятна среда за развитие на децата и високи образователни постижения;</w:t>
            </w:r>
          </w:p>
        </w:tc>
        <w:tc>
          <w:tcPr>
            <w:tcW w:w="3927" w:type="dxa"/>
            <w:gridSpan w:val="2"/>
            <w:shd w:val="clear" w:color="auto" w:fill="F2F2F2" w:themeFill="background1" w:themeFillShade="F2"/>
          </w:tcPr>
          <w:p w:rsidR="00B75EAE" w:rsidRPr="00B45B4F" w:rsidRDefault="00F87252" w:rsidP="00065C14">
            <w:pPr>
              <w:pStyle w:val="BodyText"/>
              <w:spacing w:before="120" w:line="276" w:lineRule="auto"/>
              <w:jc w:val="both"/>
              <w:rPr>
                <w:rFonts w:ascii="Verdana" w:hAnsi="Verdana"/>
                <w:sz w:val="20"/>
                <w:szCs w:val="20"/>
              </w:rPr>
            </w:pPr>
            <w:r w:rsidRPr="00B45B4F">
              <w:rPr>
                <w:rFonts w:ascii="Verdana" w:hAnsi="Verdana"/>
                <w:sz w:val="20"/>
                <w:szCs w:val="20"/>
              </w:rPr>
              <w:t xml:space="preserve">Ще допринесе за постигане на СЦ2. </w:t>
            </w:r>
          </w:p>
        </w:tc>
      </w:tr>
      <w:tr w:rsidR="00B75EAE" w:rsidRPr="00B45B4F" w:rsidTr="00094703">
        <w:trPr>
          <w:tblCellSpacing w:w="11" w:type="dxa"/>
        </w:trPr>
        <w:tc>
          <w:tcPr>
            <w:tcW w:w="5097" w:type="dxa"/>
            <w:shd w:val="clear" w:color="auto" w:fill="C6D9F1" w:themeFill="text2" w:themeFillTint="33"/>
          </w:tcPr>
          <w:p w:rsidR="00B75EAE" w:rsidRPr="00EB2718" w:rsidRDefault="00B75EAE" w:rsidP="00B75EAE">
            <w:pPr>
              <w:pStyle w:val="BodyText"/>
              <w:spacing w:before="120" w:line="276" w:lineRule="auto"/>
              <w:jc w:val="both"/>
              <w:rPr>
                <w:rFonts w:ascii="Verdana" w:hAnsi="Verdana"/>
                <w:sz w:val="20"/>
                <w:szCs w:val="20"/>
              </w:rPr>
            </w:pPr>
            <w:r w:rsidRPr="00065C14">
              <w:rPr>
                <w:rFonts w:ascii="Verdana" w:hAnsi="Verdana"/>
                <w:sz w:val="20"/>
                <w:szCs w:val="20"/>
              </w:rPr>
              <w:t xml:space="preserve">Подкрепа за развитието на училищната мрежа и повишаването на качеството на образование в малките населени места, за обхващане на </w:t>
            </w:r>
            <w:proofErr w:type="spellStart"/>
            <w:r w:rsidRPr="00065C14">
              <w:rPr>
                <w:rFonts w:ascii="Verdana" w:hAnsi="Verdana"/>
                <w:sz w:val="20"/>
                <w:szCs w:val="20"/>
              </w:rPr>
              <w:t>необхванатите</w:t>
            </w:r>
            <w:proofErr w:type="spellEnd"/>
            <w:r w:rsidRPr="00065C14">
              <w:rPr>
                <w:rFonts w:ascii="Verdana" w:hAnsi="Verdana"/>
                <w:sz w:val="20"/>
                <w:szCs w:val="20"/>
              </w:rPr>
              <w:t xml:space="preserve"> </w:t>
            </w:r>
            <w:r w:rsidR="00F87252" w:rsidRPr="00EB2718">
              <w:rPr>
                <w:rFonts w:ascii="Verdana" w:hAnsi="Verdana"/>
                <w:sz w:val="20"/>
                <w:szCs w:val="20"/>
              </w:rPr>
              <w:t>в задължителна училищна възраст</w:t>
            </w:r>
            <w:r w:rsidR="00E8510D" w:rsidRPr="00EB2718">
              <w:rPr>
                <w:rFonts w:ascii="Verdana" w:hAnsi="Verdana"/>
                <w:sz w:val="20"/>
                <w:szCs w:val="20"/>
              </w:rPr>
              <w:t>;</w:t>
            </w:r>
          </w:p>
        </w:tc>
        <w:tc>
          <w:tcPr>
            <w:tcW w:w="3927" w:type="dxa"/>
            <w:gridSpan w:val="2"/>
            <w:shd w:val="clear" w:color="auto" w:fill="C6D9F1" w:themeFill="text2" w:themeFillTint="33"/>
          </w:tcPr>
          <w:p w:rsidR="00B75EAE" w:rsidRPr="00B45B4F" w:rsidRDefault="00794C58" w:rsidP="00B75EAE">
            <w:pPr>
              <w:pStyle w:val="BodyText"/>
              <w:spacing w:before="120" w:line="276" w:lineRule="auto"/>
              <w:jc w:val="both"/>
              <w:rPr>
                <w:rFonts w:ascii="Verdana" w:hAnsi="Verdana"/>
                <w:sz w:val="20"/>
                <w:szCs w:val="20"/>
              </w:rPr>
            </w:pPr>
            <w:r w:rsidRPr="00B45B4F">
              <w:rPr>
                <w:rFonts w:ascii="Verdana" w:hAnsi="Verdana"/>
                <w:sz w:val="20"/>
                <w:szCs w:val="20"/>
              </w:rPr>
              <w:t>Адекватна и ще допринесе за адресиране на проблема с по-ниските резултати на учениците в малките населени места.</w:t>
            </w:r>
          </w:p>
        </w:tc>
      </w:tr>
      <w:tr w:rsidR="00B75EAE" w:rsidRPr="00B45B4F" w:rsidTr="00094703">
        <w:trPr>
          <w:tblCellSpacing w:w="11" w:type="dxa"/>
        </w:trPr>
        <w:tc>
          <w:tcPr>
            <w:tcW w:w="5097" w:type="dxa"/>
            <w:shd w:val="clear" w:color="auto" w:fill="F2F2F2" w:themeFill="background1" w:themeFillShade="F2"/>
          </w:tcPr>
          <w:p w:rsidR="00B75EAE" w:rsidRPr="00FB3AF7" w:rsidRDefault="00B75EAE" w:rsidP="00B75EAE">
            <w:pPr>
              <w:pStyle w:val="BodyText"/>
              <w:spacing w:before="120" w:line="276" w:lineRule="auto"/>
              <w:jc w:val="both"/>
              <w:rPr>
                <w:rFonts w:ascii="Verdana" w:hAnsi="Verdana"/>
                <w:sz w:val="20"/>
                <w:szCs w:val="20"/>
              </w:rPr>
            </w:pPr>
            <w:r w:rsidRPr="00065C14">
              <w:rPr>
                <w:rFonts w:ascii="Verdana" w:hAnsi="Verdana"/>
                <w:sz w:val="20"/>
                <w:szCs w:val="20"/>
              </w:rPr>
              <w:t>Насърчаване участието на учениците в процеса на управление и взимане на решение в училище, както и за развиване на форми на ученич</w:t>
            </w:r>
            <w:r w:rsidRPr="00B57A71">
              <w:rPr>
                <w:rFonts w:ascii="Verdana" w:hAnsi="Verdana"/>
                <w:sz w:val="20"/>
                <w:szCs w:val="20"/>
              </w:rPr>
              <w:t>еско самоуправление.</w:t>
            </w:r>
          </w:p>
        </w:tc>
        <w:tc>
          <w:tcPr>
            <w:tcW w:w="3927" w:type="dxa"/>
            <w:gridSpan w:val="2"/>
            <w:shd w:val="clear" w:color="auto" w:fill="F2F2F2" w:themeFill="background1" w:themeFillShade="F2"/>
          </w:tcPr>
          <w:p w:rsidR="00B75EAE" w:rsidRPr="00B45B4F" w:rsidRDefault="00794C58" w:rsidP="00B75EAE">
            <w:pPr>
              <w:pStyle w:val="BodyText"/>
              <w:spacing w:before="120" w:line="276" w:lineRule="auto"/>
              <w:jc w:val="both"/>
              <w:rPr>
                <w:rFonts w:ascii="Verdana" w:hAnsi="Verdana"/>
                <w:sz w:val="20"/>
                <w:szCs w:val="20"/>
              </w:rPr>
            </w:pPr>
            <w:r w:rsidRPr="00B45B4F">
              <w:rPr>
                <w:rFonts w:ascii="Verdana" w:hAnsi="Verdana"/>
                <w:sz w:val="20"/>
                <w:szCs w:val="20"/>
              </w:rPr>
              <w:t>Адекватна и ще допринесе за постигане и на трите специфични цели.</w:t>
            </w:r>
          </w:p>
        </w:tc>
      </w:tr>
      <w:tr w:rsidR="00702120" w:rsidRPr="00B45B4F" w:rsidTr="003643A1">
        <w:trPr>
          <w:tblCellSpacing w:w="11" w:type="dxa"/>
        </w:trPr>
        <w:tc>
          <w:tcPr>
            <w:tcW w:w="5097" w:type="dxa"/>
            <w:shd w:val="clear" w:color="auto" w:fill="C6D9F1" w:themeFill="text2" w:themeFillTint="33"/>
          </w:tcPr>
          <w:p w:rsidR="00702120" w:rsidRPr="00B45B4F" w:rsidRDefault="00702120" w:rsidP="00065C14">
            <w:pPr>
              <w:pStyle w:val="BodyText"/>
              <w:spacing w:before="120" w:line="276" w:lineRule="auto"/>
              <w:jc w:val="both"/>
              <w:rPr>
                <w:rFonts w:ascii="Verdana" w:hAnsi="Verdana"/>
                <w:sz w:val="20"/>
                <w:szCs w:val="20"/>
              </w:rPr>
            </w:pPr>
            <w:r w:rsidRPr="00FE5A49">
              <w:rPr>
                <w:rFonts w:ascii="Verdana" w:hAnsi="Verdana"/>
                <w:sz w:val="20"/>
                <w:szCs w:val="20"/>
              </w:rPr>
              <w:t>Осигуряване на възможности за разгръщане на творческите способности и изява на децата и учениците чрез извънкласни и извънучилищни дейности занимания.</w:t>
            </w:r>
          </w:p>
        </w:tc>
        <w:tc>
          <w:tcPr>
            <w:tcW w:w="3927" w:type="dxa"/>
            <w:gridSpan w:val="2"/>
            <w:shd w:val="clear" w:color="auto" w:fill="C6D9F1" w:themeFill="text2" w:themeFillTint="33"/>
          </w:tcPr>
          <w:p w:rsidR="00702120" w:rsidRPr="00B45B4F" w:rsidRDefault="00EB2718" w:rsidP="00B57A71">
            <w:pPr>
              <w:pStyle w:val="BodyText"/>
              <w:spacing w:before="120" w:line="276" w:lineRule="auto"/>
              <w:jc w:val="both"/>
              <w:rPr>
                <w:rFonts w:ascii="Verdana" w:hAnsi="Verdana"/>
                <w:sz w:val="20"/>
                <w:szCs w:val="20"/>
              </w:rPr>
            </w:pPr>
            <w:r>
              <w:rPr>
                <w:rFonts w:ascii="Verdana" w:hAnsi="Verdana"/>
                <w:sz w:val="20"/>
                <w:szCs w:val="20"/>
              </w:rPr>
              <w:t>Адекватна към СЦ 1.</w:t>
            </w:r>
          </w:p>
        </w:tc>
      </w:tr>
      <w:tr w:rsidR="00444CBE" w:rsidRPr="00B45B4F" w:rsidTr="00094703">
        <w:trPr>
          <w:tblCellSpacing w:w="11" w:type="dxa"/>
        </w:trPr>
        <w:tc>
          <w:tcPr>
            <w:tcW w:w="9046" w:type="dxa"/>
            <w:gridSpan w:val="3"/>
            <w:shd w:val="clear" w:color="auto" w:fill="FBD4B4" w:themeFill="accent6" w:themeFillTint="66"/>
          </w:tcPr>
          <w:p w:rsidR="00444CBE" w:rsidRPr="00B45B4F" w:rsidRDefault="00444CBE" w:rsidP="00BF4412">
            <w:pPr>
              <w:spacing w:before="120"/>
              <w:jc w:val="both"/>
              <w:rPr>
                <w:rFonts w:ascii="Verdana" w:hAnsi="Verdana"/>
                <w:i/>
                <w:sz w:val="20"/>
                <w:szCs w:val="20"/>
                <w:lang w:val="bg-BG"/>
              </w:rPr>
            </w:pPr>
            <w:r w:rsidRPr="00B45B4F">
              <w:rPr>
                <w:rFonts w:ascii="Verdana" w:hAnsi="Verdana"/>
                <w:b/>
                <w:sz w:val="20"/>
                <w:szCs w:val="20"/>
                <w:lang w:val="bg-BG"/>
              </w:rPr>
              <w:t xml:space="preserve">Инвестиционен приоритет 2: </w:t>
            </w:r>
            <w:r w:rsidR="00BF4412" w:rsidRPr="00B45B4F">
              <w:rPr>
                <w:rFonts w:ascii="Verdana" w:hAnsi="Verdana"/>
                <w:i/>
                <w:sz w:val="20"/>
                <w:szCs w:val="20"/>
                <w:lang w:val="bg-BG"/>
              </w:rPr>
              <w:t xml:space="preserve">Подобряване на качеството и ефикасността и достъпа до висшето и равностойното на него образование с цел увеличаване на участието и подобряване на равнищата на образование, особено за групите в неравностойно положение </w:t>
            </w:r>
          </w:p>
        </w:tc>
      </w:tr>
      <w:tr w:rsidR="001C7AD5" w:rsidRPr="00B45B4F" w:rsidTr="00094703">
        <w:trPr>
          <w:tblCellSpacing w:w="11" w:type="dxa"/>
        </w:trPr>
        <w:tc>
          <w:tcPr>
            <w:tcW w:w="5224" w:type="dxa"/>
            <w:gridSpan w:val="2"/>
            <w:shd w:val="clear" w:color="auto" w:fill="C6D9F1" w:themeFill="text2" w:themeFillTint="33"/>
          </w:tcPr>
          <w:p w:rsidR="001C7AD5" w:rsidRPr="00B45B4F" w:rsidRDefault="001C7AD5" w:rsidP="001C7AD5">
            <w:pPr>
              <w:pStyle w:val="BodyText"/>
              <w:spacing w:before="120" w:line="276" w:lineRule="auto"/>
              <w:jc w:val="both"/>
              <w:rPr>
                <w:rFonts w:ascii="Verdana" w:hAnsi="Verdana"/>
                <w:sz w:val="20"/>
                <w:szCs w:val="20"/>
              </w:rPr>
            </w:pPr>
            <w:r w:rsidRPr="00B45B4F">
              <w:rPr>
                <w:rFonts w:ascii="Verdana" w:hAnsi="Verdana"/>
                <w:sz w:val="20"/>
                <w:szCs w:val="20"/>
              </w:rPr>
              <w:t>Усъвършенстване на системите за управление на висшите училища;</w:t>
            </w:r>
          </w:p>
        </w:tc>
        <w:tc>
          <w:tcPr>
            <w:tcW w:w="3800" w:type="dxa"/>
            <w:shd w:val="clear" w:color="auto" w:fill="C6D9F1" w:themeFill="text2" w:themeFillTint="33"/>
          </w:tcPr>
          <w:p w:rsidR="001C7AD5" w:rsidRPr="00B45B4F" w:rsidRDefault="00A33263" w:rsidP="00E8510D">
            <w:pPr>
              <w:pStyle w:val="BodyText"/>
              <w:spacing w:before="120" w:line="276" w:lineRule="auto"/>
              <w:jc w:val="both"/>
              <w:rPr>
                <w:rFonts w:ascii="Verdana" w:hAnsi="Verdana"/>
                <w:sz w:val="20"/>
                <w:szCs w:val="20"/>
              </w:rPr>
            </w:pPr>
            <w:r w:rsidRPr="00B45B4F">
              <w:rPr>
                <w:rFonts w:ascii="Verdana" w:hAnsi="Verdana"/>
                <w:sz w:val="20"/>
                <w:szCs w:val="20"/>
              </w:rPr>
              <w:t xml:space="preserve">Дейността ще способства постигането на </w:t>
            </w:r>
            <w:r w:rsidR="00E8510D" w:rsidRPr="00B45B4F">
              <w:rPr>
                <w:rFonts w:ascii="Verdana" w:hAnsi="Verdana"/>
                <w:sz w:val="20"/>
                <w:szCs w:val="20"/>
              </w:rPr>
              <w:t>СЦ2</w:t>
            </w:r>
            <w:r w:rsidRPr="00B45B4F">
              <w:rPr>
                <w:rFonts w:ascii="Verdana" w:hAnsi="Verdana"/>
                <w:sz w:val="20"/>
                <w:szCs w:val="20"/>
              </w:rPr>
              <w:t>.</w:t>
            </w:r>
          </w:p>
        </w:tc>
      </w:tr>
      <w:tr w:rsidR="001C7AD5" w:rsidRPr="00B45B4F" w:rsidTr="00094703">
        <w:trPr>
          <w:tblCellSpacing w:w="11" w:type="dxa"/>
        </w:trPr>
        <w:tc>
          <w:tcPr>
            <w:tcW w:w="5224" w:type="dxa"/>
            <w:gridSpan w:val="2"/>
            <w:shd w:val="clear" w:color="auto" w:fill="F2F2F2" w:themeFill="background1" w:themeFillShade="F2"/>
          </w:tcPr>
          <w:p w:rsidR="001C7AD5" w:rsidRPr="00B45B4F" w:rsidRDefault="001C7AD5" w:rsidP="00E8510D">
            <w:pPr>
              <w:pStyle w:val="BodyText"/>
              <w:spacing w:before="120" w:line="276" w:lineRule="auto"/>
              <w:jc w:val="both"/>
              <w:rPr>
                <w:rFonts w:ascii="Verdana" w:hAnsi="Verdana"/>
                <w:sz w:val="20"/>
                <w:szCs w:val="20"/>
              </w:rPr>
            </w:pPr>
            <w:r w:rsidRPr="00B45B4F">
              <w:rPr>
                <w:rFonts w:ascii="Verdana" w:hAnsi="Verdana"/>
                <w:sz w:val="20"/>
                <w:szCs w:val="20"/>
              </w:rPr>
              <w:t xml:space="preserve">Усъвършенстване на системата за акредитация, чрез стимулиране гъвкавостта и прозрачността на външното и вътрешно оценяване на качеството във висшите училища и научните организации; </w:t>
            </w:r>
          </w:p>
        </w:tc>
        <w:tc>
          <w:tcPr>
            <w:tcW w:w="3800" w:type="dxa"/>
            <w:shd w:val="clear" w:color="auto" w:fill="F2F2F2" w:themeFill="background1" w:themeFillShade="F2"/>
          </w:tcPr>
          <w:p w:rsidR="001C7AD5" w:rsidRPr="00B45B4F" w:rsidRDefault="00A33263" w:rsidP="00E8510D">
            <w:pPr>
              <w:pStyle w:val="BodyText"/>
              <w:spacing w:before="120" w:line="276" w:lineRule="auto"/>
              <w:jc w:val="both"/>
              <w:rPr>
                <w:rFonts w:ascii="Verdana" w:hAnsi="Verdana"/>
                <w:sz w:val="20"/>
                <w:szCs w:val="20"/>
              </w:rPr>
            </w:pPr>
            <w:r w:rsidRPr="00B45B4F">
              <w:rPr>
                <w:rFonts w:ascii="Verdana" w:hAnsi="Verdana"/>
                <w:sz w:val="20"/>
                <w:szCs w:val="20"/>
              </w:rPr>
              <w:t xml:space="preserve">Дейността ще способства постигането на </w:t>
            </w:r>
            <w:r w:rsidR="00E8510D" w:rsidRPr="00B45B4F">
              <w:rPr>
                <w:rFonts w:ascii="Verdana" w:hAnsi="Verdana"/>
                <w:sz w:val="20"/>
                <w:szCs w:val="20"/>
              </w:rPr>
              <w:t>СЦ2</w:t>
            </w:r>
            <w:r w:rsidRPr="00B45B4F">
              <w:rPr>
                <w:rFonts w:ascii="Verdana" w:hAnsi="Verdana"/>
                <w:sz w:val="20"/>
                <w:szCs w:val="20"/>
              </w:rPr>
              <w:t>.</w:t>
            </w:r>
          </w:p>
        </w:tc>
      </w:tr>
      <w:tr w:rsidR="001C7AD5" w:rsidRPr="00B45B4F" w:rsidTr="00094703">
        <w:trPr>
          <w:tblCellSpacing w:w="11" w:type="dxa"/>
        </w:trPr>
        <w:tc>
          <w:tcPr>
            <w:tcW w:w="5224" w:type="dxa"/>
            <w:gridSpan w:val="2"/>
            <w:shd w:val="clear" w:color="auto" w:fill="C6D9F1" w:themeFill="text2" w:themeFillTint="33"/>
          </w:tcPr>
          <w:p w:rsidR="001C7AD5" w:rsidRPr="00B45B4F" w:rsidRDefault="001C7AD5" w:rsidP="009F6245">
            <w:pPr>
              <w:pStyle w:val="BodyText"/>
              <w:spacing w:before="120" w:line="276" w:lineRule="auto"/>
              <w:jc w:val="both"/>
              <w:rPr>
                <w:rFonts w:ascii="Verdana" w:hAnsi="Verdana"/>
                <w:sz w:val="20"/>
                <w:szCs w:val="20"/>
              </w:rPr>
            </w:pPr>
            <w:r w:rsidRPr="00B45B4F">
              <w:rPr>
                <w:rFonts w:ascii="Verdana" w:hAnsi="Verdana"/>
                <w:sz w:val="20"/>
                <w:szCs w:val="20"/>
              </w:rPr>
              <w:t xml:space="preserve">Поддържане и усъвършенстване на разработената рейтингова система на </w:t>
            </w:r>
            <w:r w:rsidR="009F6245" w:rsidRPr="00B45B4F">
              <w:rPr>
                <w:rFonts w:ascii="Verdana" w:hAnsi="Verdana"/>
                <w:sz w:val="20"/>
                <w:szCs w:val="20"/>
              </w:rPr>
              <w:t>висшите училища</w:t>
            </w:r>
            <w:r w:rsidRPr="00B45B4F">
              <w:rPr>
                <w:rFonts w:ascii="Verdana" w:hAnsi="Verdana"/>
                <w:sz w:val="20"/>
                <w:szCs w:val="20"/>
              </w:rPr>
              <w:t>;</w:t>
            </w:r>
          </w:p>
        </w:tc>
        <w:tc>
          <w:tcPr>
            <w:tcW w:w="3800" w:type="dxa"/>
            <w:shd w:val="clear" w:color="auto" w:fill="C6D9F1" w:themeFill="text2" w:themeFillTint="33"/>
          </w:tcPr>
          <w:p w:rsidR="001C7AD5" w:rsidRPr="00B45B4F" w:rsidRDefault="00A33263" w:rsidP="001C7AD5">
            <w:pPr>
              <w:pStyle w:val="BodyText"/>
              <w:spacing w:before="120" w:line="276" w:lineRule="auto"/>
              <w:jc w:val="both"/>
              <w:rPr>
                <w:rFonts w:ascii="Verdana" w:hAnsi="Verdana"/>
                <w:sz w:val="20"/>
                <w:szCs w:val="20"/>
              </w:rPr>
            </w:pPr>
            <w:r w:rsidRPr="00B45B4F">
              <w:rPr>
                <w:rFonts w:ascii="Verdana" w:hAnsi="Verdana"/>
                <w:sz w:val="20"/>
                <w:szCs w:val="20"/>
              </w:rPr>
              <w:t xml:space="preserve">Дейността ще способства постигането на </w:t>
            </w:r>
            <w:r w:rsidR="00E8510D" w:rsidRPr="00B45B4F">
              <w:rPr>
                <w:rFonts w:ascii="Verdana" w:hAnsi="Verdana"/>
                <w:sz w:val="20"/>
                <w:szCs w:val="20"/>
              </w:rPr>
              <w:t>СЦ2</w:t>
            </w:r>
            <w:r w:rsidRPr="00B45B4F">
              <w:rPr>
                <w:rFonts w:ascii="Verdana" w:hAnsi="Verdana"/>
                <w:sz w:val="20"/>
                <w:szCs w:val="20"/>
              </w:rPr>
              <w:t>.</w:t>
            </w:r>
          </w:p>
        </w:tc>
      </w:tr>
      <w:tr w:rsidR="001C7AD5" w:rsidRPr="00B45B4F" w:rsidTr="00094703">
        <w:trPr>
          <w:tblCellSpacing w:w="11" w:type="dxa"/>
        </w:trPr>
        <w:tc>
          <w:tcPr>
            <w:tcW w:w="5224" w:type="dxa"/>
            <w:gridSpan w:val="2"/>
            <w:shd w:val="clear" w:color="auto" w:fill="F2F2F2" w:themeFill="background1" w:themeFillShade="F2"/>
          </w:tcPr>
          <w:p w:rsidR="001C7AD5" w:rsidRPr="00B45B4F" w:rsidRDefault="001C7AD5" w:rsidP="001C7AD5">
            <w:pPr>
              <w:pStyle w:val="BodyText"/>
              <w:spacing w:before="120" w:line="276" w:lineRule="auto"/>
              <w:jc w:val="both"/>
              <w:rPr>
                <w:rFonts w:ascii="Verdana" w:hAnsi="Verdana"/>
                <w:sz w:val="20"/>
                <w:szCs w:val="20"/>
              </w:rPr>
            </w:pPr>
            <w:r w:rsidRPr="00B45B4F">
              <w:rPr>
                <w:rFonts w:ascii="Verdana" w:hAnsi="Verdana"/>
                <w:sz w:val="20"/>
                <w:szCs w:val="20"/>
              </w:rPr>
              <w:lastRenderedPageBreak/>
              <w:t>Разработване и внедряване на модели за обвързване на финансирането на висшите училища с резултатите от обучението и реализацията на студентите;</w:t>
            </w:r>
          </w:p>
        </w:tc>
        <w:tc>
          <w:tcPr>
            <w:tcW w:w="3800" w:type="dxa"/>
            <w:shd w:val="clear" w:color="auto" w:fill="F2F2F2" w:themeFill="background1" w:themeFillShade="F2"/>
          </w:tcPr>
          <w:p w:rsidR="001C7AD5" w:rsidRPr="00B45B4F" w:rsidRDefault="00A33263" w:rsidP="001C7AD5">
            <w:pPr>
              <w:pStyle w:val="BodyText"/>
              <w:spacing w:before="120" w:line="276" w:lineRule="auto"/>
              <w:jc w:val="both"/>
              <w:rPr>
                <w:rFonts w:ascii="Verdana" w:hAnsi="Verdana"/>
                <w:sz w:val="20"/>
                <w:szCs w:val="20"/>
              </w:rPr>
            </w:pPr>
            <w:r w:rsidRPr="00B45B4F">
              <w:rPr>
                <w:rFonts w:ascii="Verdana" w:hAnsi="Verdana"/>
                <w:sz w:val="20"/>
                <w:szCs w:val="20"/>
              </w:rPr>
              <w:t xml:space="preserve">Дейността ще способства постигането на </w:t>
            </w:r>
            <w:r w:rsidR="00E8510D" w:rsidRPr="00B45B4F">
              <w:rPr>
                <w:rFonts w:ascii="Verdana" w:hAnsi="Verdana"/>
                <w:sz w:val="20"/>
                <w:szCs w:val="20"/>
              </w:rPr>
              <w:t>СЦ2</w:t>
            </w:r>
            <w:r w:rsidRPr="00B45B4F">
              <w:rPr>
                <w:rFonts w:ascii="Verdana" w:hAnsi="Verdana"/>
                <w:sz w:val="20"/>
                <w:szCs w:val="20"/>
              </w:rPr>
              <w:t>.</w:t>
            </w:r>
          </w:p>
        </w:tc>
      </w:tr>
      <w:tr w:rsidR="001C7AD5" w:rsidRPr="00B45B4F" w:rsidTr="00094703">
        <w:trPr>
          <w:tblCellSpacing w:w="11" w:type="dxa"/>
        </w:trPr>
        <w:tc>
          <w:tcPr>
            <w:tcW w:w="5224" w:type="dxa"/>
            <w:gridSpan w:val="2"/>
            <w:shd w:val="clear" w:color="auto" w:fill="C6D9F1" w:themeFill="text2" w:themeFillTint="33"/>
          </w:tcPr>
          <w:p w:rsidR="001C7AD5" w:rsidRPr="00B45B4F" w:rsidRDefault="001C7AD5" w:rsidP="001C7AD5">
            <w:pPr>
              <w:pStyle w:val="BodyText"/>
              <w:spacing w:before="120" w:line="276" w:lineRule="auto"/>
              <w:jc w:val="both"/>
              <w:rPr>
                <w:rFonts w:ascii="Verdana" w:hAnsi="Verdana"/>
                <w:sz w:val="20"/>
                <w:szCs w:val="20"/>
              </w:rPr>
            </w:pPr>
            <w:r w:rsidRPr="00B45B4F">
              <w:rPr>
                <w:rFonts w:ascii="Verdana" w:hAnsi="Verdana"/>
                <w:sz w:val="20"/>
                <w:szCs w:val="20"/>
              </w:rPr>
              <w:t>Усъвършенстване на формите за преподаване и на методите за оценяване на студентите и докторантите, модернизиране на учебните планове и програми във висшите училища (в т.ч. чуждоезикови), подкрепа за учебни програми с интегрирано съдържание и актуална пазарна ориентираност; интегриране на въпросите за устойчивото развитие в учебното съдържание и реализация на интердисциплинарни програми за повишаване знанията и уменията на студентите по въпросите на устойчивото развитие и климатичните промени. Създаване на национална система за оценяването на придобитите знания, умения и компетентности на завършващите по всяко професионално направление в системата на висшето образование, с участието на работодателите;</w:t>
            </w:r>
          </w:p>
        </w:tc>
        <w:tc>
          <w:tcPr>
            <w:tcW w:w="3800" w:type="dxa"/>
            <w:shd w:val="clear" w:color="auto" w:fill="C6D9F1" w:themeFill="text2" w:themeFillTint="33"/>
          </w:tcPr>
          <w:p w:rsidR="001C7AD5" w:rsidRPr="00B45B4F" w:rsidRDefault="00A33263" w:rsidP="001C7AD5">
            <w:pPr>
              <w:pStyle w:val="BodyText"/>
              <w:spacing w:before="120" w:line="276" w:lineRule="auto"/>
              <w:jc w:val="both"/>
              <w:rPr>
                <w:rFonts w:ascii="Verdana" w:hAnsi="Verdana"/>
                <w:sz w:val="20"/>
                <w:szCs w:val="20"/>
              </w:rPr>
            </w:pPr>
            <w:r w:rsidRPr="00B45B4F">
              <w:rPr>
                <w:rFonts w:ascii="Verdana" w:hAnsi="Verdana"/>
                <w:sz w:val="20"/>
                <w:szCs w:val="20"/>
              </w:rPr>
              <w:t xml:space="preserve">Дейността е уместна и ще допринесе за постигането на </w:t>
            </w:r>
            <w:r w:rsidR="00E8510D" w:rsidRPr="00B45B4F">
              <w:rPr>
                <w:rFonts w:ascii="Verdana" w:hAnsi="Verdana"/>
                <w:sz w:val="20"/>
                <w:szCs w:val="20"/>
              </w:rPr>
              <w:t>СЦ1</w:t>
            </w:r>
            <w:r w:rsidRPr="00B45B4F">
              <w:rPr>
                <w:rFonts w:ascii="Verdana" w:hAnsi="Verdana"/>
                <w:sz w:val="20"/>
                <w:szCs w:val="20"/>
              </w:rPr>
              <w:t>.</w:t>
            </w:r>
          </w:p>
          <w:p w:rsidR="00A33263" w:rsidRPr="00B45B4F" w:rsidRDefault="00A33263" w:rsidP="00F224CD">
            <w:pPr>
              <w:pStyle w:val="BodyText"/>
              <w:spacing w:before="120" w:line="276" w:lineRule="auto"/>
              <w:jc w:val="both"/>
              <w:rPr>
                <w:rFonts w:ascii="Verdana" w:hAnsi="Verdana"/>
                <w:sz w:val="20"/>
                <w:szCs w:val="20"/>
              </w:rPr>
            </w:pPr>
            <w:r w:rsidRPr="00B45B4F">
              <w:rPr>
                <w:rFonts w:ascii="Verdana" w:hAnsi="Verdana"/>
                <w:sz w:val="20"/>
                <w:szCs w:val="20"/>
              </w:rPr>
              <w:t xml:space="preserve">Могат да се </w:t>
            </w:r>
            <w:r w:rsidR="004D16C5" w:rsidRPr="00B45B4F">
              <w:rPr>
                <w:rFonts w:ascii="Verdana" w:hAnsi="Verdana"/>
                <w:sz w:val="20"/>
                <w:szCs w:val="20"/>
              </w:rPr>
              <w:t>дефинират допълнителни и</w:t>
            </w:r>
            <w:r w:rsidRPr="00B45B4F">
              <w:rPr>
                <w:rFonts w:ascii="Verdana" w:hAnsi="Verdana"/>
                <w:sz w:val="20"/>
                <w:szCs w:val="20"/>
              </w:rPr>
              <w:t xml:space="preserve"> по-подходящи дейности за подобряване на възможностите за реализация на завършилите висше образование </w:t>
            </w:r>
            <w:r w:rsidR="004D16C5" w:rsidRPr="00B45B4F">
              <w:rPr>
                <w:rFonts w:ascii="Verdana" w:hAnsi="Verdana"/>
                <w:sz w:val="20"/>
                <w:szCs w:val="20"/>
              </w:rPr>
              <w:t>от разработването на национална система за оценяване с участие на бизнеса. Такива дейности са например</w:t>
            </w:r>
            <w:r w:rsidR="00F224CD">
              <w:rPr>
                <w:rFonts w:ascii="Verdana" w:hAnsi="Verdana"/>
                <w:sz w:val="20"/>
                <w:szCs w:val="20"/>
              </w:rPr>
              <w:t xml:space="preserve"> </w:t>
            </w:r>
            <w:r w:rsidR="00D6247D" w:rsidRPr="00B45B4F">
              <w:rPr>
                <w:rFonts w:ascii="Verdana" w:hAnsi="Verdana"/>
                <w:sz w:val="20"/>
                <w:szCs w:val="20"/>
              </w:rPr>
              <w:t>подобряване сътрудничеството на</w:t>
            </w:r>
            <w:r w:rsidRPr="00B45B4F">
              <w:rPr>
                <w:rFonts w:ascii="Verdana" w:hAnsi="Verdana"/>
                <w:sz w:val="20"/>
                <w:szCs w:val="20"/>
              </w:rPr>
              <w:t xml:space="preserve"> кариерните центрове към висшите училища</w:t>
            </w:r>
            <w:r w:rsidR="00D6247D" w:rsidRPr="00B45B4F">
              <w:rPr>
                <w:rFonts w:ascii="Verdana" w:hAnsi="Verdana"/>
                <w:sz w:val="20"/>
                <w:szCs w:val="20"/>
              </w:rPr>
              <w:t xml:space="preserve"> с бизнеса</w:t>
            </w:r>
            <w:r w:rsidRPr="00B45B4F">
              <w:rPr>
                <w:rFonts w:ascii="Verdana" w:hAnsi="Verdana"/>
                <w:sz w:val="20"/>
                <w:szCs w:val="20"/>
              </w:rPr>
              <w:t>, студентски борси с участие на бизнеса, обучение на кадри по заявка на бизнеса.</w:t>
            </w:r>
          </w:p>
        </w:tc>
      </w:tr>
      <w:tr w:rsidR="001C7AD5" w:rsidRPr="00B45B4F" w:rsidTr="00094703">
        <w:trPr>
          <w:tblCellSpacing w:w="11" w:type="dxa"/>
        </w:trPr>
        <w:tc>
          <w:tcPr>
            <w:tcW w:w="5224" w:type="dxa"/>
            <w:gridSpan w:val="2"/>
            <w:shd w:val="clear" w:color="auto" w:fill="F2F2F2" w:themeFill="background1" w:themeFillShade="F2"/>
          </w:tcPr>
          <w:p w:rsidR="001C7AD5" w:rsidRPr="00B45B4F" w:rsidRDefault="001C7AD5" w:rsidP="001C7AD5">
            <w:pPr>
              <w:pStyle w:val="BodyText"/>
              <w:spacing w:before="120" w:line="276" w:lineRule="auto"/>
              <w:jc w:val="both"/>
              <w:rPr>
                <w:rFonts w:ascii="Verdana" w:hAnsi="Verdana"/>
                <w:sz w:val="20"/>
                <w:szCs w:val="20"/>
              </w:rPr>
            </w:pPr>
            <w:r w:rsidRPr="00B45B4F">
              <w:rPr>
                <w:rFonts w:ascii="Verdana" w:hAnsi="Verdana"/>
                <w:sz w:val="20"/>
                <w:szCs w:val="20"/>
              </w:rPr>
              <w:t>Насърчаване участието на студенти в различни форми на допълнително обучение като студентски научни клубове, изследователски школи и др.;</w:t>
            </w:r>
          </w:p>
        </w:tc>
        <w:tc>
          <w:tcPr>
            <w:tcW w:w="3800" w:type="dxa"/>
            <w:shd w:val="clear" w:color="auto" w:fill="F2F2F2" w:themeFill="background1" w:themeFillShade="F2"/>
          </w:tcPr>
          <w:p w:rsidR="001C7AD5" w:rsidRPr="00B45B4F" w:rsidRDefault="004D16C5" w:rsidP="005B6E9D">
            <w:pPr>
              <w:pStyle w:val="BodyText"/>
              <w:spacing w:before="120" w:line="276" w:lineRule="auto"/>
              <w:jc w:val="both"/>
              <w:rPr>
                <w:rFonts w:ascii="Verdana" w:hAnsi="Verdana"/>
                <w:sz w:val="20"/>
                <w:szCs w:val="20"/>
              </w:rPr>
            </w:pPr>
            <w:r w:rsidRPr="00B45B4F">
              <w:rPr>
                <w:rFonts w:ascii="Verdana" w:hAnsi="Verdana"/>
                <w:sz w:val="20"/>
                <w:szCs w:val="20"/>
              </w:rPr>
              <w:t xml:space="preserve">Дейността ще способства за постигате на </w:t>
            </w:r>
            <w:r w:rsidR="005B6E9D" w:rsidRPr="00B45B4F">
              <w:rPr>
                <w:rFonts w:ascii="Verdana" w:hAnsi="Verdana"/>
                <w:sz w:val="20"/>
                <w:szCs w:val="20"/>
              </w:rPr>
              <w:t>СЦ1</w:t>
            </w:r>
            <w:r w:rsidRPr="00B45B4F">
              <w:rPr>
                <w:rFonts w:ascii="Verdana" w:hAnsi="Verdana"/>
                <w:sz w:val="20"/>
                <w:szCs w:val="20"/>
              </w:rPr>
              <w:t>.</w:t>
            </w:r>
          </w:p>
        </w:tc>
      </w:tr>
      <w:tr w:rsidR="001C7AD5" w:rsidRPr="00B45B4F" w:rsidTr="00094703">
        <w:trPr>
          <w:tblCellSpacing w:w="11" w:type="dxa"/>
        </w:trPr>
        <w:tc>
          <w:tcPr>
            <w:tcW w:w="5224" w:type="dxa"/>
            <w:gridSpan w:val="2"/>
            <w:shd w:val="clear" w:color="auto" w:fill="C6D9F1" w:themeFill="text2" w:themeFillTint="33"/>
          </w:tcPr>
          <w:p w:rsidR="001C7AD5" w:rsidRPr="00B45B4F" w:rsidRDefault="001C7AD5" w:rsidP="001C7AD5">
            <w:pPr>
              <w:pStyle w:val="BodyText"/>
              <w:spacing w:before="120" w:line="276" w:lineRule="auto"/>
              <w:jc w:val="both"/>
              <w:rPr>
                <w:rFonts w:ascii="Verdana" w:hAnsi="Verdana"/>
                <w:sz w:val="20"/>
                <w:szCs w:val="20"/>
              </w:rPr>
            </w:pPr>
            <w:r w:rsidRPr="00B45B4F">
              <w:rPr>
                <w:rFonts w:ascii="Verdana" w:hAnsi="Verdana"/>
                <w:sz w:val="20"/>
                <w:szCs w:val="20"/>
              </w:rPr>
              <w:t>Усъвършенстване на механизмите по признаване на придобито висше образование и завършени периоди на обучение в чуждестранни висши училища;</w:t>
            </w:r>
          </w:p>
        </w:tc>
        <w:tc>
          <w:tcPr>
            <w:tcW w:w="3800" w:type="dxa"/>
            <w:shd w:val="clear" w:color="auto" w:fill="C6D9F1" w:themeFill="text2" w:themeFillTint="33"/>
          </w:tcPr>
          <w:p w:rsidR="001C7AD5" w:rsidRPr="00B45B4F" w:rsidRDefault="004D16C5" w:rsidP="001C7AD5">
            <w:pPr>
              <w:pStyle w:val="BodyText"/>
              <w:spacing w:before="120" w:line="276" w:lineRule="auto"/>
              <w:jc w:val="both"/>
              <w:rPr>
                <w:rFonts w:ascii="Verdana" w:hAnsi="Verdana"/>
                <w:sz w:val="20"/>
                <w:szCs w:val="20"/>
              </w:rPr>
            </w:pPr>
            <w:r w:rsidRPr="00B45B4F">
              <w:rPr>
                <w:rFonts w:ascii="Verdana" w:hAnsi="Verdana"/>
                <w:sz w:val="20"/>
                <w:szCs w:val="20"/>
              </w:rPr>
              <w:t>Дейността ще способства постигането на СЦ1 и СЦ3.</w:t>
            </w:r>
          </w:p>
        </w:tc>
      </w:tr>
      <w:tr w:rsidR="001C7AD5" w:rsidRPr="00B45B4F" w:rsidTr="00094703">
        <w:trPr>
          <w:tblCellSpacing w:w="11" w:type="dxa"/>
        </w:trPr>
        <w:tc>
          <w:tcPr>
            <w:tcW w:w="5224" w:type="dxa"/>
            <w:gridSpan w:val="2"/>
            <w:shd w:val="clear" w:color="auto" w:fill="F2F2F2" w:themeFill="background1" w:themeFillShade="F2"/>
          </w:tcPr>
          <w:p w:rsidR="001C7AD5" w:rsidRPr="00B45B4F" w:rsidRDefault="001C7AD5" w:rsidP="001C7AD5">
            <w:pPr>
              <w:pStyle w:val="BodyText"/>
              <w:spacing w:before="120" w:line="276" w:lineRule="auto"/>
              <w:jc w:val="both"/>
              <w:rPr>
                <w:rFonts w:ascii="Verdana" w:hAnsi="Verdana"/>
                <w:sz w:val="20"/>
                <w:szCs w:val="20"/>
              </w:rPr>
            </w:pPr>
            <w:r w:rsidRPr="00B45B4F">
              <w:rPr>
                <w:rFonts w:ascii="Verdana" w:hAnsi="Verdana"/>
                <w:sz w:val="20"/>
                <w:szCs w:val="20"/>
              </w:rPr>
              <w:t>Предоставяне на студентски стипендии в т.ч. за стимулиране на обучение в приоритетни за икономиката области, както и на стипендии за специални постижения в науката, инженерно-техническите дейности, иновациите и предприемачеството, изкуството, културата и спорта (на конкурсен принцип);</w:t>
            </w:r>
          </w:p>
        </w:tc>
        <w:tc>
          <w:tcPr>
            <w:tcW w:w="3800" w:type="dxa"/>
            <w:shd w:val="clear" w:color="auto" w:fill="F2F2F2" w:themeFill="background1" w:themeFillShade="F2"/>
          </w:tcPr>
          <w:p w:rsidR="001C7AD5" w:rsidRPr="00B45B4F" w:rsidRDefault="004D16C5" w:rsidP="001C7AD5">
            <w:pPr>
              <w:pStyle w:val="BodyText"/>
              <w:spacing w:before="120" w:line="276" w:lineRule="auto"/>
              <w:jc w:val="both"/>
              <w:rPr>
                <w:rFonts w:ascii="Verdana" w:hAnsi="Verdana"/>
                <w:sz w:val="20"/>
                <w:szCs w:val="20"/>
              </w:rPr>
            </w:pPr>
            <w:r w:rsidRPr="00B45B4F">
              <w:rPr>
                <w:rFonts w:ascii="Verdana" w:hAnsi="Verdana"/>
                <w:sz w:val="20"/>
                <w:szCs w:val="20"/>
              </w:rPr>
              <w:t>Дейността е подходяща и ще способства постигането на СЦ3.</w:t>
            </w:r>
          </w:p>
        </w:tc>
      </w:tr>
      <w:tr w:rsidR="001C7AD5" w:rsidRPr="00B45B4F" w:rsidTr="00094703">
        <w:trPr>
          <w:tblCellSpacing w:w="11" w:type="dxa"/>
        </w:trPr>
        <w:tc>
          <w:tcPr>
            <w:tcW w:w="5224" w:type="dxa"/>
            <w:gridSpan w:val="2"/>
            <w:shd w:val="clear" w:color="auto" w:fill="C6D9F1" w:themeFill="text2" w:themeFillTint="33"/>
          </w:tcPr>
          <w:p w:rsidR="001C7AD5" w:rsidRPr="00B45B4F" w:rsidRDefault="001C7AD5" w:rsidP="001C7AD5">
            <w:pPr>
              <w:pStyle w:val="BodyText"/>
              <w:spacing w:before="120" w:line="276" w:lineRule="auto"/>
              <w:jc w:val="both"/>
              <w:rPr>
                <w:rFonts w:ascii="Verdana" w:hAnsi="Verdana"/>
                <w:sz w:val="20"/>
                <w:szCs w:val="20"/>
              </w:rPr>
            </w:pPr>
            <w:r w:rsidRPr="00B45B4F">
              <w:rPr>
                <w:rFonts w:ascii="Verdana" w:hAnsi="Verdana"/>
                <w:sz w:val="20"/>
                <w:szCs w:val="20"/>
              </w:rPr>
              <w:t>Подкрепа на системата на студентско кредитиране;</w:t>
            </w:r>
          </w:p>
        </w:tc>
        <w:tc>
          <w:tcPr>
            <w:tcW w:w="3800" w:type="dxa"/>
            <w:shd w:val="clear" w:color="auto" w:fill="C6D9F1" w:themeFill="text2" w:themeFillTint="33"/>
          </w:tcPr>
          <w:p w:rsidR="001C7AD5" w:rsidRPr="00B45B4F" w:rsidRDefault="004D16C5" w:rsidP="007B04F8">
            <w:pPr>
              <w:pStyle w:val="BodyText"/>
              <w:spacing w:before="120" w:line="276" w:lineRule="auto"/>
              <w:jc w:val="both"/>
              <w:rPr>
                <w:rFonts w:ascii="Verdana" w:hAnsi="Verdana"/>
                <w:sz w:val="20"/>
                <w:szCs w:val="20"/>
              </w:rPr>
            </w:pPr>
            <w:r w:rsidRPr="00B45B4F">
              <w:rPr>
                <w:rFonts w:ascii="Verdana" w:hAnsi="Verdana"/>
                <w:sz w:val="20"/>
                <w:szCs w:val="20"/>
              </w:rPr>
              <w:t xml:space="preserve">Дейността како цяло е уместна, защото ще подобри достъпа до образование, но нуждите от студентско кредитиране не са </w:t>
            </w:r>
            <w:r w:rsidRPr="00B45B4F">
              <w:rPr>
                <w:rFonts w:ascii="Verdana" w:hAnsi="Verdana"/>
                <w:sz w:val="20"/>
                <w:szCs w:val="20"/>
              </w:rPr>
              <w:lastRenderedPageBreak/>
              <w:t xml:space="preserve">обосновани и застъпени в анализа. </w:t>
            </w:r>
          </w:p>
        </w:tc>
      </w:tr>
      <w:tr w:rsidR="001C7AD5" w:rsidRPr="00B45B4F" w:rsidTr="00094703">
        <w:trPr>
          <w:tblCellSpacing w:w="11" w:type="dxa"/>
        </w:trPr>
        <w:tc>
          <w:tcPr>
            <w:tcW w:w="5224" w:type="dxa"/>
            <w:gridSpan w:val="2"/>
            <w:shd w:val="clear" w:color="auto" w:fill="F2F2F2" w:themeFill="background1" w:themeFillShade="F2"/>
          </w:tcPr>
          <w:p w:rsidR="001C7AD5" w:rsidRPr="00B45B4F" w:rsidRDefault="001C7AD5" w:rsidP="001C7AD5">
            <w:pPr>
              <w:pStyle w:val="BodyText"/>
              <w:spacing w:before="120" w:line="276" w:lineRule="auto"/>
              <w:jc w:val="both"/>
              <w:rPr>
                <w:rFonts w:ascii="Verdana" w:hAnsi="Verdana"/>
                <w:sz w:val="20"/>
                <w:szCs w:val="20"/>
              </w:rPr>
            </w:pPr>
            <w:r w:rsidRPr="00B45B4F">
              <w:rPr>
                <w:rFonts w:ascii="Verdana" w:hAnsi="Verdana"/>
                <w:sz w:val="20"/>
                <w:szCs w:val="20"/>
              </w:rPr>
              <w:lastRenderedPageBreak/>
              <w:t>Усъвършенстване на моделите на прием във висшите училища;</w:t>
            </w:r>
          </w:p>
        </w:tc>
        <w:tc>
          <w:tcPr>
            <w:tcW w:w="3800" w:type="dxa"/>
            <w:shd w:val="clear" w:color="auto" w:fill="F2F2F2" w:themeFill="background1" w:themeFillShade="F2"/>
          </w:tcPr>
          <w:p w:rsidR="001C7AD5" w:rsidRPr="00B45B4F" w:rsidRDefault="004D16C5" w:rsidP="001C7AD5">
            <w:pPr>
              <w:pStyle w:val="BodyText"/>
              <w:spacing w:before="120" w:line="276" w:lineRule="auto"/>
              <w:jc w:val="both"/>
              <w:rPr>
                <w:rFonts w:ascii="Verdana" w:hAnsi="Verdana"/>
                <w:sz w:val="20"/>
                <w:szCs w:val="20"/>
              </w:rPr>
            </w:pPr>
            <w:r w:rsidRPr="00B45B4F">
              <w:rPr>
                <w:rFonts w:ascii="Verdana" w:hAnsi="Verdana"/>
                <w:sz w:val="20"/>
                <w:szCs w:val="20"/>
              </w:rPr>
              <w:t>Не е ясно как дейността ще способства за увеличаване на броя на завършилите висше образование.</w:t>
            </w:r>
          </w:p>
        </w:tc>
      </w:tr>
      <w:tr w:rsidR="001C7AD5" w:rsidRPr="00B45B4F" w:rsidTr="00094703">
        <w:trPr>
          <w:tblCellSpacing w:w="11" w:type="dxa"/>
        </w:trPr>
        <w:tc>
          <w:tcPr>
            <w:tcW w:w="5224" w:type="dxa"/>
            <w:gridSpan w:val="2"/>
            <w:shd w:val="clear" w:color="auto" w:fill="C6D9F1" w:themeFill="text2" w:themeFillTint="33"/>
          </w:tcPr>
          <w:p w:rsidR="001C7AD5" w:rsidRPr="00B45B4F" w:rsidRDefault="001C7AD5" w:rsidP="001C7AD5">
            <w:pPr>
              <w:pStyle w:val="BodyText"/>
              <w:spacing w:before="120" w:line="276" w:lineRule="auto"/>
              <w:jc w:val="both"/>
              <w:rPr>
                <w:rFonts w:ascii="Verdana" w:hAnsi="Verdana"/>
                <w:sz w:val="20"/>
                <w:szCs w:val="20"/>
              </w:rPr>
            </w:pPr>
            <w:r w:rsidRPr="00B45B4F">
              <w:rPr>
                <w:rFonts w:ascii="Verdana" w:hAnsi="Verdana"/>
                <w:sz w:val="20"/>
                <w:szCs w:val="20"/>
              </w:rPr>
              <w:t>Оптимизиране дейността на висшите училища чрез:</w:t>
            </w:r>
            <w:r w:rsidRPr="00B45B4F">
              <w:rPr>
                <w:rFonts w:ascii="Verdana" w:hAnsi="Verdana"/>
                <w:sz w:val="20"/>
                <w:szCs w:val="20"/>
              </w:rPr>
              <w:br/>
              <w:t>- подобряване модела на финансиране</w:t>
            </w:r>
          </w:p>
          <w:p w:rsidR="001C7AD5" w:rsidRPr="00B45B4F" w:rsidRDefault="001C7AD5" w:rsidP="001C7AD5">
            <w:pPr>
              <w:pStyle w:val="BodyText"/>
              <w:spacing w:before="120" w:line="276" w:lineRule="auto"/>
              <w:jc w:val="both"/>
              <w:rPr>
                <w:rFonts w:ascii="Verdana" w:hAnsi="Verdana"/>
                <w:sz w:val="20"/>
                <w:szCs w:val="20"/>
              </w:rPr>
            </w:pPr>
            <w:r w:rsidRPr="00B45B4F">
              <w:rPr>
                <w:rFonts w:ascii="Verdana" w:hAnsi="Verdana"/>
                <w:sz w:val="20"/>
                <w:szCs w:val="20"/>
              </w:rPr>
              <w:t>- оптимизация на мрежата от висши училища</w:t>
            </w:r>
            <w:r w:rsidR="004D16C5" w:rsidRPr="00B45B4F">
              <w:rPr>
                <w:rFonts w:ascii="Verdana" w:hAnsi="Verdana"/>
                <w:sz w:val="20"/>
                <w:szCs w:val="20"/>
              </w:rPr>
              <w:t>.</w:t>
            </w:r>
          </w:p>
        </w:tc>
        <w:tc>
          <w:tcPr>
            <w:tcW w:w="3800" w:type="dxa"/>
            <w:shd w:val="clear" w:color="auto" w:fill="C6D9F1" w:themeFill="text2" w:themeFillTint="33"/>
          </w:tcPr>
          <w:p w:rsidR="001C7AD5" w:rsidRPr="00B45B4F" w:rsidRDefault="004D16C5" w:rsidP="002136D2">
            <w:pPr>
              <w:pStyle w:val="BodyText"/>
              <w:spacing w:before="120" w:line="276" w:lineRule="auto"/>
              <w:jc w:val="both"/>
              <w:rPr>
                <w:rFonts w:ascii="Verdana" w:hAnsi="Verdana"/>
                <w:sz w:val="20"/>
                <w:szCs w:val="20"/>
              </w:rPr>
            </w:pPr>
            <w:r w:rsidRPr="00B45B4F">
              <w:rPr>
                <w:rFonts w:ascii="Verdana" w:hAnsi="Verdana"/>
                <w:sz w:val="20"/>
                <w:szCs w:val="20"/>
              </w:rPr>
              <w:t xml:space="preserve">Дейността </w:t>
            </w:r>
            <w:r w:rsidR="002136D2" w:rsidRPr="00B45B4F">
              <w:rPr>
                <w:rFonts w:ascii="Verdana" w:hAnsi="Verdana"/>
                <w:sz w:val="20"/>
                <w:szCs w:val="20"/>
              </w:rPr>
              <w:t xml:space="preserve">адресира </w:t>
            </w:r>
            <w:r w:rsidRPr="00B45B4F">
              <w:rPr>
                <w:rFonts w:ascii="Verdana" w:hAnsi="Verdana"/>
                <w:sz w:val="20"/>
                <w:szCs w:val="20"/>
              </w:rPr>
              <w:t>СЦ2.</w:t>
            </w:r>
            <w:r w:rsidR="002136D2" w:rsidRPr="00B45B4F">
              <w:rPr>
                <w:rFonts w:ascii="Verdana" w:hAnsi="Verdana"/>
                <w:sz w:val="20"/>
                <w:szCs w:val="20"/>
              </w:rPr>
              <w:t xml:space="preserve"> В частта си относно подобряване модела на финансиране</w:t>
            </w:r>
            <w:r w:rsidR="004D201D" w:rsidRPr="00B45B4F">
              <w:rPr>
                <w:rFonts w:ascii="Verdana" w:hAnsi="Verdana"/>
                <w:sz w:val="20"/>
                <w:szCs w:val="20"/>
              </w:rPr>
              <w:t>,</w:t>
            </w:r>
            <w:r w:rsidR="002136D2" w:rsidRPr="00B45B4F">
              <w:rPr>
                <w:rFonts w:ascii="Verdana" w:hAnsi="Verdana"/>
                <w:sz w:val="20"/>
                <w:szCs w:val="20"/>
              </w:rPr>
              <w:t xml:space="preserve"> дейността се припокрива с посочената по-горе дейност: „</w:t>
            </w:r>
            <w:r w:rsidR="002136D2" w:rsidRPr="00B45B4F">
              <w:rPr>
                <w:rFonts w:ascii="Verdana" w:hAnsi="Verdana"/>
                <w:i/>
                <w:sz w:val="20"/>
                <w:szCs w:val="20"/>
              </w:rPr>
              <w:t xml:space="preserve">Разработване и внедряване на модели за обвързване на финансирането на висшите училища с резултатите от обучението и реализацията на студентите“. </w:t>
            </w:r>
            <w:r w:rsidR="002136D2" w:rsidRPr="00B45B4F">
              <w:rPr>
                <w:rFonts w:ascii="Verdana" w:hAnsi="Verdana"/>
                <w:sz w:val="20"/>
                <w:szCs w:val="20"/>
              </w:rPr>
              <w:t>Поради това двете дейности могат да се обединят. Не е ясно какво се разбира под „</w:t>
            </w:r>
            <w:r w:rsidR="002136D2" w:rsidRPr="00B45B4F">
              <w:rPr>
                <w:rFonts w:ascii="Verdana" w:hAnsi="Verdana"/>
                <w:i/>
                <w:sz w:val="20"/>
                <w:szCs w:val="20"/>
              </w:rPr>
              <w:t>оптимизация на мрежата от висши училища</w:t>
            </w:r>
            <w:r w:rsidR="002136D2" w:rsidRPr="00B45B4F">
              <w:rPr>
                <w:rFonts w:ascii="Verdana" w:hAnsi="Verdana"/>
                <w:sz w:val="20"/>
                <w:szCs w:val="20"/>
              </w:rPr>
              <w:t xml:space="preserve">“. </w:t>
            </w:r>
          </w:p>
        </w:tc>
      </w:tr>
      <w:tr w:rsidR="001C7AD5" w:rsidRPr="00B45B4F" w:rsidTr="00094703">
        <w:trPr>
          <w:tblCellSpacing w:w="11" w:type="dxa"/>
        </w:trPr>
        <w:tc>
          <w:tcPr>
            <w:tcW w:w="5224" w:type="dxa"/>
            <w:gridSpan w:val="2"/>
            <w:shd w:val="clear" w:color="auto" w:fill="F2F2F2" w:themeFill="background1" w:themeFillShade="F2"/>
          </w:tcPr>
          <w:p w:rsidR="001C7AD5" w:rsidRPr="00B45B4F" w:rsidRDefault="001C7AD5" w:rsidP="001C7AD5">
            <w:pPr>
              <w:pStyle w:val="BodyText"/>
              <w:spacing w:before="120" w:line="276" w:lineRule="auto"/>
              <w:jc w:val="both"/>
              <w:rPr>
                <w:rFonts w:ascii="Verdana" w:hAnsi="Verdana"/>
                <w:sz w:val="20"/>
                <w:szCs w:val="20"/>
              </w:rPr>
            </w:pPr>
            <w:r w:rsidRPr="00B45B4F">
              <w:rPr>
                <w:rFonts w:ascii="Verdana" w:hAnsi="Verdana"/>
                <w:sz w:val="20"/>
                <w:szCs w:val="20"/>
              </w:rPr>
              <w:t>Подкрепа за прилагане на гъвкави модели на обучение, позволяващи по-лесно съчетаване на ученето с лични/семейни ангажименти и/или с работа (в т.ч. дистанционно обучение);</w:t>
            </w:r>
          </w:p>
        </w:tc>
        <w:tc>
          <w:tcPr>
            <w:tcW w:w="3800" w:type="dxa"/>
            <w:shd w:val="clear" w:color="auto" w:fill="F2F2F2" w:themeFill="background1" w:themeFillShade="F2"/>
          </w:tcPr>
          <w:p w:rsidR="001C7AD5" w:rsidRPr="00B45B4F" w:rsidRDefault="004D16C5" w:rsidP="001C7AD5">
            <w:pPr>
              <w:pStyle w:val="BodyText"/>
              <w:spacing w:before="120" w:line="276" w:lineRule="auto"/>
              <w:jc w:val="both"/>
              <w:rPr>
                <w:rFonts w:ascii="Verdana" w:hAnsi="Verdana"/>
                <w:sz w:val="20"/>
                <w:szCs w:val="20"/>
              </w:rPr>
            </w:pPr>
            <w:r w:rsidRPr="00B45B4F">
              <w:rPr>
                <w:rFonts w:ascii="Verdana" w:hAnsi="Verdana"/>
                <w:sz w:val="20"/>
                <w:szCs w:val="20"/>
              </w:rPr>
              <w:t>Дейността е уместна и ще способства постигане</w:t>
            </w:r>
            <w:r w:rsidR="004D201D" w:rsidRPr="00B45B4F">
              <w:rPr>
                <w:rFonts w:ascii="Verdana" w:hAnsi="Verdana"/>
                <w:sz w:val="20"/>
                <w:szCs w:val="20"/>
              </w:rPr>
              <w:t>то</w:t>
            </w:r>
            <w:r w:rsidRPr="00B45B4F">
              <w:rPr>
                <w:rFonts w:ascii="Verdana" w:hAnsi="Verdana"/>
                <w:sz w:val="20"/>
                <w:szCs w:val="20"/>
              </w:rPr>
              <w:t xml:space="preserve"> на СЦ3.</w:t>
            </w:r>
          </w:p>
        </w:tc>
      </w:tr>
      <w:tr w:rsidR="001C7AD5" w:rsidRPr="00B45B4F" w:rsidTr="00094703">
        <w:trPr>
          <w:tblCellSpacing w:w="11" w:type="dxa"/>
        </w:trPr>
        <w:tc>
          <w:tcPr>
            <w:tcW w:w="5224" w:type="dxa"/>
            <w:gridSpan w:val="2"/>
            <w:shd w:val="clear" w:color="auto" w:fill="C6D9F1" w:themeFill="text2" w:themeFillTint="33"/>
          </w:tcPr>
          <w:p w:rsidR="001C7AD5" w:rsidRPr="00B45B4F" w:rsidRDefault="001C7AD5" w:rsidP="001C7AD5">
            <w:pPr>
              <w:pStyle w:val="BodyText"/>
              <w:spacing w:before="120" w:line="276" w:lineRule="auto"/>
              <w:jc w:val="both"/>
              <w:rPr>
                <w:rFonts w:ascii="Verdana" w:hAnsi="Verdana"/>
                <w:sz w:val="20"/>
                <w:szCs w:val="20"/>
              </w:rPr>
            </w:pPr>
            <w:r w:rsidRPr="00B45B4F">
              <w:rPr>
                <w:rFonts w:ascii="Verdana" w:hAnsi="Verdana"/>
                <w:sz w:val="20"/>
                <w:szCs w:val="20"/>
              </w:rPr>
              <w:t>Развитие на партньорски мрежи между български и чуждестранни студенти и техните организации за провеждане на научни изследвания</w:t>
            </w:r>
            <w:r w:rsidR="007B04F8" w:rsidRPr="00B45B4F">
              <w:rPr>
                <w:rFonts w:ascii="Verdana" w:hAnsi="Verdana"/>
                <w:sz w:val="20"/>
                <w:szCs w:val="20"/>
              </w:rPr>
              <w:t>.</w:t>
            </w:r>
          </w:p>
        </w:tc>
        <w:tc>
          <w:tcPr>
            <w:tcW w:w="3800" w:type="dxa"/>
            <w:shd w:val="clear" w:color="auto" w:fill="C6D9F1" w:themeFill="text2" w:themeFillTint="33"/>
          </w:tcPr>
          <w:p w:rsidR="001C7AD5" w:rsidRPr="00B45B4F" w:rsidRDefault="004D16C5" w:rsidP="004D16C5">
            <w:pPr>
              <w:pStyle w:val="BodyText"/>
              <w:spacing w:before="120" w:line="276" w:lineRule="auto"/>
              <w:jc w:val="both"/>
              <w:rPr>
                <w:rFonts w:ascii="Verdana" w:hAnsi="Verdana"/>
                <w:sz w:val="20"/>
                <w:szCs w:val="20"/>
              </w:rPr>
            </w:pPr>
            <w:r w:rsidRPr="00B45B4F">
              <w:rPr>
                <w:rFonts w:ascii="Verdana" w:hAnsi="Verdana"/>
                <w:sz w:val="20"/>
                <w:szCs w:val="20"/>
              </w:rPr>
              <w:t>Дейността косвено ще способства постигането на СЦ1, но като цяло не е от основните дейност</w:t>
            </w:r>
            <w:r w:rsidR="00D451B5">
              <w:rPr>
                <w:rFonts w:ascii="Verdana" w:hAnsi="Verdana"/>
                <w:sz w:val="20"/>
                <w:szCs w:val="20"/>
              </w:rPr>
              <w:t>и</w:t>
            </w:r>
            <w:r w:rsidRPr="00B45B4F">
              <w:rPr>
                <w:rFonts w:ascii="Verdana" w:hAnsi="Verdana"/>
                <w:sz w:val="20"/>
                <w:szCs w:val="20"/>
              </w:rPr>
              <w:t xml:space="preserve"> в подкрепа на поставените специфични цели.</w:t>
            </w:r>
            <w:r w:rsidR="007B04F8" w:rsidRPr="00B45B4F">
              <w:rPr>
                <w:rFonts w:ascii="Verdana" w:hAnsi="Verdana"/>
                <w:sz w:val="20"/>
                <w:szCs w:val="20"/>
              </w:rPr>
              <w:t xml:space="preserve"> По-уместни са дейности за създаване </w:t>
            </w:r>
            <w:r w:rsidR="004D201D" w:rsidRPr="00B45B4F">
              <w:rPr>
                <w:rFonts w:ascii="Verdana" w:hAnsi="Verdana"/>
                <w:sz w:val="20"/>
                <w:szCs w:val="20"/>
              </w:rPr>
              <w:t xml:space="preserve">на мрежи и сътрудничество между различни </w:t>
            </w:r>
            <w:r w:rsidR="007B04F8" w:rsidRPr="00B45B4F">
              <w:rPr>
                <w:rFonts w:ascii="Verdana" w:hAnsi="Verdana"/>
                <w:sz w:val="20"/>
                <w:szCs w:val="20"/>
              </w:rPr>
              <w:t xml:space="preserve">университети, в </w:t>
            </w:r>
            <w:proofErr w:type="spellStart"/>
            <w:r w:rsidR="007B04F8" w:rsidRPr="00B45B4F">
              <w:rPr>
                <w:rFonts w:ascii="Verdana" w:hAnsi="Verdana"/>
                <w:sz w:val="20"/>
                <w:szCs w:val="20"/>
              </w:rPr>
              <w:t>т.ч</w:t>
            </w:r>
            <w:proofErr w:type="spellEnd"/>
            <w:r w:rsidR="007B04F8" w:rsidRPr="00B45B4F">
              <w:rPr>
                <w:rFonts w:ascii="Verdana" w:hAnsi="Verdana"/>
                <w:sz w:val="20"/>
                <w:szCs w:val="20"/>
              </w:rPr>
              <w:t xml:space="preserve"> и между техните студенти.</w:t>
            </w:r>
          </w:p>
        </w:tc>
      </w:tr>
      <w:tr w:rsidR="00057F10" w:rsidRPr="00B45B4F" w:rsidTr="00094703">
        <w:trPr>
          <w:tblCellSpacing w:w="11" w:type="dxa"/>
        </w:trPr>
        <w:tc>
          <w:tcPr>
            <w:tcW w:w="9046" w:type="dxa"/>
            <w:gridSpan w:val="3"/>
            <w:shd w:val="clear" w:color="auto" w:fill="FBD4B4" w:themeFill="accent6" w:themeFillTint="66"/>
          </w:tcPr>
          <w:p w:rsidR="00057F10" w:rsidRPr="00B45B4F" w:rsidRDefault="00057F10" w:rsidP="00057F10">
            <w:pPr>
              <w:spacing w:before="120"/>
              <w:rPr>
                <w:rFonts w:ascii="Verdana" w:hAnsi="Verdana"/>
                <w:i/>
                <w:sz w:val="20"/>
                <w:szCs w:val="20"/>
                <w:lang w:val="bg-BG"/>
              </w:rPr>
            </w:pPr>
            <w:r w:rsidRPr="00B45B4F">
              <w:rPr>
                <w:rFonts w:ascii="Verdana" w:hAnsi="Verdana"/>
                <w:b/>
                <w:sz w:val="20"/>
                <w:szCs w:val="20"/>
                <w:lang w:val="bg-BG"/>
              </w:rPr>
              <w:t xml:space="preserve">Инвестиционен приоритет 3: </w:t>
            </w:r>
            <w:r w:rsidR="00BF4412" w:rsidRPr="00B45B4F">
              <w:rPr>
                <w:rFonts w:ascii="Verdana" w:hAnsi="Verdana"/>
                <w:i/>
                <w:sz w:val="20"/>
                <w:szCs w:val="20"/>
                <w:lang w:val="bg-BG"/>
              </w:rPr>
              <w:t>Подобряване на равния достъп до възможностите за учене през целия живот за всички възрастови групи във формален, неформален и неофициален вид, осъвременяване на познанията, уменията и компетенциите на работната ръка, както и насърчаване на гъвкави процеси на учене, включително чрез професионална ориентация и валидиране на придобитите компетенции</w:t>
            </w:r>
          </w:p>
        </w:tc>
      </w:tr>
      <w:tr w:rsidR="00365A25" w:rsidRPr="00B45B4F" w:rsidTr="00094703">
        <w:trPr>
          <w:tblCellSpacing w:w="11" w:type="dxa"/>
        </w:trPr>
        <w:tc>
          <w:tcPr>
            <w:tcW w:w="5224" w:type="dxa"/>
            <w:gridSpan w:val="2"/>
            <w:shd w:val="clear" w:color="auto" w:fill="C6D9F1" w:themeFill="text2" w:themeFillTint="33"/>
          </w:tcPr>
          <w:p w:rsidR="00365A25" w:rsidRPr="00B45B4F" w:rsidRDefault="00365A25" w:rsidP="00365A25">
            <w:pPr>
              <w:pStyle w:val="BodyText"/>
              <w:spacing w:before="120" w:line="276" w:lineRule="auto"/>
              <w:jc w:val="both"/>
              <w:rPr>
                <w:rFonts w:ascii="Verdana" w:hAnsi="Verdana"/>
                <w:sz w:val="20"/>
                <w:szCs w:val="20"/>
              </w:rPr>
            </w:pPr>
            <w:r w:rsidRPr="00B45B4F">
              <w:rPr>
                <w:rFonts w:ascii="Verdana" w:hAnsi="Verdana"/>
                <w:sz w:val="20"/>
                <w:szCs w:val="20"/>
              </w:rPr>
              <w:t xml:space="preserve">Подкрепа за квалификация, продължаващо </w:t>
            </w:r>
            <w:r w:rsidRPr="00B45B4F">
              <w:rPr>
                <w:rFonts w:ascii="Verdana" w:hAnsi="Verdana"/>
                <w:sz w:val="20"/>
                <w:szCs w:val="20"/>
              </w:rPr>
              <w:lastRenderedPageBreak/>
              <w:t>обучение и кариерно развитие на заетите в сферата на образованието, обучението и науката;</w:t>
            </w:r>
          </w:p>
        </w:tc>
        <w:tc>
          <w:tcPr>
            <w:tcW w:w="3800" w:type="dxa"/>
            <w:shd w:val="clear" w:color="auto" w:fill="C6D9F1" w:themeFill="text2" w:themeFillTint="33"/>
          </w:tcPr>
          <w:p w:rsidR="00365A25" w:rsidRPr="00B45B4F" w:rsidRDefault="00A60A54" w:rsidP="00365A25">
            <w:pPr>
              <w:pStyle w:val="BodyText"/>
              <w:spacing w:before="120" w:line="276" w:lineRule="auto"/>
              <w:jc w:val="both"/>
              <w:rPr>
                <w:rFonts w:ascii="Verdana" w:hAnsi="Verdana"/>
                <w:sz w:val="20"/>
                <w:szCs w:val="20"/>
              </w:rPr>
            </w:pPr>
            <w:r w:rsidRPr="00B45B4F">
              <w:rPr>
                <w:rFonts w:ascii="Verdana" w:hAnsi="Verdana"/>
                <w:sz w:val="20"/>
                <w:szCs w:val="20"/>
              </w:rPr>
              <w:lastRenderedPageBreak/>
              <w:t xml:space="preserve">Дейността е адекватна и ще </w:t>
            </w:r>
            <w:r w:rsidRPr="00B45B4F">
              <w:rPr>
                <w:rFonts w:ascii="Verdana" w:hAnsi="Verdana"/>
                <w:sz w:val="20"/>
                <w:szCs w:val="20"/>
              </w:rPr>
              <w:lastRenderedPageBreak/>
              <w:t>способства постигането на СЦ1.</w:t>
            </w:r>
          </w:p>
        </w:tc>
      </w:tr>
      <w:tr w:rsidR="00365A25" w:rsidRPr="00B45B4F" w:rsidTr="00094703">
        <w:trPr>
          <w:tblCellSpacing w:w="11" w:type="dxa"/>
        </w:trPr>
        <w:tc>
          <w:tcPr>
            <w:tcW w:w="5224" w:type="dxa"/>
            <w:gridSpan w:val="2"/>
            <w:shd w:val="clear" w:color="auto" w:fill="F2F2F2" w:themeFill="background1" w:themeFillShade="F2"/>
          </w:tcPr>
          <w:p w:rsidR="00365A25" w:rsidRPr="00B45B4F" w:rsidRDefault="00365A25" w:rsidP="00365A25">
            <w:pPr>
              <w:pStyle w:val="BodyText"/>
              <w:spacing w:before="120" w:line="276" w:lineRule="auto"/>
              <w:jc w:val="both"/>
              <w:rPr>
                <w:rFonts w:ascii="Verdana" w:hAnsi="Verdana"/>
                <w:sz w:val="20"/>
                <w:szCs w:val="20"/>
              </w:rPr>
            </w:pPr>
            <w:r w:rsidRPr="00B45B4F">
              <w:rPr>
                <w:rFonts w:ascii="Verdana" w:hAnsi="Verdana"/>
                <w:sz w:val="20"/>
                <w:szCs w:val="20"/>
              </w:rPr>
              <w:lastRenderedPageBreak/>
              <w:t>Развитие на капацитета и създаване на стимули за мотивиране и задържане на млади специалисти в системата на предучилищното и училищното образование, напр. чрез осигуряване на стипендии на млади педагогически специалисти, заети в системата на предучилищното и училищното образование, които желаят да продължат обучението в образователно-научна степен „доктор” по педагогически науки;</w:t>
            </w:r>
          </w:p>
        </w:tc>
        <w:tc>
          <w:tcPr>
            <w:tcW w:w="3800" w:type="dxa"/>
            <w:shd w:val="clear" w:color="auto" w:fill="F2F2F2" w:themeFill="background1" w:themeFillShade="F2"/>
          </w:tcPr>
          <w:p w:rsidR="00365A25" w:rsidRPr="00B45B4F" w:rsidRDefault="00A60A54" w:rsidP="00365A25">
            <w:pPr>
              <w:pStyle w:val="BodyText"/>
              <w:spacing w:before="120" w:line="276" w:lineRule="auto"/>
              <w:jc w:val="both"/>
              <w:rPr>
                <w:rFonts w:ascii="Verdana" w:hAnsi="Verdana"/>
                <w:sz w:val="20"/>
                <w:szCs w:val="20"/>
              </w:rPr>
            </w:pPr>
            <w:r w:rsidRPr="00B45B4F">
              <w:rPr>
                <w:rFonts w:ascii="Verdana" w:hAnsi="Verdana"/>
                <w:sz w:val="20"/>
                <w:szCs w:val="20"/>
              </w:rPr>
              <w:t>Дейността е адекватна и ще способства постигането на СЦ1. Нуждите от нея, обаче не са ясно разписани в обосновката.</w:t>
            </w:r>
          </w:p>
        </w:tc>
      </w:tr>
      <w:tr w:rsidR="00365A25" w:rsidRPr="00B45B4F" w:rsidTr="00094703">
        <w:trPr>
          <w:tblCellSpacing w:w="11" w:type="dxa"/>
        </w:trPr>
        <w:tc>
          <w:tcPr>
            <w:tcW w:w="5224" w:type="dxa"/>
            <w:gridSpan w:val="2"/>
            <w:shd w:val="clear" w:color="auto" w:fill="C6D9F1" w:themeFill="text2" w:themeFillTint="33"/>
          </w:tcPr>
          <w:p w:rsidR="00365A25" w:rsidRPr="00B45B4F" w:rsidRDefault="00365A25" w:rsidP="00365A25">
            <w:pPr>
              <w:pStyle w:val="BodyText"/>
              <w:spacing w:before="120" w:line="276" w:lineRule="auto"/>
              <w:jc w:val="both"/>
              <w:rPr>
                <w:rFonts w:ascii="Verdana" w:hAnsi="Verdana"/>
                <w:sz w:val="20"/>
                <w:szCs w:val="20"/>
              </w:rPr>
            </w:pPr>
            <w:r w:rsidRPr="00B45B4F">
              <w:rPr>
                <w:rFonts w:ascii="Verdana" w:hAnsi="Verdana"/>
                <w:sz w:val="20"/>
                <w:szCs w:val="20"/>
              </w:rPr>
              <w:t>Създаване на модел на професионален профил за всяка длъжност от кариерното развитие на педагогическите специалисти, който да определя необходимите компетентности като съвкупност от знания, умения и отношения;</w:t>
            </w:r>
          </w:p>
        </w:tc>
        <w:tc>
          <w:tcPr>
            <w:tcW w:w="3800" w:type="dxa"/>
            <w:shd w:val="clear" w:color="auto" w:fill="C6D9F1" w:themeFill="text2" w:themeFillTint="33"/>
          </w:tcPr>
          <w:p w:rsidR="00365A25" w:rsidRPr="00B45B4F" w:rsidRDefault="00A60A54" w:rsidP="00101C32">
            <w:pPr>
              <w:pStyle w:val="BodyText"/>
              <w:spacing w:before="120" w:line="276" w:lineRule="auto"/>
              <w:jc w:val="both"/>
              <w:rPr>
                <w:rFonts w:ascii="Verdana" w:hAnsi="Verdana"/>
                <w:sz w:val="20"/>
                <w:szCs w:val="20"/>
              </w:rPr>
            </w:pPr>
            <w:r w:rsidRPr="00B45B4F">
              <w:rPr>
                <w:rFonts w:ascii="Verdana" w:hAnsi="Verdana"/>
                <w:sz w:val="20"/>
                <w:szCs w:val="20"/>
              </w:rPr>
              <w:t>Дейността е уместна и ще способства за подобряване на кариерното развитие в областта на образованието и обучението и повишаване на квалификация</w:t>
            </w:r>
            <w:r w:rsidR="00101C32" w:rsidRPr="00B45B4F">
              <w:rPr>
                <w:rFonts w:ascii="Verdana" w:hAnsi="Verdana"/>
                <w:sz w:val="20"/>
                <w:szCs w:val="20"/>
              </w:rPr>
              <w:t>та на педагогическите специалисти</w:t>
            </w:r>
            <w:r w:rsidRPr="00B45B4F">
              <w:rPr>
                <w:rFonts w:ascii="Verdana" w:hAnsi="Verdana"/>
                <w:sz w:val="20"/>
                <w:szCs w:val="20"/>
              </w:rPr>
              <w:t>.</w:t>
            </w:r>
          </w:p>
        </w:tc>
      </w:tr>
      <w:tr w:rsidR="00365A25" w:rsidRPr="00B45B4F" w:rsidTr="00094703">
        <w:trPr>
          <w:tblCellSpacing w:w="11" w:type="dxa"/>
        </w:trPr>
        <w:tc>
          <w:tcPr>
            <w:tcW w:w="5224" w:type="dxa"/>
            <w:gridSpan w:val="2"/>
            <w:shd w:val="clear" w:color="auto" w:fill="F2F2F2" w:themeFill="background1" w:themeFillShade="F2"/>
          </w:tcPr>
          <w:p w:rsidR="00365A25" w:rsidRPr="00B45B4F" w:rsidRDefault="00365A25" w:rsidP="00365A25">
            <w:pPr>
              <w:pStyle w:val="BodyText"/>
              <w:spacing w:before="120" w:line="276" w:lineRule="auto"/>
              <w:jc w:val="both"/>
              <w:rPr>
                <w:rFonts w:ascii="Verdana" w:hAnsi="Verdana"/>
                <w:sz w:val="20"/>
                <w:szCs w:val="20"/>
              </w:rPr>
            </w:pPr>
            <w:r w:rsidRPr="00B45B4F">
              <w:rPr>
                <w:rFonts w:ascii="Verdana" w:hAnsi="Verdana"/>
                <w:sz w:val="20"/>
                <w:szCs w:val="20"/>
              </w:rPr>
              <w:t>Подобряване на условията за усъвършенстване и придобиване на нови личностни и професионални знания и умения, включително чрез развитие на партньорски мрежи;</w:t>
            </w:r>
          </w:p>
        </w:tc>
        <w:tc>
          <w:tcPr>
            <w:tcW w:w="3800" w:type="dxa"/>
            <w:shd w:val="clear" w:color="auto" w:fill="F2F2F2" w:themeFill="background1" w:themeFillShade="F2"/>
          </w:tcPr>
          <w:p w:rsidR="00365A25" w:rsidRPr="00B45B4F" w:rsidRDefault="00A60A54" w:rsidP="00365A25">
            <w:pPr>
              <w:pStyle w:val="BodyText"/>
              <w:spacing w:before="120" w:line="276" w:lineRule="auto"/>
              <w:jc w:val="both"/>
              <w:rPr>
                <w:rFonts w:ascii="Verdana" w:hAnsi="Verdana"/>
                <w:sz w:val="20"/>
                <w:szCs w:val="20"/>
              </w:rPr>
            </w:pPr>
            <w:r w:rsidRPr="00B45B4F">
              <w:rPr>
                <w:rFonts w:ascii="Verdana" w:hAnsi="Verdana"/>
                <w:sz w:val="20"/>
                <w:szCs w:val="20"/>
              </w:rPr>
              <w:t>Дейността е адекватна само ако става въпрос за заетите в областта на образованието и науката.</w:t>
            </w:r>
          </w:p>
        </w:tc>
      </w:tr>
      <w:tr w:rsidR="00365A25" w:rsidRPr="00B45B4F" w:rsidTr="00094703">
        <w:trPr>
          <w:tblCellSpacing w:w="11" w:type="dxa"/>
        </w:trPr>
        <w:tc>
          <w:tcPr>
            <w:tcW w:w="5224" w:type="dxa"/>
            <w:gridSpan w:val="2"/>
            <w:shd w:val="clear" w:color="auto" w:fill="C6D9F1" w:themeFill="text2" w:themeFillTint="33"/>
          </w:tcPr>
          <w:p w:rsidR="00365A25" w:rsidRPr="00B45B4F" w:rsidRDefault="00365A25" w:rsidP="00365A25">
            <w:pPr>
              <w:pStyle w:val="BodyText"/>
              <w:spacing w:before="120" w:line="276" w:lineRule="auto"/>
              <w:jc w:val="both"/>
              <w:rPr>
                <w:rFonts w:ascii="Verdana" w:hAnsi="Verdana"/>
                <w:sz w:val="20"/>
                <w:szCs w:val="20"/>
              </w:rPr>
            </w:pPr>
            <w:r w:rsidRPr="00B45B4F">
              <w:rPr>
                <w:rFonts w:ascii="Verdana" w:hAnsi="Verdana"/>
                <w:sz w:val="20"/>
                <w:szCs w:val="20"/>
              </w:rPr>
              <w:t>Развитие на капацитета и мотивиране на млади специалисти – докторанти, пост-докторанти, специализанти и млади учени в научния сектор и във висшето образование, включително и чрез съвместни програми с бизнеса;</w:t>
            </w:r>
          </w:p>
        </w:tc>
        <w:tc>
          <w:tcPr>
            <w:tcW w:w="3800" w:type="dxa"/>
            <w:shd w:val="clear" w:color="auto" w:fill="C6D9F1" w:themeFill="text2" w:themeFillTint="33"/>
          </w:tcPr>
          <w:p w:rsidR="00365A25" w:rsidRPr="00B45B4F" w:rsidRDefault="00A60A54" w:rsidP="00365A25">
            <w:pPr>
              <w:pStyle w:val="BodyText"/>
              <w:spacing w:before="120" w:line="276" w:lineRule="auto"/>
              <w:jc w:val="both"/>
              <w:rPr>
                <w:rFonts w:ascii="Verdana" w:hAnsi="Verdana"/>
                <w:sz w:val="20"/>
                <w:szCs w:val="20"/>
              </w:rPr>
            </w:pPr>
            <w:r w:rsidRPr="00B45B4F">
              <w:rPr>
                <w:rFonts w:ascii="Verdana" w:hAnsi="Verdana"/>
                <w:sz w:val="20"/>
                <w:szCs w:val="20"/>
              </w:rPr>
              <w:t>Дейността е адекватна и ще способства за постигане на СЦ1.</w:t>
            </w:r>
          </w:p>
        </w:tc>
      </w:tr>
      <w:tr w:rsidR="00365A25" w:rsidRPr="00B45B4F" w:rsidTr="00094703">
        <w:trPr>
          <w:tblCellSpacing w:w="11" w:type="dxa"/>
        </w:trPr>
        <w:tc>
          <w:tcPr>
            <w:tcW w:w="5224" w:type="dxa"/>
            <w:gridSpan w:val="2"/>
            <w:shd w:val="clear" w:color="auto" w:fill="F2F2F2" w:themeFill="background1" w:themeFillShade="F2"/>
          </w:tcPr>
          <w:p w:rsidR="00365A25" w:rsidRPr="00B45B4F" w:rsidRDefault="00365A25" w:rsidP="00A60A54">
            <w:pPr>
              <w:pStyle w:val="BodyText"/>
              <w:spacing w:before="120" w:line="276" w:lineRule="auto"/>
              <w:jc w:val="both"/>
              <w:rPr>
                <w:rFonts w:ascii="Verdana" w:hAnsi="Verdana"/>
                <w:sz w:val="20"/>
                <w:szCs w:val="20"/>
              </w:rPr>
            </w:pPr>
            <w:r w:rsidRPr="00B45B4F">
              <w:rPr>
                <w:rFonts w:ascii="Verdana" w:hAnsi="Verdana"/>
                <w:sz w:val="20"/>
                <w:szCs w:val="20"/>
              </w:rPr>
              <w:t xml:space="preserve">Подкрепа за развитието на докторанти, които реализират „проектна” докторантура в приоритетни за държавата научни области и икономически сектори; </w:t>
            </w:r>
          </w:p>
        </w:tc>
        <w:tc>
          <w:tcPr>
            <w:tcW w:w="3800" w:type="dxa"/>
            <w:shd w:val="clear" w:color="auto" w:fill="F2F2F2" w:themeFill="background1" w:themeFillShade="F2"/>
          </w:tcPr>
          <w:p w:rsidR="00365A25" w:rsidRPr="00B45B4F" w:rsidRDefault="00A60A54" w:rsidP="00894228">
            <w:pPr>
              <w:pStyle w:val="BodyText"/>
              <w:spacing w:before="120" w:line="276" w:lineRule="auto"/>
              <w:jc w:val="both"/>
              <w:rPr>
                <w:rFonts w:ascii="Verdana" w:hAnsi="Verdana"/>
                <w:sz w:val="20"/>
                <w:szCs w:val="20"/>
              </w:rPr>
            </w:pPr>
            <w:r w:rsidRPr="00B45B4F">
              <w:rPr>
                <w:rFonts w:ascii="Verdana" w:hAnsi="Verdana"/>
                <w:sz w:val="20"/>
                <w:szCs w:val="20"/>
              </w:rPr>
              <w:t>Дейността не отговаря пряко на нито една от дефинираните специфични цели</w:t>
            </w:r>
            <w:r w:rsidR="00051679" w:rsidRPr="00B45B4F">
              <w:rPr>
                <w:rFonts w:ascii="Verdana" w:hAnsi="Verdana"/>
                <w:sz w:val="20"/>
                <w:szCs w:val="20"/>
              </w:rPr>
              <w:t xml:space="preserve">. По-скоро </w:t>
            </w:r>
            <w:r w:rsidR="00894228" w:rsidRPr="00B45B4F">
              <w:rPr>
                <w:rFonts w:ascii="Verdana" w:hAnsi="Verdana"/>
                <w:sz w:val="20"/>
                <w:szCs w:val="20"/>
              </w:rPr>
              <w:t xml:space="preserve">е </w:t>
            </w:r>
            <w:r w:rsidR="00051679" w:rsidRPr="00B45B4F">
              <w:rPr>
                <w:rFonts w:ascii="Verdana" w:hAnsi="Verdana"/>
                <w:sz w:val="20"/>
                <w:szCs w:val="20"/>
              </w:rPr>
              <w:t>уместна за СЦ1 на ИП2 на ПО2.</w:t>
            </w:r>
          </w:p>
        </w:tc>
      </w:tr>
      <w:tr w:rsidR="00365A25" w:rsidRPr="00B45B4F" w:rsidTr="00094703">
        <w:trPr>
          <w:tblCellSpacing w:w="11" w:type="dxa"/>
        </w:trPr>
        <w:tc>
          <w:tcPr>
            <w:tcW w:w="5224" w:type="dxa"/>
            <w:gridSpan w:val="2"/>
            <w:shd w:val="clear" w:color="auto" w:fill="C6D9F1" w:themeFill="text2" w:themeFillTint="33"/>
          </w:tcPr>
          <w:p w:rsidR="00365A25" w:rsidRPr="00B45B4F" w:rsidRDefault="00365A25" w:rsidP="00365A25">
            <w:pPr>
              <w:pStyle w:val="BodyText"/>
              <w:spacing w:before="120" w:line="276" w:lineRule="auto"/>
              <w:jc w:val="both"/>
              <w:rPr>
                <w:rFonts w:ascii="Verdana" w:hAnsi="Verdana"/>
                <w:sz w:val="20"/>
                <w:szCs w:val="20"/>
              </w:rPr>
            </w:pPr>
            <w:r w:rsidRPr="00B45B4F">
              <w:rPr>
                <w:rFonts w:ascii="Verdana" w:hAnsi="Verdana"/>
                <w:sz w:val="20"/>
                <w:szCs w:val="20"/>
              </w:rPr>
              <w:t>Развитие на партньорски мрежи между български и чуждестранни учени, изследователи, докторанти, пост-докторанти, специализанти, млади учени и учители за провеждане на научни изследвания;</w:t>
            </w:r>
          </w:p>
        </w:tc>
        <w:tc>
          <w:tcPr>
            <w:tcW w:w="3800" w:type="dxa"/>
            <w:shd w:val="clear" w:color="auto" w:fill="C6D9F1" w:themeFill="text2" w:themeFillTint="33"/>
          </w:tcPr>
          <w:p w:rsidR="00365A25" w:rsidRPr="00B45B4F" w:rsidRDefault="00051679" w:rsidP="00365A25">
            <w:pPr>
              <w:pStyle w:val="BodyText"/>
              <w:spacing w:before="120" w:line="276" w:lineRule="auto"/>
              <w:jc w:val="both"/>
              <w:rPr>
                <w:rFonts w:ascii="Verdana" w:hAnsi="Verdana"/>
                <w:sz w:val="20"/>
                <w:szCs w:val="20"/>
              </w:rPr>
            </w:pPr>
            <w:r w:rsidRPr="00B45B4F">
              <w:rPr>
                <w:rFonts w:ascii="Verdana" w:hAnsi="Verdana"/>
                <w:sz w:val="20"/>
                <w:szCs w:val="20"/>
              </w:rPr>
              <w:t>Дейността е уместна, но преповтаря в голяма степен посочената по-горе дейност „</w:t>
            </w:r>
            <w:r w:rsidRPr="00B45B4F">
              <w:rPr>
                <w:rFonts w:ascii="Verdana" w:hAnsi="Verdana"/>
                <w:i/>
                <w:sz w:val="20"/>
                <w:szCs w:val="20"/>
              </w:rPr>
              <w:t xml:space="preserve">Подобряване на условията за усъвършенстване и придобиване на нови личностни и професионални знания и умения, </w:t>
            </w:r>
            <w:r w:rsidRPr="00B45B4F">
              <w:rPr>
                <w:rFonts w:ascii="Verdana" w:hAnsi="Verdana"/>
                <w:i/>
                <w:sz w:val="20"/>
                <w:szCs w:val="20"/>
              </w:rPr>
              <w:lastRenderedPageBreak/>
              <w:t>включително чрез развитие на партньорски мрежи</w:t>
            </w:r>
            <w:r w:rsidRPr="00B45B4F">
              <w:rPr>
                <w:rFonts w:ascii="Verdana" w:hAnsi="Verdana"/>
                <w:sz w:val="20"/>
                <w:szCs w:val="20"/>
              </w:rPr>
              <w:t>“</w:t>
            </w:r>
          </w:p>
        </w:tc>
      </w:tr>
      <w:tr w:rsidR="00365A25" w:rsidRPr="00B45B4F" w:rsidTr="00094703">
        <w:trPr>
          <w:tblCellSpacing w:w="11" w:type="dxa"/>
        </w:trPr>
        <w:tc>
          <w:tcPr>
            <w:tcW w:w="5224" w:type="dxa"/>
            <w:gridSpan w:val="2"/>
            <w:shd w:val="clear" w:color="auto" w:fill="F2F2F2" w:themeFill="background1" w:themeFillShade="F2"/>
          </w:tcPr>
          <w:p w:rsidR="00365A25" w:rsidRPr="00B45B4F" w:rsidRDefault="00365A25" w:rsidP="00365A25">
            <w:pPr>
              <w:pStyle w:val="BodyText"/>
              <w:spacing w:before="120" w:line="276" w:lineRule="auto"/>
              <w:jc w:val="both"/>
              <w:rPr>
                <w:rFonts w:ascii="Verdana" w:hAnsi="Verdana"/>
                <w:sz w:val="20"/>
                <w:szCs w:val="20"/>
              </w:rPr>
            </w:pPr>
            <w:r w:rsidRPr="00B45B4F">
              <w:rPr>
                <w:rFonts w:ascii="Verdana" w:hAnsi="Verdana"/>
                <w:sz w:val="20"/>
                <w:szCs w:val="20"/>
              </w:rPr>
              <w:lastRenderedPageBreak/>
              <w:t>Създаване, поддържане и прилагане на система за оценка (международна) на въздействието от въвеждането и изпълнението на стратегически програми и мерки за насърчаване на научните изследвания и въвеждане на задължителна, периодична международна оценка на организациите, финансиращи и провеждащи научни изследвания, развойна дейности и иновации, наред със система за регулярен мониторинг и анализ;</w:t>
            </w:r>
          </w:p>
        </w:tc>
        <w:tc>
          <w:tcPr>
            <w:tcW w:w="3800" w:type="dxa"/>
            <w:shd w:val="clear" w:color="auto" w:fill="F2F2F2" w:themeFill="background1" w:themeFillShade="F2"/>
          </w:tcPr>
          <w:p w:rsidR="00365A25" w:rsidRPr="00B45B4F" w:rsidRDefault="00051679" w:rsidP="00235454">
            <w:pPr>
              <w:pStyle w:val="BodyText"/>
              <w:spacing w:before="120" w:line="276" w:lineRule="auto"/>
              <w:jc w:val="both"/>
              <w:rPr>
                <w:rFonts w:ascii="Verdana" w:hAnsi="Verdana"/>
                <w:sz w:val="20"/>
                <w:szCs w:val="20"/>
              </w:rPr>
            </w:pPr>
            <w:r w:rsidRPr="00B45B4F">
              <w:rPr>
                <w:rFonts w:ascii="Verdana" w:hAnsi="Verdana"/>
                <w:sz w:val="20"/>
                <w:szCs w:val="20"/>
              </w:rPr>
              <w:t>Дейността не е уместна към нито една от специфични</w:t>
            </w:r>
            <w:r w:rsidR="00235454" w:rsidRPr="00B45B4F">
              <w:rPr>
                <w:rFonts w:ascii="Verdana" w:hAnsi="Verdana"/>
                <w:sz w:val="20"/>
                <w:szCs w:val="20"/>
              </w:rPr>
              <w:t>те</w:t>
            </w:r>
            <w:r w:rsidRPr="00B45B4F">
              <w:rPr>
                <w:rFonts w:ascii="Verdana" w:hAnsi="Verdana"/>
                <w:sz w:val="20"/>
                <w:szCs w:val="20"/>
              </w:rPr>
              <w:t xml:space="preserve"> цели и би трябвало да бъде отнесена към ПО1.</w:t>
            </w:r>
          </w:p>
        </w:tc>
      </w:tr>
      <w:tr w:rsidR="00365A25" w:rsidRPr="00B45B4F" w:rsidTr="00094703">
        <w:trPr>
          <w:tblCellSpacing w:w="11" w:type="dxa"/>
        </w:trPr>
        <w:tc>
          <w:tcPr>
            <w:tcW w:w="5224" w:type="dxa"/>
            <w:gridSpan w:val="2"/>
            <w:shd w:val="clear" w:color="auto" w:fill="C6D9F1" w:themeFill="text2" w:themeFillTint="33"/>
          </w:tcPr>
          <w:p w:rsidR="00365A25" w:rsidRPr="00B45B4F" w:rsidRDefault="00365A25" w:rsidP="00365A25">
            <w:pPr>
              <w:pStyle w:val="BodyText"/>
              <w:spacing w:before="120" w:line="276" w:lineRule="auto"/>
              <w:jc w:val="both"/>
              <w:rPr>
                <w:rFonts w:ascii="Verdana" w:hAnsi="Verdana"/>
                <w:sz w:val="20"/>
                <w:szCs w:val="20"/>
              </w:rPr>
            </w:pPr>
            <w:r w:rsidRPr="00B45B4F">
              <w:rPr>
                <w:rFonts w:ascii="Verdana" w:hAnsi="Verdana"/>
                <w:sz w:val="20"/>
                <w:szCs w:val="20"/>
              </w:rPr>
              <w:t>Създаване на изследователски потенциал в изградените центрове за върхови постижения и на благоприятни условия за провеждане на научни изследвания, кариерно израстване и мобилност, в т.ч. и възможности за привличане на учени от други държави или отваряне на позиции за български учени, които са били на работа в чуждестранни научни организации</w:t>
            </w:r>
            <w:r w:rsidR="00474C3C" w:rsidRPr="00B45B4F">
              <w:rPr>
                <w:rFonts w:ascii="Verdana" w:hAnsi="Verdana"/>
                <w:sz w:val="20"/>
                <w:szCs w:val="20"/>
              </w:rPr>
              <w:t>.</w:t>
            </w:r>
          </w:p>
        </w:tc>
        <w:tc>
          <w:tcPr>
            <w:tcW w:w="3800" w:type="dxa"/>
            <w:shd w:val="clear" w:color="auto" w:fill="C6D9F1" w:themeFill="text2" w:themeFillTint="33"/>
          </w:tcPr>
          <w:p w:rsidR="00365A25" w:rsidRPr="00B45B4F" w:rsidRDefault="00051679" w:rsidP="00E84A97">
            <w:pPr>
              <w:pStyle w:val="BodyText"/>
              <w:spacing w:before="120" w:line="276" w:lineRule="auto"/>
              <w:jc w:val="both"/>
              <w:rPr>
                <w:rFonts w:ascii="Verdana" w:hAnsi="Verdana"/>
                <w:sz w:val="20"/>
                <w:szCs w:val="20"/>
              </w:rPr>
            </w:pPr>
            <w:r w:rsidRPr="00B45B4F">
              <w:rPr>
                <w:rFonts w:ascii="Verdana" w:hAnsi="Verdana"/>
                <w:sz w:val="20"/>
                <w:szCs w:val="20"/>
              </w:rPr>
              <w:t>Смисълът на подкрепа</w:t>
            </w:r>
            <w:r w:rsidR="00F035DD" w:rsidRPr="00B45B4F">
              <w:rPr>
                <w:rFonts w:ascii="Verdana" w:hAnsi="Verdana"/>
                <w:sz w:val="20"/>
                <w:szCs w:val="20"/>
              </w:rPr>
              <w:t>,</w:t>
            </w:r>
            <w:r w:rsidRPr="00B45B4F">
              <w:rPr>
                <w:rFonts w:ascii="Verdana" w:hAnsi="Verdana"/>
                <w:sz w:val="20"/>
                <w:szCs w:val="20"/>
              </w:rPr>
              <w:t xml:space="preserve"> що се отнася до квалификацията на човешките ресурси</w:t>
            </w:r>
            <w:r w:rsidR="00F035DD" w:rsidRPr="00B45B4F">
              <w:rPr>
                <w:rFonts w:ascii="Verdana" w:hAnsi="Verdana"/>
                <w:sz w:val="20"/>
                <w:szCs w:val="20"/>
              </w:rPr>
              <w:t>,</w:t>
            </w:r>
            <w:r w:rsidRPr="00B45B4F">
              <w:rPr>
                <w:rFonts w:ascii="Verdana" w:hAnsi="Verdana"/>
                <w:sz w:val="20"/>
                <w:szCs w:val="20"/>
              </w:rPr>
              <w:t xml:space="preserve"> вече е адресиран чрез посочената по-горе дейност: „</w:t>
            </w:r>
            <w:r w:rsidRPr="00B45B4F">
              <w:rPr>
                <w:rFonts w:ascii="Verdana" w:hAnsi="Verdana"/>
                <w:i/>
                <w:sz w:val="20"/>
                <w:szCs w:val="20"/>
              </w:rPr>
              <w:t xml:space="preserve">Подкрепа за квалификация, продължаващо обучение и кариерно развитие на заетите в сферата на образованието, обучението и науката“. </w:t>
            </w:r>
            <w:r w:rsidRPr="00B45B4F">
              <w:rPr>
                <w:rFonts w:ascii="Verdana" w:hAnsi="Verdana"/>
                <w:sz w:val="20"/>
                <w:szCs w:val="20"/>
              </w:rPr>
              <w:t>Другите значения на подкрепа не са умес</w:t>
            </w:r>
            <w:r w:rsidR="00E84A97" w:rsidRPr="00B45B4F">
              <w:rPr>
                <w:rFonts w:ascii="Verdana" w:hAnsi="Verdana"/>
                <w:sz w:val="20"/>
                <w:szCs w:val="20"/>
              </w:rPr>
              <w:t>т</w:t>
            </w:r>
            <w:r w:rsidRPr="00B45B4F">
              <w:rPr>
                <w:rFonts w:ascii="Verdana" w:hAnsi="Verdana"/>
                <w:sz w:val="20"/>
                <w:szCs w:val="20"/>
              </w:rPr>
              <w:t>ни към настоящия ИП.</w:t>
            </w:r>
          </w:p>
        </w:tc>
      </w:tr>
      <w:tr w:rsidR="00365A25" w:rsidRPr="00B45B4F" w:rsidTr="00094703">
        <w:trPr>
          <w:tblCellSpacing w:w="11" w:type="dxa"/>
        </w:trPr>
        <w:tc>
          <w:tcPr>
            <w:tcW w:w="5224" w:type="dxa"/>
            <w:gridSpan w:val="2"/>
            <w:shd w:val="clear" w:color="auto" w:fill="F2F2F2" w:themeFill="background1" w:themeFillShade="F2"/>
          </w:tcPr>
          <w:p w:rsidR="00365A25" w:rsidRPr="00B45B4F" w:rsidRDefault="00365A25" w:rsidP="00365A25">
            <w:pPr>
              <w:pStyle w:val="BodyText"/>
              <w:spacing w:before="120" w:line="276" w:lineRule="auto"/>
              <w:jc w:val="both"/>
              <w:rPr>
                <w:rFonts w:ascii="Verdana" w:hAnsi="Verdana"/>
                <w:sz w:val="20"/>
                <w:szCs w:val="20"/>
              </w:rPr>
            </w:pPr>
            <w:r w:rsidRPr="00B45B4F">
              <w:rPr>
                <w:rFonts w:ascii="Verdana" w:hAnsi="Verdana"/>
                <w:sz w:val="20"/>
                <w:szCs w:val="20"/>
              </w:rPr>
              <w:t>Подпомагане на процеса на разпространение на научните резултати, вкл. подпомагане на организирането на национални и международни научни форуми (конференции, семинари, симпозиуми, конгреси, летни училища, състезания)</w:t>
            </w:r>
          </w:p>
        </w:tc>
        <w:tc>
          <w:tcPr>
            <w:tcW w:w="3800" w:type="dxa"/>
            <w:shd w:val="clear" w:color="auto" w:fill="F2F2F2" w:themeFill="background1" w:themeFillShade="F2"/>
          </w:tcPr>
          <w:p w:rsidR="00365A25" w:rsidRPr="00B45B4F" w:rsidRDefault="00E84A97" w:rsidP="00365A25">
            <w:pPr>
              <w:pStyle w:val="BodyText"/>
              <w:spacing w:before="120" w:line="276" w:lineRule="auto"/>
              <w:jc w:val="both"/>
              <w:rPr>
                <w:rFonts w:ascii="Verdana" w:hAnsi="Verdana"/>
                <w:sz w:val="20"/>
                <w:szCs w:val="20"/>
              </w:rPr>
            </w:pPr>
            <w:r w:rsidRPr="00B45B4F">
              <w:rPr>
                <w:rFonts w:ascii="Verdana" w:hAnsi="Verdana"/>
                <w:sz w:val="20"/>
                <w:szCs w:val="20"/>
              </w:rPr>
              <w:t>Дейността е уместна за СЦ1.</w:t>
            </w:r>
          </w:p>
        </w:tc>
      </w:tr>
      <w:tr w:rsidR="00365A25" w:rsidRPr="00B45B4F" w:rsidTr="00094703">
        <w:trPr>
          <w:tblCellSpacing w:w="11" w:type="dxa"/>
        </w:trPr>
        <w:tc>
          <w:tcPr>
            <w:tcW w:w="5224" w:type="dxa"/>
            <w:gridSpan w:val="2"/>
            <w:shd w:val="clear" w:color="auto" w:fill="C6D9F1" w:themeFill="text2" w:themeFillTint="33"/>
          </w:tcPr>
          <w:p w:rsidR="00365A25" w:rsidRPr="00B45B4F" w:rsidRDefault="00365A25" w:rsidP="00365A25">
            <w:pPr>
              <w:pStyle w:val="BodyText"/>
              <w:spacing w:before="120" w:line="276" w:lineRule="auto"/>
              <w:jc w:val="both"/>
              <w:rPr>
                <w:rFonts w:ascii="Verdana" w:hAnsi="Verdana"/>
                <w:sz w:val="20"/>
                <w:szCs w:val="20"/>
              </w:rPr>
            </w:pPr>
            <w:r w:rsidRPr="00B45B4F">
              <w:rPr>
                <w:rFonts w:ascii="Verdana" w:hAnsi="Verdana"/>
                <w:sz w:val="20"/>
                <w:szCs w:val="20"/>
              </w:rPr>
              <w:t>Подкрепа на стажант – учители чрез финансиране на стажантската практика от практическата подготовка на студентите във висшите училища;</w:t>
            </w:r>
          </w:p>
        </w:tc>
        <w:tc>
          <w:tcPr>
            <w:tcW w:w="3800" w:type="dxa"/>
            <w:shd w:val="clear" w:color="auto" w:fill="C6D9F1" w:themeFill="text2" w:themeFillTint="33"/>
          </w:tcPr>
          <w:p w:rsidR="00365A25" w:rsidRPr="00B45B4F" w:rsidRDefault="00E84A97" w:rsidP="00365A25">
            <w:pPr>
              <w:pStyle w:val="BodyText"/>
              <w:spacing w:before="120" w:line="276" w:lineRule="auto"/>
              <w:jc w:val="both"/>
              <w:rPr>
                <w:rFonts w:ascii="Verdana" w:hAnsi="Verdana"/>
                <w:sz w:val="20"/>
                <w:szCs w:val="20"/>
              </w:rPr>
            </w:pPr>
            <w:r w:rsidRPr="00B45B4F">
              <w:rPr>
                <w:rFonts w:ascii="Verdana" w:hAnsi="Verdana"/>
                <w:sz w:val="20"/>
                <w:szCs w:val="20"/>
              </w:rPr>
              <w:t>Дейността е уместна за СЦ1.</w:t>
            </w:r>
          </w:p>
        </w:tc>
      </w:tr>
      <w:tr w:rsidR="00365A25" w:rsidRPr="00065C14" w:rsidTr="00FE5A49">
        <w:trPr>
          <w:tblCellSpacing w:w="11" w:type="dxa"/>
        </w:trPr>
        <w:tc>
          <w:tcPr>
            <w:tcW w:w="5224" w:type="dxa"/>
            <w:gridSpan w:val="2"/>
            <w:shd w:val="clear" w:color="auto" w:fill="FFFFFF" w:themeFill="background1"/>
          </w:tcPr>
          <w:p w:rsidR="00365A25" w:rsidRPr="00B57A71" w:rsidRDefault="00365A25" w:rsidP="00365A25">
            <w:pPr>
              <w:pStyle w:val="BodyText"/>
              <w:spacing w:before="120" w:line="276" w:lineRule="auto"/>
              <w:jc w:val="both"/>
              <w:rPr>
                <w:rFonts w:ascii="Verdana" w:hAnsi="Verdana"/>
                <w:sz w:val="20"/>
                <w:szCs w:val="20"/>
              </w:rPr>
            </w:pPr>
            <w:r w:rsidRPr="00065C14">
              <w:rPr>
                <w:rFonts w:ascii="Verdana" w:hAnsi="Verdana"/>
                <w:sz w:val="20"/>
                <w:szCs w:val="20"/>
              </w:rPr>
              <w:t xml:space="preserve">Насърчаване на гъвкави пътеки за учене през целия живот за лицата, </w:t>
            </w:r>
            <w:proofErr w:type="spellStart"/>
            <w:r w:rsidRPr="00065C14">
              <w:rPr>
                <w:rFonts w:ascii="Verdana" w:hAnsi="Verdana"/>
                <w:sz w:val="20"/>
                <w:szCs w:val="20"/>
              </w:rPr>
              <w:t>необхванати</w:t>
            </w:r>
            <w:proofErr w:type="spellEnd"/>
            <w:r w:rsidRPr="00065C14">
              <w:rPr>
                <w:rFonts w:ascii="Verdana" w:hAnsi="Verdana"/>
                <w:sz w:val="20"/>
                <w:szCs w:val="20"/>
              </w:rPr>
              <w:t xml:space="preserve"> от традиционната образователна система чрез разши</w:t>
            </w:r>
            <w:r w:rsidRPr="00B57A71">
              <w:rPr>
                <w:rFonts w:ascii="Verdana" w:hAnsi="Verdana"/>
                <w:sz w:val="20"/>
                <w:szCs w:val="20"/>
              </w:rPr>
              <w:t xml:space="preserve">ряване на спектъра от възможности за учене в т. ч. ограмотяване на възрастни, курсове за усвояване на учебно съдържание за различните образователни степени и за </w:t>
            </w:r>
            <w:r w:rsidRPr="00B57A71">
              <w:rPr>
                <w:rFonts w:ascii="Verdana" w:hAnsi="Verdana"/>
                <w:sz w:val="20"/>
                <w:szCs w:val="20"/>
              </w:rPr>
              <w:lastRenderedPageBreak/>
              <w:t xml:space="preserve">придобиване на степени на професионална квалификация. </w:t>
            </w:r>
          </w:p>
        </w:tc>
        <w:tc>
          <w:tcPr>
            <w:tcW w:w="3800" w:type="dxa"/>
            <w:shd w:val="clear" w:color="auto" w:fill="FFFFFF" w:themeFill="background1"/>
          </w:tcPr>
          <w:p w:rsidR="00365A25" w:rsidRPr="00065C14" w:rsidRDefault="00585981" w:rsidP="00365A25">
            <w:pPr>
              <w:pStyle w:val="BodyText"/>
              <w:spacing w:before="120" w:line="276" w:lineRule="auto"/>
              <w:jc w:val="both"/>
              <w:rPr>
                <w:rFonts w:ascii="Verdana" w:hAnsi="Verdana"/>
                <w:sz w:val="20"/>
                <w:szCs w:val="20"/>
              </w:rPr>
            </w:pPr>
            <w:r w:rsidRPr="00FB3AF7">
              <w:rPr>
                <w:rFonts w:ascii="Verdana" w:hAnsi="Verdana"/>
                <w:sz w:val="20"/>
                <w:szCs w:val="20"/>
              </w:rPr>
              <w:lastRenderedPageBreak/>
              <w:t>Дейността адресира СЦ2.</w:t>
            </w:r>
          </w:p>
        </w:tc>
      </w:tr>
      <w:tr w:rsidR="00365A25" w:rsidRPr="00065C14" w:rsidTr="00FE5A49">
        <w:trPr>
          <w:tblCellSpacing w:w="11" w:type="dxa"/>
        </w:trPr>
        <w:tc>
          <w:tcPr>
            <w:tcW w:w="5224" w:type="dxa"/>
            <w:gridSpan w:val="2"/>
            <w:shd w:val="clear" w:color="auto" w:fill="C6D9F1" w:themeFill="text2" w:themeFillTint="33"/>
          </w:tcPr>
          <w:p w:rsidR="00365A25" w:rsidRPr="00065C14" w:rsidRDefault="00365A25" w:rsidP="00365A25">
            <w:pPr>
              <w:pStyle w:val="BodyText"/>
              <w:spacing w:before="120" w:line="276" w:lineRule="auto"/>
              <w:jc w:val="both"/>
              <w:rPr>
                <w:rFonts w:ascii="Verdana" w:hAnsi="Verdana"/>
                <w:sz w:val="20"/>
                <w:szCs w:val="20"/>
              </w:rPr>
            </w:pPr>
            <w:r w:rsidRPr="00065C14">
              <w:rPr>
                <w:rFonts w:ascii="Verdana" w:hAnsi="Verdana"/>
                <w:sz w:val="20"/>
                <w:szCs w:val="20"/>
              </w:rPr>
              <w:lastRenderedPageBreak/>
              <w:t xml:space="preserve">Подкрепа на дейности за подобряване на координацията на заинтересованите страни и за изграждане на механизми за взаимодействие при планирането, изпълнението, мониторинга и оценката на политиката за УЦЖ; </w:t>
            </w:r>
          </w:p>
        </w:tc>
        <w:tc>
          <w:tcPr>
            <w:tcW w:w="3800" w:type="dxa"/>
            <w:shd w:val="clear" w:color="auto" w:fill="C6D9F1" w:themeFill="text2" w:themeFillTint="33"/>
          </w:tcPr>
          <w:p w:rsidR="00365A25" w:rsidRPr="00065C14" w:rsidRDefault="00585981" w:rsidP="00365A25">
            <w:pPr>
              <w:pStyle w:val="BodyText"/>
              <w:spacing w:before="120" w:line="276" w:lineRule="auto"/>
              <w:jc w:val="both"/>
              <w:rPr>
                <w:rFonts w:ascii="Verdana" w:hAnsi="Verdana"/>
                <w:sz w:val="20"/>
                <w:szCs w:val="20"/>
              </w:rPr>
            </w:pPr>
            <w:r w:rsidRPr="00B57A71">
              <w:rPr>
                <w:rFonts w:ascii="Verdana" w:hAnsi="Verdana"/>
                <w:sz w:val="20"/>
                <w:szCs w:val="20"/>
              </w:rPr>
              <w:t>Дейността адресира СЦ2, но не е добре застъпена в обосновката на ну</w:t>
            </w:r>
            <w:r w:rsidRPr="00FB3AF7">
              <w:rPr>
                <w:rFonts w:ascii="Verdana" w:hAnsi="Verdana"/>
                <w:sz w:val="20"/>
                <w:szCs w:val="20"/>
              </w:rPr>
              <w:t>ждите.</w:t>
            </w:r>
          </w:p>
        </w:tc>
      </w:tr>
      <w:tr w:rsidR="00065C14" w:rsidRPr="00B45B4F" w:rsidTr="00FE5A49">
        <w:trPr>
          <w:tblCellSpacing w:w="11" w:type="dxa"/>
        </w:trPr>
        <w:tc>
          <w:tcPr>
            <w:tcW w:w="5224" w:type="dxa"/>
            <w:gridSpan w:val="2"/>
            <w:shd w:val="clear" w:color="auto" w:fill="F2F2F2" w:themeFill="background1" w:themeFillShade="F2"/>
          </w:tcPr>
          <w:p w:rsidR="00065C14" w:rsidRPr="00B45B4F" w:rsidRDefault="00065C14" w:rsidP="002423AD">
            <w:pPr>
              <w:pStyle w:val="BodyText"/>
              <w:spacing w:before="120" w:line="276" w:lineRule="auto"/>
              <w:jc w:val="both"/>
              <w:rPr>
                <w:rFonts w:ascii="Verdana" w:hAnsi="Verdana"/>
                <w:sz w:val="20"/>
                <w:szCs w:val="20"/>
              </w:rPr>
            </w:pPr>
            <w:r w:rsidRPr="00B45B4F">
              <w:rPr>
                <w:rFonts w:ascii="Verdana" w:hAnsi="Verdana"/>
                <w:sz w:val="20"/>
                <w:szCs w:val="20"/>
              </w:rPr>
              <w:t>Създаване на условия за разработване на секторни квалификационни рамки в системата на професионалното образование и обучение и висшето образование и в контекста на Националната квалификационна рамка на Република България;</w:t>
            </w:r>
          </w:p>
        </w:tc>
        <w:tc>
          <w:tcPr>
            <w:tcW w:w="3800" w:type="dxa"/>
            <w:shd w:val="clear" w:color="auto" w:fill="F2F2F2" w:themeFill="background1" w:themeFillShade="F2"/>
          </w:tcPr>
          <w:p w:rsidR="00065C14" w:rsidRPr="00B45B4F" w:rsidRDefault="00065C14" w:rsidP="002423AD">
            <w:pPr>
              <w:pStyle w:val="BodyText"/>
              <w:spacing w:before="120" w:line="276" w:lineRule="auto"/>
              <w:jc w:val="both"/>
              <w:rPr>
                <w:rFonts w:ascii="Verdana" w:hAnsi="Verdana"/>
                <w:sz w:val="20"/>
                <w:szCs w:val="20"/>
              </w:rPr>
            </w:pPr>
            <w:r w:rsidRPr="00B45B4F">
              <w:rPr>
                <w:rFonts w:ascii="Verdana" w:hAnsi="Verdana"/>
                <w:sz w:val="20"/>
                <w:szCs w:val="20"/>
              </w:rPr>
              <w:t>Дейността адресира СЦ1, но не е добре застъпена в обосновката на нуждите.</w:t>
            </w:r>
          </w:p>
        </w:tc>
      </w:tr>
      <w:tr w:rsidR="00065C14" w:rsidRPr="00B45B4F" w:rsidTr="00FE5A49">
        <w:trPr>
          <w:tblCellSpacing w:w="11" w:type="dxa"/>
        </w:trPr>
        <w:tc>
          <w:tcPr>
            <w:tcW w:w="5224" w:type="dxa"/>
            <w:gridSpan w:val="2"/>
            <w:shd w:val="clear" w:color="auto" w:fill="C6D9F1" w:themeFill="text2" w:themeFillTint="33"/>
          </w:tcPr>
          <w:p w:rsidR="00065C14" w:rsidRPr="00B45B4F" w:rsidRDefault="00065C14" w:rsidP="002423AD">
            <w:pPr>
              <w:pStyle w:val="BodyText"/>
              <w:spacing w:before="120" w:line="276" w:lineRule="auto"/>
              <w:jc w:val="both"/>
              <w:rPr>
                <w:rFonts w:ascii="Verdana" w:hAnsi="Verdana"/>
                <w:sz w:val="20"/>
                <w:szCs w:val="20"/>
              </w:rPr>
            </w:pPr>
            <w:r w:rsidRPr="00B45B4F">
              <w:rPr>
                <w:rFonts w:ascii="Verdana" w:hAnsi="Verdana"/>
                <w:sz w:val="20"/>
                <w:szCs w:val="20"/>
              </w:rPr>
              <w:t>Подкрепа за дейности по Националната квалификационна рамка и по секторните квалификационни рамки</w:t>
            </w:r>
          </w:p>
        </w:tc>
        <w:tc>
          <w:tcPr>
            <w:tcW w:w="3800" w:type="dxa"/>
            <w:shd w:val="clear" w:color="auto" w:fill="C6D9F1" w:themeFill="text2" w:themeFillTint="33"/>
          </w:tcPr>
          <w:p w:rsidR="00065C14" w:rsidRPr="00B45B4F" w:rsidRDefault="00065C14" w:rsidP="002423AD">
            <w:pPr>
              <w:pStyle w:val="BodyText"/>
              <w:spacing w:before="120" w:line="276" w:lineRule="auto"/>
              <w:jc w:val="both"/>
              <w:rPr>
                <w:rFonts w:ascii="Verdana" w:hAnsi="Verdana"/>
                <w:sz w:val="20"/>
                <w:szCs w:val="20"/>
              </w:rPr>
            </w:pPr>
            <w:r w:rsidRPr="00B45B4F">
              <w:rPr>
                <w:rFonts w:ascii="Verdana" w:hAnsi="Verdana"/>
                <w:sz w:val="20"/>
                <w:szCs w:val="20"/>
              </w:rPr>
              <w:t>Дейността е неясна, тъй като Националната квалификационна рамка не посочва дейности. Не е добре обоснована в представянето на нуждите.</w:t>
            </w:r>
          </w:p>
        </w:tc>
      </w:tr>
      <w:tr w:rsidR="00A60A54" w:rsidRPr="00065C14" w:rsidTr="00FE5A49">
        <w:trPr>
          <w:tblCellSpacing w:w="11" w:type="dxa"/>
        </w:trPr>
        <w:tc>
          <w:tcPr>
            <w:tcW w:w="5224" w:type="dxa"/>
            <w:gridSpan w:val="2"/>
            <w:shd w:val="clear" w:color="auto" w:fill="F2F2F2" w:themeFill="background1" w:themeFillShade="F2"/>
          </w:tcPr>
          <w:p w:rsidR="00A60A54" w:rsidRPr="00B57A71" w:rsidRDefault="00A60A54" w:rsidP="00A60A54">
            <w:pPr>
              <w:pStyle w:val="BodyText"/>
              <w:spacing w:before="120" w:line="276" w:lineRule="auto"/>
              <w:jc w:val="both"/>
              <w:rPr>
                <w:rFonts w:ascii="Verdana" w:hAnsi="Verdana"/>
                <w:sz w:val="20"/>
                <w:szCs w:val="20"/>
              </w:rPr>
            </w:pPr>
            <w:r w:rsidRPr="00B57A71">
              <w:rPr>
                <w:rFonts w:ascii="Verdana" w:hAnsi="Verdana"/>
                <w:sz w:val="20"/>
                <w:szCs w:val="20"/>
              </w:rPr>
              <w:t>Разширяване на спектъра от изследвания, анализи и оценки на въздействието за формиране на адекватни политики за образование и обучение през целия живот;</w:t>
            </w:r>
          </w:p>
        </w:tc>
        <w:tc>
          <w:tcPr>
            <w:tcW w:w="3800" w:type="dxa"/>
            <w:shd w:val="clear" w:color="auto" w:fill="F2F2F2" w:themeFill="background1" w:themeFillShade="F2"/>
          </w:tcPr>
          <w:p w:rsidR="00A60A54" w:rsidRPr="00065C14" w:rsidRDefault="00585981" w:rsidP="00A60A54">
            <w:pPr>
              <w:pStyle w:val="BodyText"/>
              <w:spacing w:before="120" w:line="276" w:lineRule="auto"/>
              <w:jc w:val="both"/>
              <w:rPr>
                <w:rFonts w:ascii="Verdana" w:hAnsi="Verdana"/>
                <w:sz w:val="20"/>
                <w:szCs w:val="20"/>
              </w:rPr>
            </w:pPr>
            <w:r w:rsidRPr="00FB3AF7">
              <w:rPr>
                <w:rFonts w:ascii="Verdana" w:hAnsi="Verdana"/>
                <w:sz w:val="20"/>
                <w:szCs w:val="20"/>
              </w:rPr>
              <w:t>Дейността адресира СЦ2, но не е добре застъпена в обосновката на нуждите.</w:t>
            </w:r>
          </w:p>
        </w:tc>
      </w:tr>
      <w:tr w:rsidR="00065C14" w:rsidRPr="00B45B4F" w:rsidTr="00FE5A49">
        <w:trPr>
          <w:tblCellSpacing w:w="11" w:type="dxa"/>
        </w:trPr>
        <w:tc>
          <w:tcPr>
            <w:tcW w:w="5224" w:type="dxa"/>
            <w:gridSpan w:val="2"/>
            <w:shd w:val="clear" w:color="auto" w:fill="C6D9F1" w:themeFill="text2" w:themeFillTint="33"/>
          </w:tcPr>
          <w:p w:rsidR="00065C14" w:rsidRPr="00B45B4F" w:rsidRDefault="00065C14" w:rsidP="002423AD">
            <w:pPr>
              <w:pStyle w:val="BodyText"/>
              <w:spacing w:before="120" w:line="276" w:lineRule="auto"/>
              <w:jc w:val="both"/>
              <w:rPr>
                <w:rFonts w:ascii="Verdana" w:hAnsi="Verdana"/>
                <w:sz w:val="20"/>
                <w:szCs w:val="20"/>
              </w:rPr>
            </w:pPr>
            <w:r w:rsidRPr="00B45B4F">
              <w:rPr>
                <w:rFonts w:ascii="Verdana" w:hAnsi="Verdana"/>
                <w:sz w:val="20"/>
                <w:szCs w:val="20"/>
              </w:rPr>
              <w:t xml:space="preserve">Развитие на системата за кариерно ориентиране (информиране и съветване, консултиране, оценка на компетенциите, наставничество, юридическа помощ, обучение за вземане на решение, формиране на умения за управление на кариерата) за ученици и студенти в системата на образованието; </w:t>
            </w:r>
          </w:p>
        </w:tc>
        <w:tc>
          <w:tcPr>
            <w:tcW w:w="3800" w:type="dxa"/>
            <w:shd w:val="clear" w:color="auto" w:fill="C6D9F1" w:themeFill="text2" w:themeFillTint="33"/>
          </w:tcPr>
          <w:p w:rsidR="00065C14" w:rsidRPr="00B45B4F" w:rsidRDefault="00065C14" w:rsidP="002423AD">
            <w:pPr>
              <w:pStyle w:val="BodyText"/>
              <w:spacing w:before="120" w:line="276" w:lineRule="auto"/>
              <w:jc w:val="both"/>
              <w:rPr>
                <w:rFonts w:ascii="Verdana" w:hAnsi="Verdana"/>
                <w:sz w:val="20"/>
                <w:szCs w:val="20"/>
              </w:rPr>
            </w:pPr>
            <w:r w:rsidRPr="00B45B4F">
              <w:rPr>
                <w:rFonts w:ascii="Verdana" w:hAnsi="Verdana"/>
                <w:sz w:val="20"/>
                <w:szCs w:val="20"/>
              </w:rPr>
              <w:t>Дейността е уместна за СЦ2, но не е засегната в обосновката на нуждите.</w:t>
            </w:r>
          </w:p>
        </w:tc>
      </w:tr>
      <w:tr w:rsidR="00A60A54" w:rsidRPr="00065C14" w:rsidTr="00FE5A49">
        <w:trPr>
          <w:tblCellSpacing w:w="11" w:type="dxa"/>
        </w:trPr>
        <w:tc>
          <w:tcPr>
            <w:tcW w:w="5224" w:type="dxa"/>
            <w:gridSpan w:val="2"/>
            <w:shd w:val="clear" w:color="auto" w:fill="F2F2F2" w:themeFill="background1" w:themeFillShade="F2"/>
          </w:tcPr>
          <w:p w:rsidR="00A60A54" w:rsidRPr="00065C14" w:rsidRDefault="00A60A54" w:rsidP="00A60A54">
            <w:pPr>
              <w:pStyle w:val="BodyText"/>
              <w:spacing w:before="120" w:line="276" w:lineRule="auto"/>
              <w:jc w:val="both"/>
              <w:rPr>
                <w:rFonts w:ascii="Verdana" w:hAnsi="Verdana"/>
                <w:sz w:val="20"/>
                <w:szCs w:val="20"/>
              </w:rPr>
            </w:pPr>
            <w:r w:rsidRPr="00B57A71">
              <w:rPr>
                <w:rFonts w:ascii="Verdana" w:hAnsi="Verdana"/>
                <w:sz w:val="20"/>
                <w:szCs w:val="20"/>
              </w:rPr>
              <w:t>Създаване на условия</w:t>
            </w:r>
            <w:r w:rsidRPr="00FB3AF7">
              <w:rPr>
                <w:rFonts w:ascii="Verdana" w:hAnsi="Verdana"/>
                <w:sz w:val="20"/>
                <w:szCs w:val="20"/>
              </w:rPr>
              <w:t xml:space="preserve"> за информационно осигуряване на процесите в системата за УЦЖ</w:t>
            </w:r>
            <w:r w:rsidR="00585981" w:rsidRPr="00065C14">
              <w:rPr>
                <w:rFonts w:ascii="Verdana" w:hAnsi="Verdana"/>
                <w:sz w:val="20"/>
                <w:szCs w:val="20"/>
              </w:rPr>
              <w:t>.</w:t>
            </w:r>
          </w:p>
        </w:tc>
        <w:tc>
          <w:tcPr>
            <w:tcW w:w="3800" w:type="dxa"/>
            <w:shd w:val="clear" w:color="auto" w:fill="F2F2F2" w:themeFill="background1" w:themeFillShade="F2"/>
          </w:tcPr>
          <w:p w:rsidR="00A60A54" w:rsidRPr="00065C14" w:rsidRDefault="00585981" w:rsidP="00A60A54">
            <w:pPr>
              <w:pStyle w:val="BodyText"/>
              <w:spacing w:before="120" w:line="276" w:lineRule="auto"/>
              <w:jc w:val="both"/>
              <w:rPr>
                <w:rFonts w:ascii="Verdana" w:hAnsi="Verdana"/>
                <w:sz w:val="20"/>
                <w:szCs w:val="20"/>
              </w:rPr>
            </w:pPr>
            <w:r w:rsidRPr="00065C14">
              <w:rPr>
                <w:rFonts w:ascii="Verdana" w:hAnsi="Verdana"/>
                <w:sz w:val="20"/>
                <w:szCs w:val="20"/>
              </w:rPr>
              <w:t>Дейността адресира СЦ2, но не е добре застъпена в обосновката на нуждите.</w:t>
            </w:r>
          </w:p>
        </w:tc>
      </w:tr>
      <w:tr w:rsidR="00A60A54" w:rsidRPr="00065C14" w:rsidTr="00FE5A49">
        <w:trPr>
          <w:tblCellSpacing w:w="11" w:type="dxa"/>
        </w:trPr>
        <w:tc>
          <w:tcPr>
            <w:tcW w:w="5224" w:type="dxa"/>
            <w:gridSpan w:val="2"/>
            <w:shd w:val="clear" w:color="auto" w:fill="C6D9F1" w:themeFill="text2" w:themeFillTint="33"/>
          </w:tcPr>
          <w:p w:rsidR="00A60A54" w:rsidRPr="00065C14" w:rsidRDefault="00A60A54" w:rsidP="00A60A54">
            <w:pPr>
              <w:pStyle w:val="BodyText"/>
              <w:spacing w:before="120" w:line="276" w:lineRule="auto"/>
              <w:jc w:val="both"/>
              <w:rPr>
                <w:rFonts w:ascii="Verdana" w:hAnsi="Verdana"/>
                <w:sz w:val="20"/>
                <w:szCs w:val="20"/>
              </w:rPr>
            </w:pPr>
            <w:r w:rsidRPr="00B57A71">
              <w:rPr>
                <w:rFonts w:ascii="Verdana" w:hAnsi="Verdana"/>
                <w:sz w:val="20"/>
                <w:szCs w:val="20"/>
              </w:rPr>
              <w:t xml:space="preserve">Изграждане на функционираща национална система за валидиране на резултати от неформалното </w:t>
            </w:r>
            <w:r w:rsidR="007E37A8" w:rsidRPr="00FB3AF7">
              <w:rPr>
                <w:rFonts w:ascii="Verdana" w:hAnsi="Verdana"/>
                <w:sz w:val="20"/>
                <w:szCs w:val="20"/>
              </w:rPr>
              <w:t xml:space="preserve">образование </w:t>
            </w:r>
            <w:r w:rsidRPr="00065C14">
              <w:rPr>
                <w:rFonts w:ascii="Verdana" w:hAnsi="Verdana"/>
                <w:sz w:val="20"/>
                <w:szCs w:val="20"/>
              </w:rPr>
              <w:t>и самостоятелно учене и насърчаване на използването й от всички възрастови групи над 16 години;</w:t>
            </w:r>
          </w:p>
        </w:tc>
        <w:tc>
          <w:tcPr>
            <w:tcW w:w="3800" w:type="dxa"/>
            <w:shd w:val="clear" w:color="auto" w:fill="C6D9F1" w:themeFill="text2" w:themeFillTint="33"/>
          </w:tcPr>
          <w:p w:rsidR="00A60A54" w:rsidRPr="00065C14" w:rsidRDefault="00D6247D" w:rsidP="00A60A54">
            <w:pPr>
              <w:pStyle w:val="BodyText"/>
              <w:spacing w:before="120" w:line="276" w:lineRule="auto"/>
              <w:jc w:val="both"/>
              <w:rPr>
                <w:rFonts w:ascii="Verdana" w:hAnsi="Verdana"/>
                <w:sz w:val="20"/>
                <w:szCs w:val="20"/>
              </w:rPr>
            </w:pPr>
            <w:r w:rsidRPr="00065C14">
              <w:rPr>
                <w:rFonts w:ascii="Verdana" w:hAnsi="Verdana"/>
                <w:sz w:val="20"/>
                <w:szCs w:val="20"/>
              </w:rPr>
              <w:t>Дейността е уместна за СЦ2.</w:t>
            </w:r>
          </w:p>
        </w:tc>
      </w:tr>
      <w:tr w:rsidR="00A60A54" w:rsidRPr="00B45B4F" w:rsidTr="00FE5A49">
        <w:trPr>
          <w:tblCellSpacing w:w="11" w:type="dxa"/>
        </w:trPr>
        <w:tc>
          <w:tcPr>
            <w:tcW w:w="5224" w:type="dxa"/>
            <w:gridSpan w:val="2"/>
            <w:shd w:val="clear" w:color="auto" w:fill="F2F2F2" w:themeFill="background1" w:themeFillShade="F2"/>
          </w:tcPr>
          <w:p w:rsidR="00A60A54" w:rsidRPr="00B57A71" w:rsidRDefault="00A60A54" w:rsidP="00A60A54">
            <w:pPr>
              <w:pStyle w:val="BodyText"/>
              <w:spacing w:before="120" w:line="276" w:lineRule="auto"/>
              <w:jc w:val="both"/>
              <w:rPr>
                <w:rFonts w:ascii="Verdana" w:hAnsi="Verdana"/>
                <w:sz w:val="20"/>
                <w:szCs w:val="20"/>
              </w:rPr>
            </w:pPr>
            <w:r w:rsidRPr="00B57A71">
              <w:rPr>
                <w:rFonts w:ascii="Verdana" w:hAnsi="Verdana"/>
                <w:sz w:val="20"/>
                <w:szCs w:val="20"/>
              </w:rPr>
              <w:t xml:space="preserve">Популяризиране на ученето през целия живот </w:t>
            </w:r>
            <w:r w:rsidRPr="00B57A71">
              <w:rPr>
                <w:rFonts w:ascii="Verdana" w:hAnsi="Verdana"/>
                <w:sz w:val="20"/>
                <w:szCs w:val="20"/>
              </w:rPr>
              <w:lastRenderedPageBreak/>
              <w:t>сред всички слоеве на населението като фактор за личностно развитие, устойчива заетост и социално включване;</w:t>
            </w:r>
          </w:p>
        </w:tc>
        <w:tc>
          <w:tcPr>
            <w:tcW w:w="3800" w:type="dxa"/>
            <w:shd w:val="clear" w:color="auto" w:fill="F2F2F2" w:themeFill="background1" w:themeFillShade="F2"/>
          </w:tcPr>
          <w:p w:rsidR="00A60A54" w:rsidRPr="00065C14" w:rsidRDefault="00D6247D" w:rsidP="00A60A54">
            <w:pPr>
              <w:pStyle w:val="BodyText"/>
              <w:spacing w:before="120" w:line="276" w:lineRule="auto"/>
              <w:jc w:val="both"/>
              <w:rPr>
                <w:rFonts w:ascii="Verdana" w:hAnsi="Verdana"/>
                <w:sz w:val="20"/>
                <w:szCs w:val="20"/>
              </w:rPr>
            </w:pPr>
            <w:r w:rsidRPr="00FB3AF7">
              <w:rPr>
                <w:rFonts w:ascii="Verdana" w:hAnsi="Verdana"/>
                <w:sz w:val="20"/>
                <w:szCs w:val="20"/>
              </w:rPr>
              <w:lastRenderedPageBreak/>
              <w:t>Дейност</w:t>
            </w:r>
            <w:r w:rsidRPr="00065C14">
              <w:rPr>
                <w:rFonts w:ascii="Verdana" w:hAnsi="Verdana"/>
                <w:sz w:val="20"/>
                <w:szCs w:val="20"/>
              </w:rPr>
              <w:t>та е уместна за СЦ2.</w:t>
            </w:r>
          </w:p>
        </w:tc>
      </w:tr>
      <w:tr w:rsidR="00365A25" w:rsidRPr="00B45B4F" w:rsidTr="00FE5A49">
        <w:trPr>
          <w:tblCellSpacing w:w="11" w:type="dxa"/>
        </w:trPr>
        <w:tc>
          <w:tcPr>
            <w:tcW w:w="5224" w:type="dxa"/>
            <w:gridSpan w:val="2"/>
            <w:shd w:val="clear" w:color="auto" w:fill="C6D9F1" w:themeFill="text2" w:themeFillTint="33"/>
          </w:tcPr>
          <w:p w:rsidR="00A60A54" w:rsidRPr="00B45B4F" w:rsidRDefault="00A60A54" w:rsidP="00A60A54">
            <w:pPr>
              <w:pStyle w:val="BodyText"/>
              <w:spacing w:before="120" w:line="276" w:lineRule="auto"/>
              <w:jc w:val="both"/>
              <w:rPr>
                <w:rFonts w:ascii="Verdana" w:hAnsi="Verdana"/>
                <w:sz w:val="20"/>
                <w:szCs w:val="20"/>
              </w:rPr>
            </w:pPr>
            <w:r w:rsidRPr="00B45B4F">
              <w:rPr>
                <w:rFonts w:ascii="Verdana" w:hAnsi="Verdana"/>
                <w:sz w:val="20"/>
                <w:szCs w:val="20"/>
              </w:rPr>
              <w:lastRenderedPageBreak/>
              <w:t>Чрез интегрирани мерки с програма Еразъм +  ще се осъществяват следните примерни дейности:</w:t>
            </w:r>
          </w:p>
          <w:p w:rsidR="00A60A54" w:rsidRPr="00B45B4F" w:rsidRDefault="00A60A54" w:rsidP="006861B0">
            <w:pPr>
              <w:pStyle w:val="BodyText"/>
              <w:numPr>
                <w:ilvl w:val="0"/>
                <w:numId w:val="25"/>
              </w:numPr>
              <w:spacing w:before="120" w:line="276" w:lineRule="auto"/>
              <w:ind w:left="296" w:hanging="284"/>
              <w:jc w:val="both"/>
              <w:rPr>
                <w:rFonts w:ascii="Verdana" w:hAnsi="Verdana"/>
                <w:sz w:val="20"/>
                <w:szCs w:val="20"/>
              </w:rPr>
            </w:pPr>
            <w:r w:rsidRPr="00B45B4F">
              <w:rPr>
                <w:rFonts w:ascii="Verdana" w:hAnsi="Verdana"/>
                <w:sz w:val="20"/>
                <w:szCs w:val="20"/>
              </w:rPr>
              <w:t>Мобилност с цел практика на студенти, докторанти, специализанти и млади учени, включително като допълнително финансиране по други програми за мобилност в рамките на ЕС;</w:t>
            </w:r>
          </w:p>
          <w:p w:rsidR="00A60A54" w:rsidRPr="00B45B4F" w:rsidRDefault="00A60A54" w:rsidP="006861B0">
            <w:pPr>
              <w:pStyle w:val="BodyText"/>
              <w:numPr>
                <w:ilvl w:val="0"/>
                <w:numId w:val="25"/>
              </w:numPr>
              <w:spacing w:before="120" w:line="276" w:lineRule="auto"/>
              <w:ind w:left="296" w:hanging="284"/>
              <w:jc w:val="both"/>
              <w:rPr>
                <w:rFonts w:ascii="Verdana" w:hAnsi="Verdana"/>
                <w:sz w:val="20"/>
                <w:szCs w:val="20"/>
              </w:rPr>
            </w:pPr>
            <w:r w:rsidRPr="00B45B4F">
              <w:rPr>
                <w:rFonts w:ascii="Verdana" w:hAnsi="Verdana"/>
                <w:sz w:val="20"/>
                <w:szCs w:val="20"/>
              </w:rPr>
              <w:t>Мобилност с цел практика на ученици от професионалните гимназии, включително като допълнително финансиране по други програми за мобилност в рамките на ЕС;</w:t>
            </w:r>
          </w:p>
          <w:p w:rsidR="00A60A54" w:rsidRPr="00B45B4F" w:rsidRDefault="00A60A54" w:rsidP="006861B0">
            <w:pPr>
              <w:pStyle w:val="BodyText"/>
              <w:numPr>
                <w:ilvl w:val="0"/>
                <w:numId w:val="25"/>
              </w:numPr>
              <w:spacing w:before="120" w:line="276" w:lineRule="auto"/>
              <w:ind w:left="296" w:hanging="284"/>
              <w:jc w:val="both"/>
              <w:rPr>
                <w:rFonts w:ascii="Verdana" w:hAnsi="Verdana"/>
                <w:sz w:val="20"/>
                <w:szCs w:val="20"/>
              </w:rPr>
            </w:pPr>
            <w:r w:rsidRPr="00B45B4F">
              <w:rPr>
                <w:rFonts w:ascii="Verdana" w:hAnsi="Verdana"/>
                <w:sz w:val="20"/>
                <w:szCs w:val="20"/>
              </w:rPr>
              <w:t>Мобилност с цел придобиване на ключови компетентности на учениците от общото образование, включително като допълнително финансиране по други програми за мобилност в рамките на ЕС;</w:t>
            </w:r>
          </w:p>
          <w:p w:rsidR="00A60A54" w:rsidRPr="00B45B4F" w:rsidRDefault="00A60A54" w:rsidP="006861B0">
            <w:pPr>
              <w:pStyle w:val="BodyText"/>
              <w:numPr>
                <w:ilvl w:val="0"/>
                <w:numId w:val="25"/>
              </w:numPr>
              <w:spacing w:before="120" w:line="276" w:lineRule="auto"/>
              <w:ind w:left="296" w:hanging="284"/>
              <w:jc w:val="both"/>
              <w:rPr>
                <w:rFonts w:ascii="Verdana" w:hAnsi="Verdana"/>
                <w:sz w:val="20"/>
                <w:szCs w:val="20"/>
              </w:rPr>
            </w:pPr>
            <w:r w:rsidRPr="00B45B4F">
              <w:rPr>
                <w:rFonts w:ascii="Verdana" w:hAnsi="Verdana"/>
                <w:sz w:val="20"/>
                <w:szCs w:val="20"/>
              </w:rPr>
              <w:t>Мобилност с цел обмен на опит на докторанти, пост-докторанти, специализанти, преподаватели във висшите училища и изследователи,  включително като допълнително финансиране по други програми за мобилност в рамките на ЕС;</w:t>
            </w:r>
          </w:p>
          <w:p w:rsidR="00A60A54" w:rsidRPr="00B45B4F" w:rsidRDefault="00A60A54" w:rsidP="006861B0">
            <w:pPr>
              <w:pStyle w:val="BodyText"/>
              <w:numPr>
                <w:ilvl w:val="0"/>
                <w:numId w:val="25"/>
              </w:numPr>
              <w:spacing w:before="120" w:line="276" w:lineRule="auto"/>
              <w:ind w:left="296" w:hanging="284"/>
              <w:jc w:val="both"/>
              <w:rPr>
                <w:rFonts w:ascii="Verdana" w:hAnsi="Verdana"/>
                <w:sz w:val="20"/>
                <w:szCs w:val="20"/>
              </w:rPr>
            </w:pPr>
            <w:r w:rsidRPr="00B45B4F">
              <w:rPr>
                <w:rFonts w:ascii="Verdana" w:hAnsi="Verdana"/>
                <w:sz w:val="20"/>
                <w:szCs w:val="20"/>
              </w:rPr>
              <w:t>Мобилност на докторанти, пост-докторанти, специализанти, преподаватели във висшите училища и изследователи от чуждестранни европейски университети и изследователски центрове в България;</w:t>
            </w:r>
          </w:p>
          <w:p w:rsidR="00365A25" w:rsidRPr="00B45B4F" w:rsidRDefault="00A60A54" w:rsidP="006861B0">
            <w:pPr>
              <w:pStyle w:val="BodyText"/>
              <w:numPr>
                <w:ilvl w:val="0"/>
                <w:numId w:val="25"/>
              </w:numPr>
              <w:spacing w:before="120" w:line="276" w:lineRule="auto"/>
              <w:ind w:left="296" w:hanging="284"/>
              <w:jc w:val="both"/>
              <w:rPr>
                <w:rFonts w:ascii="Verdana" w:hAnsi="Verdana"/>
                <w:sz w:val="20"/>
                <w:szCs w:val="20"/>
              </w:rPr>
            </w:pPr>
            <w:r w:rsidRPr="00B45B4F">
              <w:rPr>
                <w:rFonts w:ascii="Verdana" w:hAnsi="Verdana"/>
                <w:sz w:val="20"/>
                <w:szCs w:val="20"/>
              </w:rPr>
              <w:t>Мобилност с цел обмен на опит и ноу-хау на преподавателския състав в училищното и професионално образование, включително и като допълнително финансиране по други програми за мобилност в рамките на ЕС.</w:t>
            </w:r>
          </w:p>
        </w:tc>
        <w:tc>
          <w:tcPr>
            <w:tcW w:w="3800" w:type="dxa"/>
            <w:shd w:val="clear" w:color="auto" w:fill="C6D9F1" w:themeFill="text2" w:themeFillTint="33"/>
          </w:tcPr>
          <w:p w:rsidR="00365A25" w:rsidRPr="00B45B4F" w:rsidRDefault="00D6247D" w:rsidP="00D6247D">
            <w:pPr>
              <w:pStyle w:val="BodyText"/>
              <w:spacing w:before="120" w:line="276" w:lineRule="auto"/>
              <w:jc w:val="both"/>
              <w:rPr>
                <w:rFonts w:ascii="Verdana" w:hAnsi="Verdana"/>
                <w:sz w:val="20"/>
                <w:szCs w:val="20"/>
              </w:rPr>
            </w:pPr>
            <w:r w:rsidRPr="00B45B4F">
              <w:rPr>
                <w:rFonts w:ascii="Verdana" w:hAnsi="Verdana"/>
                <w:sz w:val="20"/>
                <w:szCs w:val="20"/>
              </w:rPr>
              <w:t>Дейността е уместна за СЦ1.</w:t>
            </w:r>
          </w:p>
        </w:tc>
      </w:tr>
      <w:tr w:rsidR="00BF4412" w:rsidRPr="00B45B4F" w:rsidTr="00094703">
        <w:trPr>
          <w:tblCellSpacing w:w="11" w:type="dxa"/>
        </w:trPr>
        <w:tc>
          <w:tcPr>
            <w:tcW w:w="9046" w:type="dxa"/>
            <w:gridSpan w:val="3"/>
            <w:shd w:val="clear" w:color="auto" w:fill="FBD4B4" w:themeFill="accent6" w:themeFillTint="66"/>
          </w:tcPr>
          <w:p w:rsidR="00BF4412" w:rsidRPr="00B45B4F" w:rsidRDefault="00BF4412" w:rsidP="00065C14">
            <w:pPr>
              <w:autoSpaceDE w:val="0"/>
              <w:autoSpaceDN w:val="0"/>
              <w:adjustRightInd w:val="0"/>
              <w:spacing w:before="200" w:line="288" w:lineRule="auto"/>
              <w:jc w:val="both"/>
              <w:rPr>
                <w:rFonts w:ascii="Verdana" w:hAnsi="Verdana" w:cs="Arial Narrow"/>
                <w:i/>
                <w:color w:val="000000"/>
                <w:sz w:val="20"/>
                <w:szCs w:val="20"/>
                <w:lang w:val="bg-BG" w:eastAsia="bg-BG"/>
              </w:rPr>
            </w:pPr>
            <w:r w:rsidRPr="00B45B4F">
              <w:rPr>
                <w:rFonts w:ascii="Verdana" w:hAnsi="Verdana"/>
                <w:b/>
                <w:i/>
                <w:sz w:val="20"/>
                <w:szCs w:val="20"/>
                <w:lang w:val="bg-BG"/>
              </w:rPr>
              <w:t>Инвестиционен приоритет 4</w:t>
            </w:r>
            <w:r w:rsidR="00587107" w:rsidRPr="00B45B4F">
              <w:rPr>
                <w:rFonts w:ascii="Verdana" w:hAnsi="Verdana"/>
                <w:b/>
                <w:i/>
                <w:sz w:val="20"/>
                <w:szCs w:val="20"/>
                <w:lang w:val="bg-BG"/>
              </w:rPr>
              <w:t>:</w:t>
            </w:r>
            <w:r w:rsidR="003F3ADF" w:rsidRPr="00FE5A49">
              <w:rPr>
                <w:rFonts w:ascii="Verdana" w:hAnsi="Verdana" w:cs="Arial Narrow"/>
                <w:i/>
                <w:color w:val="000000"/>
                <w:sz w:val="20"/>
                <w:szCs w:val="20"/>
                <w:lang w:val="bg-BG" w:eastAsia="bg-BG"/>
              </w:rPr>
              <w:t xml:space="preserve">Подобряване на системите за образование и обучение спрямо пазара на труда, улесняване на прехода от образование към работа и укрепване на професионалното образование и системите на обучение, както и тяхното качество, включително чрез механизми за предвиждане на уменията, адаптиране на учебните програми и създаване и развитие на </w:t>
            </w:r>
            <w:r w:rsidR="003F3ADF" w:rsidRPr="00FE5A49">
              <w:rPr>
                <w:rFonts w:ascii="Verdana" w:hAnsi="Verdana" w:cs="Arial Narrow"/>
                <w:i/>
                <w:color w:val="000000"/>
                <w:sz w:val="20"/>
                <w:szCs w:val="20"/>
                <w:lang w:val="bg-BG" w:eastAsia="bg-BG"/>
              </w:rPr>
              <w:lastRenderedPageBreak/>
              <w:t>основаващи се на работата системи за учене, включително двойни системи на учене и схеми за чиракуване</w:t>
            </w:r>
          </w:p>
        </w:tc>
      </w:tr>
      <w:tr w:rsidR="00065C14" w:rsidRPr="00B45B4F" w:rsidTr="00FE5A49">
        <w:trPr>
          <w:tblCellSpacing w:w="11" w:type="dxa"/>
        </w:trPr>
        <w:tc>
          <w:tcPr>
            <w:tcW w:w="5224" w:type="dxa"/>
            <w:gridSpan w:val="2"/>
            <w:shd w:val="clear" w:color="auto" w:fill="C6D9F1" w:themeFill="text2" w:themeFillTint="33"/>
          </w:tcPr>
          <w:p w:rsidR="00065C14" w:rsidRPr="00B45B4F" w:rsidRDefault="00065C14" w:rsidP="002423AD">
            <w:pPr>
              <w:pStyle w:val="BodyText"/>
              <w:spacing w:before="120" w:line="276" w:lineRule="auto"/>
              <w:jc w:val="both"/>
              <w:rPr>
                <w:rFonts w:ascii="Verdana" w:hAnsi="Verdana"/>
                <w:sz w:val="20"/>
                <w:szCs w:val="20"/>
              </w:rPr>
            </w:pPr>
            <w:r w:rsidRPr="00B45B4F">
              <w:rPr>
                <w:rFonts w:ascii="Verdana" w:hAnsi="Verdana"/>
                <w:sz w:val="20"/>
                <w:szCs w:val="20"/>
              </w:rPr>
              <w:lastRenderedPageBreak/>
              <w:t>Подкрепа за дейности, свързани с прилагането на системата за трансфер на кредити в професионалното образование;</w:t>
            </w:r>
          </w:p>
        </w:tc>
        <w:tc>
          <w:tcPr>
            <w:tcW w:w="3800" w:type="dxa"/>
            <w:shd w:val="clear" w:color="auto" w:fill="C6D9F1" w:themeFill="text2" w:themeFillTint="33"/>
          </w:tcPr>
          <w:p w:rsidR="00065C14" w:rsidRPr="00B45B4F" w:rsidRDefault="00065C14" w:rsidP="00065C14">
            <w:pPr>
              <w:pStyle w:val="BodyText"/>
              <w:spacing w:before="120" w:line="276" w:lineRule="auto"/>
              <w:jc w:val="both"/>
              <w:rPr>
                <w:rFonts w:ascii="Verdana" w:hAnsi="Verdana"/>
                <w:sz w:val="20"/>
                <w:szCs w:val="20"/>
              </w:rPr>
            </w:pPr>
            <w:r w:rsidRPr="00B45B4F">
              <w:rPr>
                <w:rFonts w:ascii="Verdana" w:hAnsi="Verdana"/>
                <w:sz w:val="20"/>
                <w:szCs w:val="20"/>
              </w:rPr>
              <w:t>Дейността е уместна за СЦ</w:t>
            </w:r>
            <w:r>
              <w:rPr>
                <w:rFonts w:ascii="Verdana" w:hAnsi="Verdana"/>
                <w:sz w:val="20"/>
                <w:szCs w:val="20"/>
              </w:rPr>
              <w:t>1</w:t>
            </w:r>
            <w:r w:rsidRPr="00B45B4F">
              <w:rPr>
                <w:rFonts w:ascii="Verdana" w:hAnsi="Verdana"/>
                <w:sz w:val="20"/>
                <w:szCs w:val="20"/>
              </w:rPr>
              <w:t>.</w:t>
            </w:r>
          </w:p>
        </w:tc>
      </w:tr>
      <w:tr w:rsidR="002D6F66" w:rsidRPr="00B45B4F" w:rsidTr="00FE5A49">
        <w:trPr>
          <w:tblCellSpacing w:w="11" w:type="dxa"/>
        </w:trPr>
        <w:tc>
          <w:tcPr>
            <w:tcW w:w="5224" w:type="dxa"/>
            <w:gridSpan w:val="2"/>
            <w:shd w:val="clear" w:color="auto" w:fill="auto"/>
          </w:tcPr>
          <w:p w:rsidR="002D6F66" w:rsidRPr="00B45B4F" w:rsidRDefault="002D6F66" w:rsidP="002423AD">
            <w:pPr>
              <w:pStyle w:val="BodyText"/>
              <w:spacing w:before="120" w:line="276" w:lineRule="auto"/>
              <w:jc w:val="both"/>
              <w:rPr>
                <w:rFonts w:ascii="Verdana" w:hAnsi="Verdana"/>
                <w:sz w:val="20"/>
                <w:szCs w:val="20"/>
              </w:rPr>
            </w:pPr>
            <w:r w:rsidRPr="00B45B4F">
              <w:rPr>
                <w:rFonts w:ascii="Verdana" w:hAnsi="Verdana"/>
                <w:sz w:val="20"/>
                <w:szCs w:val="20"/>
              </w:rPr>
              <w:t>Въвеждане на гъвкави форми на обучение в професионалното образование</w:t>
            </w:r>
            <w:r w:rsidR="00F224CD">
              <w:rPr>
                <w:rFonts w:ascii="Verdana" w:hAnsi="Verdana"/>
                <w:sz w:val="20"/>
                <w:szCs w:val="20"/>
              </w:rPr>
              <w:t xml:space="preserve"> </w:t>
            </w:r>
            <w:r w:rsidRPr="00F05914">
              <w:rPr>
                <w:rFonts w:ascii="Verdana" w:hAnsi="Verdana"/>
                <w:sz w:val="20"/>
                <w:szCs w:val="20"/>
              </w:rPr>
              <w:t>например модулно обучение за придобиване на професионална квалификация и учебна документация, разработена в сътрудничество с представители на бизнеса</w:t>
            </w:r>
            <w:r w:rsidRPr="00B45B4F">
              <w:rPr>
                <w:rFonts w:ascii="Verdana" w:hAnsi="Verdana"/>
                <w:sz w:val="20"/>
                <w:szCs w:val="20"/>
              </w:rPr>
              <w:t>;</w:t>
            </w:r>
          </w:p>
        </w:tc>
        <w:tc>
          <w:tcPr>
            <w:tcW w:w="3800" w:type="dxa"/>
            <w:shd w:val="clear" w:color="auto" w:fill="auto"/>
          </w:tcPr>
          <w:p w:rsidR="002D6F66" w:rsidRPr="00B45B4F" w:rsidRDefault="002D6F66" w:rsidP="002423AD">
            <w:pPr>
              <w:pStyle w:val="BodyText"/>
              <w:spacing w:before="120" w:line="276" w:lineRule="auto"/>
              <w:jc w:val="both"/>
              <w:rPr>
                <w:rFonts w:ascii="Verdana" w:hAnsi="Verdana"/>
                <w:sz w:val="20"/>
                <w:szCs w:val="20"/>
              </w:rPr>
            </w:pPr>
            <w:r w:rsidRPr="00B45B4F">
              <w:rPr>
                <w:rFonts w:ascii="Verdana" w:hAnsi="Verdana"/>
                <w:sz w:val="20"/>
                <w:szCs w:val="20"/>
              </w:rPr>
              <w:t>Дейността е уместна за СЦ1.</w:t>
            </w:r>
          </w:p>
        </w:tc>
      </w:tr>
      <w:tr w:rsidR="002D6F66" w:rsidRPr="00B45B4F" w:rsidTr="002423AD">
        <w:trPr>
          <w:tblCellSpacing w:w="11" w:type="dxa"/>
        </w:trPr>
        <w:tc>
          <w:tcPr>
            <w:tcW w:w="5224" w:type="dxa"/>
            <w:gridSpan w:val="2"/>
            <w:shd w:val="clear" w:color="auto" w:fill="C6D9F1" w:themeFill="text2" w:themeFillTint="33"/>
          </w:tcPr>
          <w:p w:rsidR="002D6F66" w:rsidRPr="00B45B4F" w:rsidRDefault="002D6F66" w:rsidP="002423AD">
            <w:pPr>
              <w:pStyle w:val="BodyText"/>
              <w:spacing w:before="120" w:line="276" w:lineRule="auto"/>
              <w:jc w:val="both"/>
              <w:rPr>
                <w:rFonts w:ascii="Verdana" w:hAnsi="Verdana"/>
                <w:sz w:val="20"/>
                <w:szCs w:val="20"/>
              </w:rPr>
            </w:pPr>
            <w:r w:rsidRPr="00B45B4F">
              <w:rPr>
                <w:rFonts w:ascii="Verdana" w:hAnsi="Verdana"/>
                <w:sz w:val="20"/>
                <w:szCs w:val="20"/>
              </w:rPr>
              <w:t>Подкрепа за дейността на учебно-тренировъчните и/или други форми на учебни или тренировъчни фирми;</w:t>
            </w:r>
          </w:p>
        </w:tc>
        <w:tc>
          <w:tcPr>
            <w:tcW w:w="3800" w:type="dxa"/>
            <w:shd w:val="clear" w:color="auto" w:fill="C6D9F1" w:themeFill="text2" w:themeFillTint="33"/>
          </w:tcPr>
          <w:p w:rsidR="002D6F66" w:rsidRPr="00B45B4F" w:rsidRDefault="002D6F66" w:rsidP="002423AD">
            <w:pPr>
              <w:pStyle w:val="BodyText"/>
              <w:spacing w:before="120" w:line="276" w:lineRule="auto"/>
              <w:jc w:val="both"/>
              <w:rPr>
                <w:rFonts w:ascii="Verdana" w:hAnsi="Verdana"/>
                <w:sz w:val="20"/>
                <w:szCs w:val="20"/>
              </w:rPr>
            </w:pPr>
            <w:r w:rsidRPr="00B45B4F">
              <w:rPr>
                <w:rFonts w:ascii="Verdana" w:hAnsi="Verdana"/>
                <w:sz w:val="20"/>
                <w:szCs w:val="20"/>
              </w:rPr>
              <w:t>Дейността е уместна за СЦ1. Необходима е редакция – изглежда, че е изпусната дума.</w:t>
            </w:r>
          </w:p>
        </w:tc>
      </w:tr>
      <w:tr w:rsidR="002D6F66" w:rsidRPr="00F05914" w:rsidTr="00FE5A49">
        <w:trPr>
          <w:tblCellSpacing w:w="11" w:type="dxa"/>
        </w:trPr>
        <w:tc>
          <w:tcPr>
            <w:tcW w:w="5224" w:type="dxa"/>
            <w:gridSpan w:val="2"/>
            <w:shd w:val="clear" w:color="auto" w:fill="auto"/>
          </w:tcPr>
          <w:p w:rsidR="002D6F66" w:rsidRPr="00FE5A49" w:rsidRDefault="002D6F66" w:rsidP="002423AD">
            <w:pPr>
              <w:pStyle w:val="BodyText"/>
              <w:spacing w:before="120" w:line="276" w:lineRule="auto"/>
              <w:jc w:val="both"/>
              <w:rPr>
                <w:rFonts w:ascii="Verdana" w:hAnsi="Verdana"/>
                <w:sz w:val="20"/>
                <w:szCs w:val="20"/>
              </w:rPr>
            </w:pPr>
            <w:r w:rsidRPr="00FE5A49">
              <w:rPr>
                <w:rFonts w:ascii="Verdana" w:hAnsi="Verdana"/>
                <w:sz w:val="20"/>
                <w:szCs w:val="20"/>
              </w:rPr>
              <w:t>Подкрепа на дейности за въвеждане или модернизиране на системи за дистанционно и електронно обучение в училищното образование;</w:t>
            </w:r>
          </w:p>
        </w:tc>
        <w:tc>
          <w:tcPr>
            <w:tcW w:w="3800" w:type="dxa"/>
            <w:shd w:val="clear" w:color="auto" w:fill="auto"/>
          </w:tcPr>
          <w:p w:rsidR="002D6F66" w:rsidRPr="00FE5A49" w:rsidRDefault="002D6F66" w:rsidP="00B57A71">
            <w:pPr>
              <w:pStyle w:val="BodyText"/>
              <w:spacing w:before="120" w:line="276" w:lineRule="auto"/>
              <w:jc w:val="both"/>
              <w:rPr>
                <w:rFonts w:ascii="Verdana" w:hAnsi="Verdana"/>
                <w:sz w:val="20"/>
                <w:szCs w:val="20"/>
              </w:rPr>
            </w:pPr>
            <w:r w:rsidRPr="00FE5A49">
              <w:rPr>
                <w:rFonts w:ascii="Verdana" w:hAnsi="Verdana"/>
                <w:sz w:val="20"/>
                <w:szCs w:val="20"/>
              </w:rPr>
              <w:t>Дейността има отношение към СЦ</w:t>
            </w:r>
            <w:r>
              <w:rPr>
                <w:rFonts w:ascii="Verdana" w:hAnsi="Verdana"/>
                <w:sz w:val="20"/>
                <w:szCs w:val="20"/>
              </w:rPr>
              <w:t>1</w:t>
            </w:r>
            <w:r w:rsidRPr="00FE5A49">
              <w:rPr>
                <w:rFonts w:ascii="Verdana" w:hAnsi="Verdana"/>
                <w:sz w:val="20"/>
                <w:szCs w:val="20"/>
              </w:rPr>
              <w:t xml:space="preserve"> по отношение на продължаващо обучение за възрастни.</w:t>
            </w:r>
          </w:p>
        </w:tc>
      </w:tr>
      <w:tr w:rsidR="002D6F66" w:rsidRPr="00F05914" w:rsidTr="00FE5A49">
        <w:trPr>
          <w:tblCellSpacing w:w="11" w:type="dxa"/>
        </w:trPr>
        <w:tc>
          <w:tcPr>
            <w:tcW w:w="5224" w:type="dxa"/>
            <w:gridSpan w:val="2"/>
            <w:shd w:val="clear" w:color="auto" w:fill="C6D9F1" w:themeFill="text2" w:themeFillTint="33"/>
          </w:tcPr>
          <w:p w:rsidR="002D6F66" w:rsidRPr="00FE5A49" w:rsidRDefault="002D6F66" w:rsidP="002423AD">
            <w:pPr>
              <w:pStyle w:val="BodyText"/>
              <w:spacing w:before="120" w:line="276" w:lineRule="auto"/>
              <w:jc w:val="both"/>
              <w:rPr>
                <w:rFonts w:ascii="Verdana" w:hAnsi="Verdana"/>
                <w:sz w:val="20"/>
                <w:szCs w:val="20"/>
              </w:rPr>
            </w:pPr>
            <w:r w:rsidRPr="00FE5A49">
              <w:rPr>
                <w:rFonts w:ascii="Verdana" w:hAnsi="Verdana"/>
                <w:sz w:val="20"/>
                <w:szCs w:val="20"/>
              </w:rPr>
              <w:t>Стимулиране на обучението и сертификацията в областта на ИКТ, чрез прилагане на международно признати стандарти и сертификати;</w:t>
            </w:r>
          </w:p>
        </w:tc>
        <w:tc>
          <w:tcPr>
            <w:tcW w:w="3800" w:type="dxa"/>
            <w:shd w:val="clear" w:color="auto" w:fill="C6D9F1" w:themeFill="text2" w:themeFillTint="33"/>
          </w:tcPr>
          <w:p w:rsidR="002D6F66" w:rsidRPr="00FE5A49" w:rsidRDefault="002D6F66" w:rsidP="002423AD">
            <w:pPr>
              <w:pStyle w:val="BodyText"/>
              <w:spacing w:before="120" w:line="276" w:lineRule="auto"/>
              <w:jc w:val="both"/>
              <w:rPr>
                <w:rFonts w:ascii="Verdana" w:hAnsi="Verdana"/>
                <w:sz w:val="20"/>
                <w:szCs w:val="20"/>
              </w:rPr>
            </w:pPr>
            <w:r w:rsidRPr="00FE5A49">
              <w:rPr>
                <w:rFonts w:ascii="Verdana" w:hAnsi="Verdana"/>
                <w:sz w:val="20"/>
                <w:szCs w:val="20"/>
              </w:rPr>
              <w:t xml:space="preserve">Обосновката не дава ясна представа какви са потребностите от обучение и още повече от сертификация в областта на ИКТ. </w:t>
            </w:r>
          </w:p>
        </w:tc>
      </w:tr>
      <w:tr w:rsidR="002D6F66" w:rsidRPr="00B45B4F" w:rsidTr="002423AD">
        <w:trPr>
          <w:tblCellSpacing w:w="11" w:type="dxa"/>
        </w:trPr>
        <w:tc>
          <w:tcPr>
            <w:tcW w:w="5224" w:type="dxa"/>
            <w:gridSpan w:val="2"/>
            <w:shd w:val="clear" w:color="auto" w:fill="F2F2F2" w:themeFill="background1" w:themeFillShade="F2"/>
          </w:tcPr>
          <w:p w:rsidR="002D6F66" w:rsidRPr="00B45B4F" w:rsidRDefault="002D6F66" w:rsidP="002423AD">
            <w:pPr>
              <w:pStyle w:val="BodyText"/>
              <w:spacing w:before="120" w:line="276" w:lineRule="auto"/>
              <w:jc w:val="both"/>
              <w:rPr>
                <w:rFonts w:ascii="Verdana" w:hAnsi="Verdana"/>
                <w:sz w:val="20"/>
                <w:szCs w:val="20"/>
              </w:rPr>
            </w:pPr>
            <w:r w:rsidRPr="00B45B4F">
              <w:rPr>
                <w:rFonts w:ascii="Verdana" w:hAnsi="Verdana"/>
                <w:sz w:val="20"/>
                <w:szCs w:val="20"/>
              </w:rPr>
              <w:t xml:space="preserve">Поддържане на национална платформа „наука-образование-бизнес”. </w:t>
            </w:r>
          </w:p>
        </w:tc>
        <w:tc>
          <w:tcPr>
            <w:tcW w:w="3800" w:type="dxa"/>
            <w:shd w:val="clear" w:color="auto" w:fill="F2F2F2" w:themeFill="background1" w:themeFillShade="F2"/>
          </w:tcPr>
          <w:p w:rsidR="002D6F66" w:rsidRPr="00B45B4F" w:rsidRDefault="002D6F66" w:rsidP="002423AD">
            <w:pPr>
              <w:pStyle w:val="BodyText"/>
              <w:spacing w:before="120" w:line="276" w:lineRule="auto"/>
              <w:jc w:val="both"/>
              <w:rPr>
                <w:rFonts w:ascii="Verdana" w:hAnsi="Verdana"/>
                <w:sz w:val="20"/>
                <w:szCs w:val="20"/>
              </w:rPr>
            </w:pPr>
            <w:r w:rsidRPr="00B45B4F">
              <w:rPr>
                <w:rFonts w:ascii="Verdana" w:hAnsi="Verdana"/>
                <w:sz w:val="20"/>
                <w:szCs w:val="20"/>
              </w:rPr>
              <w:t>Дейността е уместна за СЦ2, но е много неясна. Не е обоснована в нуждите.</w:t>
            </w:r>
          </w:p>
        </w:tc>
      </w:tr>
      <w:tr w:rsidR="002D6F66" w:rsidRPr="00B45B4F" w:rsidTr="00FE5A49">
        <w:trPr>
          <w:tblCellSpacing w:w="11" w:type="dxa"/>
        </w:trPr>
        <w:tc>
          <w:tcPr>
            <w:tcW w:w="5224" w:type="dxa"/>
            <w:gridSpan w:val="2"/>
            <w:shd w:val="clear" w:color="auto" w:fill="C6D9F1" w:themeFill="text2" w:themeFillTint="33"/>
          </w:tcPr>
          <w:p w:rsidR="002D6F66" w:rsidRPr="00B45B4F" w:rsidRDefault="002D6F66" w:rsidP="002D6F66">
            <w:pPr>
              <w:pStyle w:val="BodyText"/>
              <w:spacing w:before="120" w:line="276" w:lineRule="auto"/>
              <w:jc w:val="both"/>
              <w:rPr>
                <w:rFonts w:ascii="Verdana" w:hAnsi="Verdana"/>
                <w:sz w:val="20"/>
                <w:szCs w:val="20"/>
              </w:rPr>
            </w:pPr>
            <w:r w:rsidRPr="00B45B4F">
              <w:rPr>
                <w:rFonts w:ascii="Verdana" w:hAnsi="Verdana"/>
                <w:sz w:val="20"/>
                <w:szCs w:val="20"/>
              </w:rPr>
              <w:t>Подкрепа за изграждане на системи за планиране на обучението в зависимост от нуждите на пазара на труда на национално и регионално ниво;</w:t>
            </w:r>
          </w:p>
        </w:tc>
        <w:tc>
          <w:tcPr>
            <w:tcW w:w="3800" w:type="dxa"/>
            <w:shd w:val="clear" w:color="auto" w:fill="C6D9F1" w:themeFill="text2" w:themeFillTint="33"/>
          </w:tcPr>
          <w:p w:rsidR="002D6F66" w:rsidRPr="00B45B4F" w:rsidRDefault="002D6F66" w:rsidP="00B57A71">
            <w:pPr>
              <w:pStyle w:val="BodyText"/>
              <w:spacing w:before="120" w:line="276" w:lineRule="auto"/>
              <w:jc w:val="both"/>
              <w:rPr>
                <w:rFonts w:ascii="Verdana" w:hAnsi="Verdana"/>
                <w:sz w:val="20"/>
                <w:szCs w:val="20"/>
              </w:rPr>
            </w:pPr>
            <w:r w:rsidRPr="00B45B4F">
              <w:rPr>
                <w:rFonts w:ascii="Verdana" w:hAnsi="Verdana"/>
                <w:sz w:val="20"/>
                <w:szCs w:val="20"/>
              </w:rPr>
              <w:t xml:space="preserve">Дейността е уместна за СЦ2. </w:t>
            </w:r>
          </w:p>
        </w:tc>
      </w:tr>
      <w:tr w:rsidR="002D6F66" w:rsidRPr="00B45B4F" w:rsidTr="002423AD">
        <w:trPr>
          <w:tblCellSpacing w:w="11" w:type="dxa"/>
        </w:trPr>
        <w:tc>
          <w:tcPr>
            <w:tcW w:w="5224" w:type="dxa"/>
            <w:gridSpan w:val="2"/>
            <w:shd w:val="clear" w:color="auto" w:fill="F2F2F2" w:themeFill="background1" w:themeFillShade="F2"/>
          </w:tcPr>
          <w:p w:rsidR="002D6F66" w:rsidRPr="00B45B4F" w:rsidRDefault="002D6F66" w:rsidP="002423AD">
            <w:pPr>
              <w:pStyle w:val="BodyText"/>
              <w:spacing w:before="120" w:line="276" w:lineRule="auto"/>
              <w:jc w:val="both"/>
              <w:rPr>
                <w:rFonts w:ascii="Verdana" w:hAnsi="Verdana"/>
                <w:sz w:val="20"/>
                <w:szCs w:val="20"/>
              </w:rPr>
            </w:pPr>
            <w:r w:rsidRPr="00B45B4F">
              <w:rPr>
                <w:rFonts w:ascii="Verdana" w:hAnsi="Verdana"/>
                <w:sz w:val="20"/>
                <w:szCs w:val="20"/>
              </w:rPr>
              <w:t xml:space="preserve">Стимулиране на образованието в областите на инженерно-техническите и природните науки и в професионалните направления от приоритетните области на икономиката; </w:t>
            </w:r>
          </w:p>
        </w:tc>
        <w:tc>
          <w:tcPr>
            <w:tcW w:w="3800" w:type="dxa"/>
            <w:shd w:val="clear" w:color="auto" w:fill="F2F2F2" w:themeFill="background1" w:themeFillShade="F2"/>
          </w:tcPr>
          <w:p w:rsidR="002D6F66" w:rsidRPr="00B45B4F" w:rsidRDefault="002D6F66" w:rsidP="002423AD">
            <w:pPr>
              <w:pStyle w:val="BodyText"/>
              <w:spacing w:before="120" w:line="276" w:lineRule="auto"/>
              <w:jc w:val="both"/>
              <w:rPr>
                <w:rFonts w:ascii="Verdana" w:hAnsi="Verdana"/>
                <w:sz w:val="20"/>
                <w:szCs w:val="20"/>
              </w:rPr>
            </w:pPr>
            <w:r w:rsidRPr="00B45B4F">
              <w:rPr>
                <w:rFonts w:ascii="Verdana" w:hAnsi="Verdana"/>
                <w:sz w:val="20"/>
                <w:szCs w:val="20"/>
              </w:rPr>
              <w:t>Дейността може и да е уместна за СЦ2, но това не е ясно от обосновката на нуждите.</w:t>
            </w:r>
          </w:p>
        </w:tc>
      </w:tr>
      <w:tr w:rsidR="002D6F66" w:rsidRPr="00B45B4F" w:rsidTr="00094703">
        <w:trPr>
          <w:tblCellSpacing w:w="11" w:type="dxa"/>
        </w:trPr>
        <w:tc>
          <w:tcPr>
            <w:tcW w:w="5224" w:type="dxa"/>
            <w:gridSpan w:val="2"/>
            <w:shd w:val="clear" w:color="auto" w:fill="C6D9F1" w:themeFill="text2" w:themeFillTint="33"/>
          </w:tcPr>
          <w:p w:rsidR="002D6F66" w:rsidRPr="00B45B4F" w:rsidRDefault="002D6F66" w:rsidP="00B57A71">
            <w:pPr>
              <w:pStyle w:val="BodyText"/>
              <w:spacing w:before="120" w:line="276" w:lineRule="auto"/>
              <w:jc w:val="both"/>
              <w:rPr>
                <w:rFonts w:ascii="Verdana" w:hAnsi="Verdana"/>
                <w:sz w:val="20"/>
                <w:szCs w:val="20"/>
              </w:rPr>
            </w:pPr>
            <w:r w:rsidRPr="00FE5A49">
              <w:rPr>
                <w:rFonts w:ascii="Verdana" w:hAnsi="Verdana"/>
                <w:sz w:val="20"/>
                <w:szCs w:val="20"/>
              </w:rPr>
              <w:t>Актуализация на учебни програми и учебни планове в професионалното образование с участие на работодателите;</w:t>
            </w:r>
          </w:p>
        </w:tc>
        <w:tc>
          <w:tcPr>
            <w:tcW w:w="3800" w:type="dxa"/>
            <w:shd w:val="clear" w:color="auto" w:fill="C6D9F1" w:themeFill="text2" w:themeFillTint="33"/>
          </w:tcPr>
          <w:p w:rsidR="002D6F66" w:rsidRPr="00B45B4F" w:rsidRDefault="005F669A" w:rsidP="002D6F66">
            <w:pPr>
              <w:pStyle w:val="BodyText"/>
              <w:spacing w:before="120" w:line="276" w:lineRule="auto"/>
              <w:jc w:val="both"/>
              <w:rPr>
                <w:rFonts w:ascii="Verdana" w:hAnsi="Verdana"/>
                <w:sz w:val="20"/>
                <w:szCs w:val="20"/>
              </w:rPr>
            </w:pPr>
            <w:r>
              <w:rPr>
                <w:rFonts w:ascii="Verdana" w:hAnsi="Verdana"/>
                <w:sz w:val="20"/>
                <w:szCs w:val="20"/>
              </w:rPr>
              <w:t>Дейността е уместна към СЦ1 и СЦ2.</w:t>
            </w:r>
          </w:p>
        </w:tc>
      </w:tr>
      <w:tr w:rsidR="002D6F66" w:rsidRPr="00B45B4F" w:rsidTr="00FE5A49">
        <w:trPr>
          <w:tblCellSpacing w:w="11" w:type="dxa"/>
        </w:trPr>
        <w:tc>
          <w:tcPr>
            <w:tcW w:w="5224" w:type="dxa"/>
            <w:gridSpan w:val="2"/>
            <w:shd w:val="clear" w:color="auto" w:fill="FFFFFF" w:themeFill="background1"/>
          </w:tcPr>
          <w:p w:rsidR="002D6F66" w:rsidRPr="00B45B4F" w:rsidRDefault="002D6F66" w:rsidP="002D6F66">
            <w:pPr>
              <w:pStyle w:val="BodyText"/>
              <w:spacing w:before="120" w:line="276" w:lineRule="auto"/>
              <w:jc w:val="both"/>
              <w:rPr>
                <w:rFonts w:ascii="Verdana" w:hAnsi="Verdana"/>
                <w:sz w:val="20"/>
                <w:szCs w:val="20"/>
              </w:rPr>
            </w:pPr>
            <w:r w:rsidRPr="00B45B4F">
              <w:rPr>
                <w:rFonts w:ascii="Verdana" w:hAnsi="Verdana"/>
                <w:sz w:val="20"/>
                <w:szCs w:val="20"/>
              </w:rPr>
              <w:lastRenderedPageBreak/>
              <w:t>Разработване и прилагане на политики и мерки за развитие на „обучение чрез работа” и подкрепа за провеждане на ефективно практическо обучение в реална работна среда за ученици в професионалните гимназии, студенти и докторанти.</w:t>
            </w:r>
          </w:p>
        </w:tc>
        <w:tc>
          <w:tcPr>
            <w:tcW w:w="3800" w:type="dxa"/>
            <w:shd w:val="clear" w:color="auto" w:fill="FFFFFF" w:themeFill="background1"/>
          </w:tcPr>
          <w:p w:rsidR="002D6F66" w:rsidRPr="00B45B4F" w:rsidRDefault="002D6F66" w:rsidP="002D6F66">
            <w:pPr>
              <w:pStyle w:val="BodyText"/>
              <w:spacing w:before="120" w:line="276" w:lineRule="auto"/>
              <w:jc w:val="both"/>
              <w:rPr>
                <w:rFonts w:ascii="Verdana" w:hAnsi="Verdana"/>
                <w:sz w:val="20"/>
                <w:szCs w:val="20"/>
              </w:rPr>
            </w:pPr>
            <w:r w:rsidRPr="00B45B4F">
              <w:rPr>
                <w:rFonts w:ascii="Verdana" w:hAnsi="Verdana"/>
                <w:sz w:val="20"/>
                <w:szCs w:val="20"/>
              </w:rPr>
              <w:t>Дейността е уместна за СЦ1 и СЦ2.</w:t>
            </w:r>
          </w:p>
        </w:tc>
      </w:tr>
      <w:tr w:rsidR="002D6F66" w:rsidRPr="00B45B4F" w:rsidTr="00094703">
        <w:trPr>
          <w:tblCellSpacing w:w="11" w:type="dxa"/>
        </w:trPr>
        <w:tc>
          <w:tcPr>
            <w:tcW w:w="5224" w:type="dxa"/>
            <w:gridSpan w:val="2"/>
            <w:shd w:val="clear" w:color="auto" w:fill="C6D9F1" w:themeFill="text2" w:themeFillTint="33"/>
          </w:tcPr>
          <w:p w:rsidR="002D6F66" w:rsidRPr="00B45B4F" w:rsidRDefault="002D6F66" w:rsidP="00B57A71">
            <w:pPr>
              <w:pStyle w:val="BodyText"/>
              <w:spacing w:before="120" w:line="276" w:lineRule="auto"/>
              <w:jc w:val="both"/>
              <w:rPr>
                <w:rFonts w:ascii="Verdana" w:hAnsi="Verdana"/>
                <w:sz w:val="20"/>
                <w:szCs w:val="20"/>
              </w:rPr>
            </w:pPr>
            <w:r w:rsidRPr="00FE5A49">
              <w:rPr>
                <w:rFonts w:ascii="Verdana" w:hAnsi="Verdana"/>
                <w:sz w:val="20"/>
                <w:szCs w:val="20"/>
              </w:rPr>
              <w:t>Подобряване на практическото обучение на учениците от професионалните гимназии чрез стажове във фирми.</w:t>
            </w:r>
          </w:p>
        </w:tc>
        <w:tc>
          <w:tcPr>
            <w:tcW w:w="3800" w:type="dxa"/>
            <w:shd w:val="clear" w:color="auto" w:fill="C6D9F1" w:themeFill="text2" w:themeFillTint="33"/>
          </w:tcPr>
          <w:p w:rsidR="002D6F66" w:rsidRPr="00B45B4F" w:rsidRDefault="002D6F66" w:rsidP="002D6F66">
            <w:pPr>
              <w:pStyle w:val="BodyText"/>
              <w:spacing w:before="120" w:line="276" w:lineRule="auto"/>
              <w:jc w:val="both"/>
              <w:rPr>
                <w:rFonts w:ascii="Verdana" w:hAnsi="Verdana"/>
                <w:sz w:val="20"/>
                <w:szCs w:val="20"/>
              </w:rPr>
            </w:pPr>
            <w:r>
              <w:rPr>
                <w:rFonts w:ascii="Verdana" w:hAnsi="Verdana"/>
                <w:sz w:val="20"/>
                <w:szCs w:val="20"/>
              </w:rPr>
              <w:t>Дейността е уместна. Вече е отразена чрез предходната дейност.</w:t>
            </w:r>
          </w:p>
        </w:tc>
      </w:tr>
    </w:tbl>
    <w:p w:rsidR="00057F10" w:rsidRPr="00B45B4F" w:rsidRDefault="00057F10" w:rsidP="00FA776A">
      <w:pPr>
        <w:keepNext/>
        <w:pBdr>
          <w:bottom w:val="single" w:sz="4" w:space="1" w:color="0070C0"/>
        </w:pBdr>
        <w:spacing w:before="360" w:after="120"/>
        <w:jc w:val="both"/>
        <w:rPr>
          <w:rFonts w:ascii="Verdana" w:hAnsi="Verdana"/>
          <w:color w:val="0070C0"/>
          <w:sz w:val="20"/>
          <w:szCs w:val="20"/>
          <w:lang w:val="bg-BG" w:eastAsia="cs-CZ"/>
        </w:rPr>
      </w:pPr>
      <w:r w:rsidRPr="00B45B4F">
        <w:rPr>
          <w:rFonts w:ascii="Verdana" w:hAnsi="Verdana"/>
          <w:color w:val="0070C0"/>
          <w:sz w:val="20"/>
          <w:szCs w:val="20"/>
          <w:lang w:val="bg-BG" w:eastAsia="cs-CZ"/>
        </w:rPr>
        <w:t>ПО3. Образователна среда за активно социално приобщаване</w:t>
      </w:r>
    </w:p>
    <w:p w:rsidR="00057F10" w:rsidRPr="00B45B4F" w:rsidRDefault="00057F10" w:rsidP="00057F10">
      <w:pPr>
        <w:pStyle w:val="BodyText"/>
        <w:keepNext/>
        <w:tabs>
          <w:tab w:val="left" w:pos="0"/>
          <w:tab w:val="right" w:pos="9214"/>
        </w:tabs>
        <w:spacing w:before="240" w:line="276" w:lineRule="auto"/>
        <w:jc w:val="both"/>
        <w:rPr>
          <w:rFonts w:ascii="Verdana" w:hAnsi="Verdana"/>
          <w:sz w:val="20"/>
          <w:szCs w:val="20"/>
        </w:rPr>
      </w:pPr>
      <w:bookmarkStart w:id="89" w:name="_Toc395612579"/>
      <w:r w:rsidRPr="00B45B4F">
        <w:rPr>
          <w:rFonts w:ascii="Verdana" w:hAnsi="Verdana"/>
          <w:b/>
          <w:color w:val="548DD4" w:themeColor="text2" w:themeTint="99"/>
          <w:sz w:val="20"/>
          <w:szCs w:val="20"/>
        </w:rPr>
        <w:t xml:space="preserve">Таблица </w:t>
      </w:r>
      <w:r w:rsidR="00BF1936" w:rsidRPr="00B45B4F">
        <w:rPr>
          <w:rFonts w:ascii="Verdana" w:hAnsi="Verdana"/>
          <w:b/>
          <w:color w:val="548DD4" w:themeColor="text2" w:themeTint="99"/>
          <w:sz w:val="20"/>
          <w:szCs w:val="20"/>
        </w:rPr>
        <w:fldChar w:fldCharType="begin"/>
      </w:r>
      <w:r w:rsidRPr="00B45B4F">
        <w:rPr>
          <w:rFonts w:ascii="Verdana" w:hAnsi="Verdana"/>
          <w:b/>
          <w:color w:val="548DD4" w:themeColor="text2" w:themeTint="99"/>
          <w:sz w:val="20"/>
          <w:szCs w:val="20"/>
        </w:rPr>
        <w:instrText xml:space="preserve"> SEQ таблица \* ARABIC </w:instrText>
      </w:r>
      <w:r w:rsidR="00BF1936" w:rsidRPr="00B45B4F">
        <w:rPr>
          <w:rFonts w:ascii="Verdana" w:hAnsi="Verdana"/>
          <w:b/>
          <w:color w:val="548DD4" w:themeColor="text2" w:themeTint="99"/>
          <w:sz w:val="20"/>
          <w:szCs w:val="20"/>
        </w:rPr>
        <w:fldChar w:fldCharType="separate"/>
      </w:r>
      <w:r w:rsidR="001361E0">
        <w:rPr>
          <w:rFonts w:ascii="Verdana" w:hAnsi="Verdana"/>
          <w:b/>
          <w:noProof/>
          <w:color w:val="548DD4" w:themeColor="text2" w:themeTint="99"/>
          <w:sz w:val="20"/>
          <w:szCs w:val="20"/>
        </w:rPr>
        <w:t>23</w:t>
      </w:r>
      <w:r w:rsidR="00BF1936" w:rsidRPr="00B45B4F">
        <w:rPr>
          <w:rFonts w:ascii="Verdana" w:hAnsi="Verdana"/>
          <w:b/>
          <w:color w:val="548DD4" w:themeColor="text2" w:themeTint="99"/>
          <w:sz w:val="20"/>
          <w:szCs w:val="20"/>
        </w:rPr>
        <w:fldChar w:fldCharType="end"/>
      </w:r>
      <w:r w:rsidRPr="00B45B4F">
        <w:rPr>
          <w:rFonts w:ascii="Verdana" w:hAnsi="Verdana"/>
          <w:b/>
          <w:color w:val="548DD4" w:themeColor="text2" w:themeTint="99"/>
          <w:sz w:val="20"/>
          <w:szCs w:val="20"/>
        </w:rPr>
        <w:t>. ПО3 – Анализ на дейностите</w:t>
      </w:r>
      <w:bookmarkEnd w:id="89"/>
    </w:p>
    <w:tbl>
      <w:tblPr>
        <w:tblW w:w="0" w:type="auto"/>
        <w:tblCellSpacing w:w="11" w:type="dxa"/>
        <w:tblInd w:w="130" w:type="dxa"/>
        <w:tblLook w:val="04A0" w:firstRow="1" w:lastRow="0" w:firstColumn="1" w:lastColumn="0" w:noHBand="0" w:noVBand="1"/>
      </w:tblPr>
      <w:tblGrid>
        <w:gridCol w:w="5257"/>
        <w:gridCol w:w="3833"/>
      </w:tblGrid>
      <w:tr w:rsidR="00057F10" w:rsidRPr="00B45B4F" w:rsidTr="00E65EF5">
        <w:trPr>
          <w:tblCellSpacing w:w="11" w:type="dxa"/>
        </w:trPr>
        <w:tc>
          <w:tcPr>
            <w:tcW w:w="5224" w:type="dxa"/>
            <w:shd w:val="clear" w:color="auto" w:fill="548DD4" w:themeFill="text2" w:themeFillTint="99"/>
          </w:tcPr>
          <w:p w:rsidR="00057F10" w:rsidRPr="00B45B4F" w:rsidRDefault="00057F10" w:rsidP="0076200A">
            <w:pPr>
              <w:pStyle w:val="BodyText"/>
              <w:spacing w:before="120" w:line="276" w:lineRule="auto"/>
              <w:jc w:val="center"/>
              <w:rPr>
                <w:rFonts w:ascii="Verdana" w:hAnsi="Verdana"/>
                <w:b/>
                <w:color w:val="FFFFFF"/>
                <w:sz w:val="20"/>
                <w:szCs w:val="20"/>
              </w:rPr>
            </w:pPr>
            <w:r w:rsidRPr="00B45B4F">
              <w:rPr>
                <w:rFonts w:ascii="Verdana" w:hAnsi="Verdana"/>
                <w:b/>
                <w:color w:val="FFFFFF"/>
                <w:sz w:val="20"/>
                <w:szCs w:val="20"/>
              </w:rPr>
              <w:t>Предвидени мерки/дейности</w:t>
            </w:r>
          </w:p>
        </w:tc>
        <w:tc>
          <w:tcPr>
            <w:tcW w:w="3800" w:type="dxa"/>
            <w:shd w:val="clear" w:color="auto" w:fill="548DD4" w:themeFill="text2" w:themeFillTint="99"/>
          </w:tcPr>
          <w:p w:rsidR="00057F10" w:rsidRPr="00B45B4F" w:rsidRDefault="00057F10" w:rsidP="0076200A">
            <w:pPr>
              <w:pStyle w:val="BodyText"/>
              <w:spacing w:before="120" w:line="276" w:lineRule="auto"/>
              <w:jc w:val="center"/>
              <w:rPr>
                <w:rFonts w:ascii="Verdana" w:hAnsi="Verdana"/>
                <w:b/>
                <w:color w:val="FFFFFF"/>
                <w:sz w:val="20"/>
                <w:szCs w:val="20"/>
              </w:rPr>
            </w:pPr>
            <w:r w:rsidRPr="00B45B4F">
              <w:rPr>
                <w:rFonts w:ascii="Verdana" w:hAnsi="Verdana"/>
                <w:b/>
                <w:color w:val="FFFFFF"/>
                <w:sz w:val="20"/>
                <w:szCs w:val="20"/>
              </w:rPr>
              <w:t xml:space="preserve">Адекватност </w:t>
            </w:r>
          </w:p>
        </w:tc>
      </w:tr>
      <w:tr w:rsidR="00057F10" w:rsidRPr="00B45B4F" w:rsidTr="00513534">
        <w:trPr>
          <w:tblCellSpacing w:w="11" w:type="dxa"/>
        </w:trPr>
        <w:tc>
          <w:tcPr>
            <w:tcW w:w="9046" w:type="dxa"/>
            <w:gridSpan w:val="2"/>
            <w:shd w:val="clear" w:color="auto" w:fill="FBD4B4" w:themeFill="accent6" w:themeFillTint="66"/>
          </w:tcPr>
          <w:p w:rsidR="00057F10" w:rsidRPr="00B45B4F" w:rsidRDefault="00057F10" w:rsidP="00BF4412">
            <w:pPr>
              <w:spacing w:before="120"/>
              <w:jc w:val="both"/>
              <w:rPr>
                <w:rFonts w:ascii="Verdana" w:hAnsi="Verdana"/>
                <w:i/>
                <w:sz w:val="20"/>
                <w:szCs w:val="20"/>
                <w:lang w:val="bg-BG"/>
              </w:rPr>
            </w:pPr>
            <w:r w:rsidRPr="00B45B4F">
              <w:rPr>
                <w:rFonts w:ascii="Verdana" w:hAnsi="Verdana"/>
                <w:b/>
                <w:sz w:val="20"/>
                <w:szCs w:val="20"/>
                <w:lang w:val="bg-BG"/>
              </w:rPr>
              <w:t xml:space="preserve">Инвестиционен приоритет 1: </w:t>
            </w:r>
            <w:r w:rsidR="00BF4412" w:rsidRPr="00B45B4F">
              <w:rPr>
                <w:rFonts w:ascii="Verdana" w:hAnsi="Verdana"/>
                <w:i/>
                <w:sz w:val="20"/>
                <w:szCs w:val="20"/>
                <w:lang w:val="bg-BG"/>
              </w:rPr>
              <w:t>Активно приобщаване, включително с оглед на насърчаване на равните възможности и активното участие, и по-добрата пригодност за заетост.</w:t>
            </w:r>
          </w:p>
        </w:tc>
      </w:tr>
      <w:tr w:rsidR="0074632B" w:rsidRPr="00B45B4F" w:rsidTr="00513534">
        <w:trPr>
          <w:tblCellSpacing w:w="11" w:type="dxa"/>
        </w:trPr>
        <w:tc>
          <w:tcPr>
            <w:tcW w:w="5224" w:type="dxa"/>
            <w:shd w:val="clear" w:color="auto" w:fill="C6D9F1" w:themeFill="text2" w:themeFillTint="33"/>
          </w:tcPr>
          <w:p w:rsidR="0074632B" w:rsidRPr="00B45B4F" w:rsidRDefault="0074632B" w:rsidP="0074632B">
            <w:pPr>
              <w:pStyle w:val="BodyText"/>
              <w:spacing w:before="120" w:line="276" w:lineRule="auto"/>
              <w:jc w:val="both"/>
              <w:rPr>
                <w:rFonts w:ascii="Verdana" w:hAnsi="Verdana"/>
                <w:sz w:val="20"/>
                <w:szCs w:val="20"/>
              </w:rPr>
            </w:pPr>
            <w:r w:rsidRPr="00B45B4F">
              <w:rPr>
                <w:rFonts w:ascii="Verdana" w:hAnsi="Verdana"/>
                <w:sz w:val="20"/>
                <w:szCs w:val="20"/>
              </w:rPr>
              <w:t>Въвеждане на модел за ранно оценяване на образователните потребности на децата от предучилищна възраст и за превенция и ранна интервенция на обучителните им затруднения;</w:t>
            </w:r>
          </w:p>
        </w:tc>
        <w:tc>
          <w:tcPr>
            <w:tcW w:w="3800" w:type="dxa"/>
            <w:shd w:val="clear" w:color="auto" w:fill="C6D9F1" w:themeFill="text2" w:themeFillTint="33"/>
          </w:tcPr>
          <w:p w:rsidR="0074632B" w:rsidRPr="00B45B4F" w:rsidRDefault="0074632B" w:rsidP="00AB2CF2">
            <w:pPr>
              <w:pStyle w:val="BodyText"/>
              <w:spacing w:before="120" w:line="276" w:lineRule="auto"/>
              <w:jc w:val="both"/>
              <w:rPr>
                <w:rFonts w:ascii="Verdana" w:hAnsi="Verdana"/>
                <w:sz w:val="20"/>
                <w:szCs w:val="20"/>
              </w:rPr>
            </w:pPr>
            <w:r w:rsidRPr="00B45B4F">
              <w:rPr>
                <w:rFonts w:ascii="Verdana" w:hAnsi="Verdana"/>
                <w:sz w:val="20"/>
                <w:szCs w:val="20"/>
              </w:rPr>
              <w:t xml:space="preserve">Дейността ще способства за определяне на индивидуалните потребности и ранна превенция на обучителни затруднения и по този начин ще допринесе </w:t>
            </w:r>
            <w:r w:rsidR="00AB2CF2" w:rsidRPr="00B45B4F">
              <w:rPr>
                <w:rFonts w:ascii="Verdana" w:hAnsi="Verdana"/>
                <w:sz w:val="20"/>
                <w:szCs w:val="20"/>
              </w:rPr>
              <w:t xml:space="preserve">за постигане </w:t>
            </w:r>
            <w:r w:rsidRPr="00B45B4F">
              <w:rPr>
                <w:rFonts w:ascii="Verdana" w:hAnsi="Verdana"/>
                <w:sz w:val="20"/>
                <w:szCs w:val="20"/>
              </w:rPr>
              <w:t>и на двете специфични цели.</w:t>
            </w:r>
          </w:p>
        </w:tc>
      </w:tr>
      <w:tr w:rsidR="0074632B" w:rsidRPr="00B45B4F" w:rsidTr="00E65EF5">
        <w:trPr>
          <w:tblCellSpacing w:w="11" w:type="dxa"/>
        </w:trPr>
        <w:tc>
          <w:tcPr>
            <w:tcW w:w="5224" w:type="dxa"/>
            <w:shd w:val="clear" w:color="auto" w:fill="F2F2F2" w:themeFill="background1" w:themeFillShade="F2"/>
          </w:tcPr>
          <w:p w:rsidR="0074632B" w:rsidRPr="00B45B4F" w:rsidRDefault="0074632B" w:rsidP="0074632B">
            <w:pPr>
              <w:pStyle w:val="BodyText"/>
              <w:spacing w:before="120" w:line="276" w:lineRule="auto"/>
              <w:jc w:val="both"/>
              <w:rPr>
                <w:rFonts w:ascii="Verdana" w:hAnsi="Verdana"/>
                <w:sz w:val="20"/>
                <w:szCs w:val="20"/>
              </w:rPr>
            </w:pPr>
            <w:r w:rsidRPr="00B45B4F">
              <w:rPr>
                <w:rFonts w:ascii="Verdana" w:hAnsi="Verdana"/>
                <w:sz w:val="20"/>
                <w:szCs w:val="20"/>
              </w:rPr>
              <w:t>Изграждане на функционален модел за подкрепа на процеса на включващо обучение чрез участието и с използването на капацитета на специалните училища за ученици със сензорни увреждания и с умствена изостаналост.</w:t>
            </w:r>
          </w:p>
        </w:tc>
        <w:tc>
          <w:tcPr>
            <w:tcW w:w="3800" w:type="dxa"/>
            <w:shd w:val="clear" w:color="auto" w:fill="F2F2F2" w:themeFill="background1" w:themeFillShade="F2"/>
          </w:tcPr>
          <w:p w:rsidR="0074632B" w:rsidRPr="00B45B4F" w:rsidRDefault="0074632B" w:rsidP="0074632B">
            <w:pPr>
              <w:pStyle w:val="BodyText"/>
              <w:spacing w:before="120" w:line="276" w:lineRule="auto"/>
              <w:jc w:val="both"/>
              <w:rPr>
                <w:rFonts w:ascii="Verdana" w:hAnsi="Verdana"/>
                <w:sz w:val="20"/>
                <w:szCs w:val="20"/>
              </w:rPr>
            </w:pPr>
            <w:r w:rsidRPr="00B45B4F">
              <w:rPr>
                <w:rFonts w:ascii="Verdana" w:hAnsi="Verdana"/>
                <w:sz w:val="20"/>
                <w:szCs w:val="20"/>
              </w:rPr>
              <w:t>Дейността отговаря и ще способства за постигане на СЦ1.</w:t>
            </w:r>
          </w:p>
        </w:tc>
      </w:tr>
      <w:tr w:rsidR="0074632B" w:rsidRPr="00B45B4F" w:rsidTr="00513534">
        <w:trPr>
          <w:tblCellSpacing w:w="11" w:type="dxa"/>
        </w:trPr>
        <w:tc>
          <w:tcPr>
            <w:tcW w:w="5224" w:type="dxa"/>
            <w:shd w:val="clear" w:color="auto" w:fill="C6D9F1" w:themeFill="text2" w:themeFillTint="33"/>
          </w:tcPr>
          <w:p w:rsidR="0074632B" w:rsidRPr="00B45B4F" w:rsidRDefault="0074632B" w:rsidP="0074632B">
            <w:pPr>
              <w:pStyle w:val="BodyText"/>
              <w:spacing w:before="120" w:line="276" w:lineRule="auto"/>
              <w:jc w:val="both"/>
              <w:rPr>
                <w:rFonts w:ascii="Verdana" w:hAnsi="Verdana"/>
                <w:sz w:val="20"/>
                <w:szCs w:val="20"/>
              </w:rPr>
            </w:pPr>
            <w:r w:rsidRPr="00B45B4F">
              <w:rPr>
                <w:rFonts w:ascii="Verdana" w:hAnsi="Verdana"/>
                <w:sz w:val="20"/>
                <w:szCs w:val="20"/>
              </w:rPr>
              <w:t xml:space="preserve">Осигуряване на условия и ресурси за изграждане и развитие на подкрепяща среда в детските градини и училищата за осъществяване на включващо образование чрез: повишаване на капацитета на педагогическите специалисти и на екипната работа; прилагане на гъвкави форми на обучение; осигуряване на специализирани пособия и помагала; осигуряване на </w:t>
            </w:r>
            <w:r w:rsidRPr="00B45B4F">
              <w:rPr>
                <w:rFonts w:ascii="Verdana" w:hAnsi="Verdana"/>
                <w:sz w:val="20"/>
                <w:szCs w:val="20"/>
              </w:rPr>
              <w:lastRenderedPageBreak/>
              <w:t xml:space="preserve">индивидуална подкрепа за обучение и развитие съобразно образователните потребности на децата и учениците и др.; </w:t>
            </w:r>
          </w:p>
        </w:tc>
        <w:tc>
          <w:tcPr>
            <w:tcW w:w="3800" w:type="dxa"/>
            <w:shd w:val="clear" w:color="auto" w:fill="C6D9F1" w:themeFill="text2" w:themeFillTint="33"/>
          </w:tcPr>
          <w:p w:rsidR="0074632B" w:rsidRPr="00B45B4F" w:rsidRDefault="0074632B" w:rsidP="0074632B">
            <w:pPr>
              <w:pStyle w:val="BodyText"/>
              <w:spacing w:before="120" w:line="276" w:lineRule="auto"/>
              <w:jc w:val="both"/>
              <w:rPr>
                <w:rFonts w:ascii="Verdana" w:hAnsi="Verdana"/>
                <w:sz w:val="20"/>
                <w:szCs w:val="20"/>
              </w:rPr>
            </w:pPr>
            <w:r w:rsidRPr="00B45B4F">
              <w:rPr>
                <w:rFonts w:ascii="Verdana" w:hAnsi="Verdana"/>
                <w:sz w:val="20"/>
                <w:szCs w:val="20"/>
              </w:rPr>
              <w:lastRenderedPageBreak/>
              <w:t>Дейността отговаря и ще способства за постигане на СЦ1.</w:t>
            </w:r>
          </w:p>
        </w:tc>
      </w:tr>
      <w:tr w:rsidR="0074632B" w:rsidRPr="00B45B4F" w:rsidTr="00E65EF5">
        <w:trPr>
          <w:tblCellSpacing w:w="11" w:type="dxa"/>
        </w:trPr>
        <w:tc>
          <w:tcPr>
            <w:tcW w:w="5224" w:type="dxa"/>
            <w:shd w:val="clear" w:color="auto" w:fill="F2F2F2" w:themeFill="background1" w:themeFillShade="F2"/>
          </w:tcPr>
          <w:p w:rsidR="0074632B" w:rsidRPr="00B45B4F" w:rsidRDefault="0074632B" w:rsidP="0074632B">
            <w:pPr>
              <w:pStyle w:val="BodyText"/>
              <w:spacing w:before="120" w:line="276" w:lineRule="auto"/>
              <w:jc w:val="both"/>
              <w:rPr>
                <w:rFonts w:ascii="Verdana" w:hAnsi="Verdana"/>
                <w:sz w:val="20"/>
                <w:szCs w:val="20"/>
              </w:rPr>
            </w:pPr>
            <w:r w:rsidRPr="00B45B4F">
              <w:rPr>
                <w:rFonts w:ascii="Verdana" w:hAnsi="Verdana"/>
                <w:sz w:val="20"/>
                <w:szCs w:val="20"/>
              </w:rPr>
              <w:lastRenderedPageBreak/>
              <w:t>Създаване на специализирани кабинети за работа с децата и учениците на ниво детска градина и училище;</w:t>
            </w:r>
          </w:p>
        </w:tc>
        <w:tc>
          <w:tcPr>
            <w:tcW w:w="3800" w:type="dxa"/>
            <w:shd w:val="clear" w:color="auto" w:fill="F2F2F2" w:themeFill="background1" w:themeFillShade="F2"/>
          </w:tcPr>
          <w:p w:rsidR="0074632B" w:rsidRPr="00B45B4F" w:rsidRDefault="0074632B" w:rsidP="00D451B5">
            <w:pPr>
              <w:pStyle w:val="BodyText"/>
              <w:spacing w:before="120" w:line="276" w:lineRule="auto"/>
              <w:jc w:val="both"/>
              <w:rPr>
                <w:rFonts w:ascii="Verdana" w:hAnsi="Verdana"/>
                <w:sz w:val="20"/>
                <w:szCs w:val="20"/>
              </w:rPr>
            </w:pPr>
            <w:r w:rsidRPr="00B45B4F">
              <w:rPr>
                <w:rFonts w:ascii="Verdana" w:hAnsi="Verdana"/>
                <w:sz w:val="20"/>
                <w:szCs w:val="20"/>
              </w:rPr>
              <w:t>Дейността отговаря и на двете специфични цели.</w:t>
            </w:r>
          </w:p>
        </w:tc>
      </w:tr>
      <w:tr w:rsidR="0074632B" w:rsidRPr="00B45B4F" w:rsidTr="00513534">
        <w:trPr>
          <w:tblCellSpacing w:w="11" w:type="dxa"/>
        </w:trPr>
        <w:tc>
          <w:tcPr>
            <w:tcW w:w="5224" w:type="dxa"/>
            <w:shd w:val="clear" w:color="auto" w:fill="C6D9F1" w:themeFill="text2" w:themeFillTint="33"/>
          </w:tcPr>
          <w:p w:rsidR="0074632B" w:rsidRPr="00B45B4F" w:rsidRDefault="0074632B" w:rsidP="0074632B">
            <w:pPr>
              <w:pStyle w:val="BodyText"/>
              <w:spacing w:before="120" w:line="276" w:lineRule="auto"/>
              <w:jc w:val="both"/>
              <w:rPr>
                <w:rFonts w:ascii="Verdana" w:hAnsi="Verdana"/>
                <w:sz w:val="20"/>
                <w:szCs w:val="20"/>
              </w:rPr>
            </w:pPr>
            <w:r w:rsidRPr="00B45B4F">
              <w:rPr>
                <w:rFonts w:ascii="Verdana" w:hAnsi="Verdana"/>
                <w:sz w:val="20"/>
                <w:szCs w:val="20"/>
              </w:rPr>
              <w:t>Осигуряване на условия за подпомагане на младежи с увреждания за кандидатстване във висши училища;</w:t>
            </w:r>
          </w:p>
        </w:tc>
        <w:tc>
          <w:tcPr>
            <w:tcW w:w="3800" w:type="dxa"/>
            <w:shd w:val="clear" w:color="auto" w:fill="C6D9F1" w:themeFill="text2" w:themeFillTint="33"/>
          </w:tcPr>
          <w:p w:rsidR="0074632B" w:rsidRPr="00B45B4F" w:rsidRDefault="0074632B" w:rsidP="0074632B">
            <w:pPr>
              <w:pStyle w:val="BodyText"/>
              <w:spacing w:before="120" w:line="276" w:lineRule="auto"/>
              <w:jc w:val="both"/>
              <w:rPr>
                <w:rFonts w:ascii="Verdana" w:hAnsi="Verdana"/>
                <w:sz w:val="20"/>
                <w:szCs w:val="20"/>
              </w:rPr>
            </w:pPr>
            <w:r w:rsidRPr="00B45B4F">
              <w:rPr>
                <w:rFonts w:ascii="Verdana" w:hAnsi="Verdana"/>
                <w:sz w:val="20"/>
                <w:szCs w:val="20"/>
              </w:rPr>
              <w:t xml:space="preserve">Дейността ще способства </w:t>
            </w:r>
            <w:r w:rsidR="00290FC0" w:rsidRPr="00B45B4F">
              <w:rPr>
                <w:rFonts w:ascii="Verdana" w:hAnsi="Verdana"/>
                <w:sz w:val="20"/>
                <w:szCs w:val="20"/>
              </w:rPr>
              <w:t xml:space="preserve">за </w:t>
            </w:r>
            <w:r w:rsidRPr="00B45B4F">
              <w:rPr>
                <w:rFonts w:ascii="Verdana" w:hAnsi="Verdana"/>
                <w:sz w:val="20"/>
                <w:szCs w:val="20"/>
              </w:rPr>
              <w:t>постигане на СЦ1.</w:t>
            </w:r>
          </w:p>
        </w:tc>
      </w:tr>
      <w:tr w:rsidR="0074632B" w:rsidRPr="00B45B4F" w:rsidTr="00E65EF5">
        <w:trPr>
          <w:tblCellSpacing w:w="11" w:type="dxa"/>
        </w:trPr>
        <w:tc>
          <w:tcPr>
            <w:tcW w:w="5224" w:type="dxa"/>
            <w:shd w:val="clear" w:color="auto" w:fill="F2F2F2" w:themeFill="background1" w:themeFillShade="F2"/>
          </w:tcPr>
          <w:p w:rsidR="0074632B" w:rsidRPr="00B45B4F" w:rsidRDefault="0074632B" w:rsidP="0005690D">
            <w:pPr>
              <w:pStyle w:val="BodyText"/>
              <w:spacing w:before="120" w:line="276" w:lineRule="auto"/>
              <w:jc w:val="both"/>
              <w:rPr>
                <w:rFonts w:ascii="Verdana" w:hAnsi="Verdana"/>
                <w:sz w:val="20"/>
                <w:szCs w:val="20"/>
              </w:rPr>
            </w:pPr>
            <w:r w:rsidRPr="00B45B4F">
              <w:rPr>
                <w:rFonts w:ascii="Verdana" w:hAnsi="Verdana"/>
                <w:sz w:val="20"/>
                <w:szCs w:val="20"/>
              </w:rPr>
              <w:t xml:space="preserve">Подкрепа на ученици с девиантно поведение за продължаване на образованието и за социално включване; </w:t>
            </w:r>
          </w:p>
        </w:tc>
        <w:tc>
          <w:tcPr>
            <w:tcW w:w="3800" w:type="dxa"/>
            <w:shd w:val="clear" w:color="auto" w:fill="F2F2F2" w:themeFill="background1" w:themeFillShade="F2"/>
          </w:tcPr>
          <w:p w:rsidR="0074632B" w:rsidRPr="00B45B4F" w:rsidRDefault="00DE684B" w:rsidP="0074632B">
            <w:pPr>
              <w:pStyle w:val="BodyText"/>
              <w:spacing w:before="120" w:line="276" w:lineRule="auto"/>
              <w:jc w:val="both"/>
              <w:rPr>
                <w:rFonts w:ascii="Verdana" w:hAnsi="Verdana"/>
                <w:sz w:val="20"/>
                <w:szCs w:val="20"/>
              </w:rPr>
            </w:pPr>
            <w:r w:rsidRPr="00B45B4F">
              <w:rPr>
                <w:rFonts w:ascii="Verdana" w:hAnsi="Verdana"/>
                <w:sz w:val="20"/>
                <w:szCs w:val="20"/>
              </w:rPr>
              <w:t>Дейността ще способства за постигане и на двете специфични цели</w:t>
            </w:r>
          </w:p>
        </w:tc>
      </w:tr>
      <w:tr w:rsidR="0074632B" w:rsidRPr="00B45B4F" w:rsidTr="00513534">
        <w:trPr>
          <w:tblCellSpacing w:w="11" w:type="dxa"/>
        </w:trPr>
        <w:tc>
          <w:tcPr>
            <w:tcW w:w="5224" w:type="dxa"/>
            <w:shd w:val="clear" w:color="auto" w:fill="C6D9F1" w:themeFill="text2" w:themeFillTint="33"/>
          </w:tcPr>
          <w:p w:rsidR="0074632B" w:rsidRPr="00B45B4F" w:rsidRDefault="0074632B" w:rsidP="0074632B">
            <w:pPr>
              <w:pStyle w:val="BodyText"/>
              <w:spacing w:before="120" w:line="276" w:lineRule="auto"/>
              <w:jc w:val="both"/>
              <w:rPr>
                <w:rFonts w:ascii="Verdana" w:hAnsi="Verdana"/>
                <w:sz w:val="20"/>
                <w:szCs w:val="20"/>
              </w:rPr>
            </w:pPr>
            <w:r w:rsidRPr="00B45B4F">
              <w:rPr>
                <w:rFonts w:ascii="Verdana" w:hAnsi="Verdana"/>
                <w:sz w:val="20"/>
                <w:szCs w:val="20"/>
              </w:rPr>
              <w:t>Подкрепа за обучението на студенти, специализанти и докторанти с увреждания;</w:t>
            </w:r>
          </w:p>
        </w:tc>
        <w:tc>
          <w:tcPr>
            <w:tcW w:w="3800" w:type="dxa"/>
            <w:shd w:val="clear" w:color="auto" w:fill="C6D9F1" w:themeFill="text2" w:themeFillTint="33"/>
          </w:tcPr>
          <w:p w:rsidR="0074632B" w:rsidRPr="00B45B4F" w:rsidRDefault="00DE684B" w:rsidP="0074632B">
            <w:pPr>
              <w:pStyle w:val="BodyText"/>
              <w:spacing w:before="120" w:line="276" w:lineRule="auto"/>
              <w:jc w:val="both"/>
              <w:rPr>
                <w:rFonts w:ascii="Verdana" w:hAnsi="Verdana"/>
                <w:sz w:val="20"/>
                <w:szCs w:val="20"/>
              </w:rPr>
            </w:pPr>
            <w:r w:rsidRPr="00B45B4F">
              <w:rPr>
                <w:rFonts w:ascii="Verdana" w:hAnsi="Verdana"/>
                <w:sz w:val="20"/>
                <w:szCs w:val="20"/>
              </w:rPr>
              <w:t>Дейността ще способства постигане на СЦ1.</w:t>
            </w:r>
          </w:p>
        </w:tc>
      </w:tr>
      <w:tr w:rsidR="0074632B" w:rsidRPr="00B45B4F" w:rsidTr="00E65EF5">
        <w:trPr>
          <w:tblCellSpacing w:w="11" w:type="dxa"/>
        </w:trPr>
        <w:tc>
          <w:tcPr>
            <w:tcW w:w="5224" w:type="dxa"/>
            <w:shd w:val="clear" w:color="auto" w:fill="F2F2F2" w:themeFill="background1" w:themeFillShade="F2"/>
          </w:tcPr>
          <w:p w:rsidR="0074632B" w:rsidRPr="00B45B4F" w:rsidRDefault="0074632B" w:rsidP="0074632B">
            <w:pPr>
              <w:pStyle w:val="BodyText"/>
              <w:spacing w:before="120" w:line="276" w:lineRule="auto"/>
              <w:jc w:val="both"/>
              <w:rPr>
                <w:rFonts w:ascii="Verdana" w:hAnsi="Verdana"/>
                <w:sz w:val="20"/>
                <w:szCs w:val="20"/>
              </w:rPr>
            </w:pPr>
            <w:r w:rsidRPr="00B45B4F">
              <w:rPr>
                <w:rFonts w:ascii="Verdana" w:hAnsi="Verdana"/>
                <w:sz w:val="20"/>
                <w:szCs w:val="20"/>
              </w:rPr>
              <w:t>Осигуряване на условия за изграждане на положителни обществени нагласи към процеса на включващо обучение в детските градини и в училищата;</w:t>
            </w:r>
          </w:p>
        </w:tc>
        <w:tc>
          <w:tcPr>
            <w:tcW w:w="3800" w:type="dxa"/>
            <w:shd w:val="clear" w:color="auto" w:fill="F2F2F2" w:themeFill="background1" w:themeFillShade="F2"/>
          </w:tcPr>
          <w:p w:rsidR="0074632B" w:rsidRPr="00B45B4F" w:rsidRDefault="00DE684B" w:rsidP="0074632B">
            <w:pPr>
              <w:pStyle w:val="BodyText"/>
              <w:spacing w:before="120" w:line="276" w:lineRule="auto"/>
              <w:jc w:val="both"/>
              <w:rPr>
                <w:rFonts w:ascii="Verdana" w:hAnsi="Verdana"/>
                <w:sz w:val="20"/>
                <w:szCs w:val="20"/>
              </w:rPr>
            </w:pPr>
            <w:r w:rsidRPr="00B45B4F">
              <w:rPr>
                <w:rFonts w:ascii="Verdana" w:hAnsi="Verdana"/>
                <w:sz w:val="20"/>
                <w:szCs w:val="20"/>
              </w:rPr>
              <w:t>Дейността косвено подкрепя СЦ1, но причините и проблемите</w:t>
            </w:r>
            <w:r w:rsidR="004479D8">
              <w:rPr>
                <w:rFonts w:ascii="Verdana" w:hAnsi="Verdana"/>
                <w:sz w:val="20"/>
                <w:szCs w:val="20"/>
              </w:rPr>
              <w:t>,</w:t>
            </w:r>
            <w:r w:rsidRPr="00B45B4F">
              <w:rPr>
                <w:rFonts w:ascii="Verdana" w:hAnsi="Verdana"/>
                <w:sz w:val="20"/>
                <w:szCs w:val="20"/>
              </w:rPr>
              <w:t xml:space="preserve"> които адресира</w:t>
            </w:r>
            <w:r w:rsidR="004479D8">
              <w:rPr>
                <w:rFonts w:ascii="Verdana" w:hAnsi="Verdana"/>
                <w:sz w:val="20"/>
                <w:szCs w:val="20"/>
              </w:rPr>
              <w:t>,</w:t>
            </w:r>
            <w:r w:rsidRPr="00B45B4F">
              <w:rPr>
                <w:rFonts w:ascii="Verdana" w:hAnsi="Verdana"/>
                <w:sz w:val="20"/>
                <w:szCs w:val="20"/>
              </w:rPr>
              <w:t xml:space="preserve"> не са посочени в обосновката.</w:t>
            </w:r>
          </w:p>
        </w:tc>
      </w:tr>
      <w:tr w:rsidR="00DE684B" w:rsidRPr="00B45B4F" w:rsidTr="00513534">
        <w:trPr>
          <w:tblCellSpacing w:w="11" w:type="dxa"/>
        </w:trPr>
        <w:tc>
          <w:tcPr>
            <w:tcW w:w="5224" w:type="dxa"/>
            <w:shd w:val="clear" w:color="auto" w:fill="C6D9F1" w:themeFill="text2" w:themeFillTint="33"/>
          </w:tcPr>
          <w:p w:rsidR="00DE684B" w:rsidRPr="00B45B4F" w:rsidRDefault="00DE684B" w:rsidP="00DE684B">
            <w:pPr>
              <w:pStyle w:val="BodyText"/>
              <w:spacing w:before="120" w:line="276" w:lineRule="auto"/>
              <w:jc w:val="both"/>
              <w:rPr>
                <w:rFonts w:ascii="Verdana" w:hAnsi="Verdana"/>
                <w:sz w:val="20"/>
                <w:szCs w:val="20"/>
              </w:rPr>
            </w:pPr>
            <w:r w:rsidRPr="00B45B4F">
              <w:rPr>
                <w:rFonts w:ascii="Verdana" w:hAnsi="Verdana"/>
                <w:sz w:val="20"/>
                <w:szCs w:val="20"/>
              </w:rPr>
              <w:t>Подкрепа на процеса на приобщаващо образование и на социалното включване чрез оптимизация на мрежата от специални детски градини и училища;</w:t>
            </w:r>
          </w:p>
        </w:tc>
        <w:tc>
          <w:tcPr>
            <w:tcW w:w="3800" w:type="dxa"/>
            <w:shd w:val="clear" w:color="auto" w:fill="C6D9F1" w:themeFill="text2" w:themeFillTint="33"/>
          </w:tcPr>
          <w:p w:rsidR="00DE684B" w:rsidRPr="00B45B4F" w:rsidRDefault="00DE684B" w:rsidP="00DE684B">
            <w:pPr>
              <w:pStyle w:val="BodyText"/>
              <w:spacing w:before="120" w:line="276" w:lineRule="auto"/>
              <w:jc w:val="both"/>
              <w:rPr>
                <w:rFonts w:ascii="Verdana" w:hAnsi="Verdana"/>
                <w:sz w:val="20"/>
                <w:szCs w:val="20"/>
              </w:rPr>
            </w:pPr>
            <w:r w:rsidRPr="00B45B4F">
              <w:rPr>
                <w:rFonts w:ascii="Verdana" w:hAnsi="Verdana"/>
                <w:sz w:val="20"/>
                <w:szCs w:val="20"/>
              </w:rPr>
              <w:t>Дейността подкрепя СЦ1, но причините и проблемите</w:t>
            </w:r>
            <w:r w:rsidR="008A03FD">
              <w:rPr>
                <w:rFonts w:ascii="Verdana" w:hAnsi="Verdana"/>
                <w:sz w:val="20"/>
                <w:szCs w:val="20"/>
              </w:rPr>
              <w:t>,</w:t>
            </w:r>
            <w:r w:rsidRPr="00B45B4F">
              <w:rPr>
                <w:rFonts w:ascii="Verdana" w:hAnsi="Verdana"/>
                <w:sz w:val="20"/>
                <w:szCs w:val="20"/>
              </w:rPr>
              <w:t xml:space="preserve"> които адресира</w:t>
            </w:r>
            <w:r w:rsidR="008A03FD">
              <w:rPr>
                <w:rFonts w:ascii="Verdana" w:hAnsi="Verdana"/>
                <w:sz w:val="20"/>
                <w:szCs w:val="20"/>
              </w:rPr>
              <w:t>,</w:t>
            </w:r>
            <w:r w:rsidRPr="00B45B4F">
              <w:rPr>
                <w:rFonts w:ascii="Verdana" w:hAnsi="Verdana"/>
                <w:sz w:val="20"/>
                <w:szCs w:val="20"/>
              </w:rPr>
              <w:t xml:space="preserve"> не са посочени в обосновката.</w:t>
            </w:r>
          </w:p>
        </w:tc>
      </w:tr>
      <w:tr w:rsidR="00DE684B" w:rsidRPr="00B45B4F" w:rsidTr="00E65EF5">
        <w:trPr>
          <w:tblCellSpacing w:w="11" w:type="dxa"/>
        </w:trPr>
        <w:tc>
          <w:tcPr>
            <w:tcW w:w="5224" w:type="dxa"/>
            <w:shd w:val="clear" w:color="auto" w:fill="F2F2F2" w:themeFill="background1" w:themeFillShade="F2"/>
          </w:tcPr>
          <w:p w:rsidR="00DE684B" w:rsidRPr="00B45B4F" w:rsidRDefault="00DE684B" w:rsidP="00DE684B">
            <w:pPr>
              <w:pStyle w:val="BodyText"/>
              <w:spacing w:before="120" w:line="276" w:lineRule="auto"/>
              <w:jc w:val="both"/>
              <w:rPr>
                <w:rFonts w:ascii="Verdana" w:hAnsi="Verdana"/>
                <w:sz w:val="20"/>
                <w:szCs w:val="20"/>
              </w:rPr>
            </w:pPr>
            <w:r w:rsidRPr="00B45B4F">
              <w:rPr>
                <w:rFonts w:ascii="Verdana" w:hAnsi="Verdana"/>
                <w:sz w:val="20"/>
                <w:szCs w:val="20"/>
              </w:rPr>
              <w:t>Осигуряване на алтернативни модели за работа с ученици с девиантно поведение, за подпомагане на образованието им и на социалното им включване;</w:t>
            </w:r>
          </w:p>
        </w:tc>
        <w:tc>
          <w:tcPr>
            <w:tcW w:w="3800" w:type="dxa"/>
            <w:shd w:val="clear" w:color="auto" w:fill="F2F2F2" w:themeFill="background1" w:themeFillShade="F2"/>
          </w:tcPr>
          <w:p w:rsidR="00DE684B" w:rsidRPr="00B45B4F" w:rsidRDefault="00DE684B" w:rsidP="00DE684B">
            <w:pPr>
              <w:pStyle w:val="BodyText"/>
              <w:spacing w:before="120" w:line="276" w:lineRule="auto"/>
              <w:jc w:val="both"/>
              <w:rPr>
                <w:rFonts w:ascii="Verdana" w:hAnsi="Verdana"/>
                <w:sz w:val="20"/>
                <w:szCs w:val="20"/>
              </w:rPr>
            </w:pPr>
            <w:r w:rsidRPr="00B45B4F">
              <w:rPr>
                <w:rFonts w:ascii="Verdana" w:hAnsi="Verdana"/>
                <w:sz w:val="20"/>
                <w:szCs w:val="20"/>
              </w:rPr>
              <w:t>Дейността е уместна, но в голяма степен се припокрива с посочената по-горе дейност: „</w:t>
            </w:r>
            <w:r w:rsidRPr="00B45B4F">
              <w:rPr>
                <w:rFonts w:ascii="Verdana" w:hAnsi="Verdana"/>
                <w:i/>
                <w:sz w:val="20"/>
                <w:szCs w:val="20"/>
              </w:rPr>
              <w:t>Подкрепа на  ученици с девиантно поведение за продължаване на образованието и за социално включване</w:t>
            </w:r>
            <w:r w:rsidRPr="00B45B4F">
              <w:rPr>
                <w:rFonts w:ascii="Verdana" w:hAnsi="Verdana"/>
                <w:sz w:val="20"/>
                <w:szCs w:val="20"/>
              </w:rPr>
              <w:t>“</w:t>
            </w:r>
          </w:p>
        </w:tc>
      </w:tr>
      <w:tr w:rsidR="00DE684B" w:rsidRPr="00B45B4F" w:rsidTr="00513534">
        <w:trPr>
          <w:tblCellSpacing w:w="11" w:type="dxa"/>
        </w:trPr>
        <w:tc>
          <w:tcPr>
            <w:tcW w:w="5224" w:type="dxa"/>
            <w:shd w:val="clear" w:color="auto" w:fill="C6D9F1" w:themeFill="text2" w:themeFillTint="33"/>
          </w:tcPr>
          <w:p w:rsidR="00DE684B" w:rsidRPr="00B45B4F" w:rsidRDefault="00DE684B" w:rsidP="00DE684B">
            <w:pPr>
              <w:pStyle w:val="BodyText"/>
              <w:spacing w:before="120" w:line="276" w:lineRule="auto"/>
              <w:jc w:val="both"/>
              <w:rPr>
                <w:rFonts w:ascii="Verdana" w:hAnsi="Verdana"/>
                <w:sz w:val="20"/>
                <w:szCs w:val="20"/>
              </w:rPr>
            </w:pPr>
            <w:r w:rsidRPr="00B45B4F">
              <w:rPr>
                <w:rFonts w:ascii="Verdana" w:hAnsi="Verdana"/>
                <w:sz w:val="20"/>
                <w:szCs w:val="20"/>
              </w:rPr>
              <w:t xml:space="preserve">Осигуряване на подкрепа за деца, включени в процеса на </w:t>
            </w:r>
            <w:proofErr w:type="spellStart"/>
            <w:r w:rsidRPr="00B45B4F">
              <w:rPr>
                <w:rFonts w:ascii="Verdana" w:hAnsi="Verdana"/>
                <w:sz w:val="20"/>
                <w:szCs w:val="20"/>
              </w:rPr>
              <w:t>деинституционализация</w:t>
            </w:r>
            <w:proofErr w:type="spellEnd"/>
            <w:r w:rsidRPr="00B45B4F">
              <w:rPr>
                <w:rFonts w:ascii="Verdana" w:hAnsi="Verdana"/>
                <w:sz w:val="20"/>
                <w:szCs w:val="20"/>
              </w:rPr>
              <w:t>;</w:t>
            </w:r>
          </w:p>
        </w:tc>
        <w:tc>
          <w:tcPr>
            <w:tcW w:w="3800" w:type="dxa"/>
            <w:shd w:val="clear" w:color="auto" w:fill="C6D9F1" w:themeFill="text2" w:themeFillTint="33"/>
          </w:tcPr>
          <w:p w:rsidR="00DE684B" w:rsidRPr="00B45B4F" w:rsidRDefault="00DE684B" w:rsidP="00DE684B">
            <w:pPr>
              <w:pStyle w:val="BodyText"/>
              <w:spacing w:before="120" w:line="276" w:lineRule="auto"/>
              <w:jc w:val="both"/>
              <w:rPr>
                <w:rFonts w:ascii="Verdana" w:hAnsi="Verdana"/>
                <w:sz w:val="20"/>
                <w:szCs w:val="20"/>
              </w:rPr>
            </w:pPr>
            <w:r w:rsidRPr="00B45B4F">
              <w:rPr>
                <w:rFonts w:ascii="Verdana" w:hAnsi="Verdana"/>
                <w:sz w:val="20"/>
                <w:szCs w:val="20"/>
              </w:rPr>
              <w:t xml:space="preserve">Дейността е адекватна и ще способства </w:t>
            </w:r>
            <w:r w:rsidR="00290FC0" w:rsidRPr="00B45B4F">
              <w:rPr>
                <w:rFonts w:ascii="Verdana" w:hAnsi="Verdana"/>
                <w:sz w:val="20"/>
                <w:szCs w:val="20"/>
              </w:rPr>
              <w:t xml:space="preserve">за </w:t>
            </w:r>
            <w:r w:rsidRPr="00B45B4F">
              <w:rPr>
                <w:rFonts w:ascii="Verdana" w:hAnsi="Verdana"/>
                <w:sz w:val="20"/>
                <w:szCs w:val="20"/>
              </w:rPr>
              <w:t>постигане на специфичните цели.</w:t>
            </w:r>
          </w:p>
        </w:tc>
      </w:tr>
      <w:tr w:rsidR="00DE684B" w:rsidRPr="00B45B4F" w:rsidTr="00E65EF5">
        <w:trPr>
          <w:tblCellSpacing w:w="11" w:type="dxa"/>
        </w:trPr>
        <w:tc>
          <w:tcPr>
            <w:tcW w:w="5224" w:type="dxa"/>
            <w:shd w:val="clear" w:color="auto" w:fill="F2F2F2" w:themeFill="background1" w:themeFillShade="F2"/>
          </w:tcPr>
          <w:p w:rsidR="00DE684B" w:rsidRPr="00B45B4F" w:rsidRDefault="00DE684B" w:rsidP="00DE684B">
            <w:pPr>
              <w:pStyle w:val="BodyText"/>
              <w:spacing w:before="120" w:line="276" w:lineRule="auto"/>
              <w:jc w:val="both"/>
              <w:rPr>
                <w:rFonts w:ascii="Verdana" w:hAnsi="Verdana"/>
                <w:sz w:val="20"/>
                <w:szCs w:val="20"/>
              </w:rPr>
            </w:pPr>
            <w:r w:rsidRPr="00B45B4F">
              <w:rPr>
                <w:rFonts w:ascii="Verdana" w:hAnsi="Verdana"/>
                <w:sz w:val="20"/>
                <w:szCs w:val="20"/>
              </w:rPr>
              <w:t xml:space="preserve">Създаване на условия за активно партньорство с родителите на ниво детска градина и училище; </w:t>
            </w:r>
          </w:p>
        </w:tc>
        <w:tc>
          <w:tcPr>
            <w:tcW w:w="3800" w:type="dxa"/>
            <w:shd w:val="clear" w:color="auto" w:fill="F2F2F2" w:themeFill="background1" w:themeFillShade="F2"/>
          </w:tcPr>
          <w:p w:rsidR="00DE684B" w:rsidRPr="00B45B4F" w:rsidRDefault="00DE684B" w:rsidP="00DE684B">
            <w:pPr>
              <w:pStyle w:val="BodyText"/>
              <w:spacing w:before="120" w:line="276" w:lineRule="auto"/>
              <w:jc w:val="both"/>
              <w:rPr>
                <w:rFonts w:ascii="Verdana" w:hAnsi="Verdana"/>
                <w:sz w:val="20"/>
                <w:szCs w:val="20"/>
              </w:rPr>
            </w:pPr>
            <w:r w:rsidRPr="00B45B4F">
              <w:rPr>
                <w:rFonts w:ascii="Verdana" w:hAnsi="Verdana"/>
                <w:sz w:val="20"/>
                <w:szCs w:val="20"/>
              </w:rPr>
              <w:t xml:space="preserve">Дейността е адекватна и ще способства </w:t>
            </w:r>
            <w:r w:rsidR="00290FC0" w:rsidRPr="00B45B4F">
              <w:rPr>
                <w:rFonts w:ascii="Verdana" w:hAnsi="Verdana"/>
                <w:sz w:val="20"/>
                <w:szCs w:val="20"/>
              </w:rPr>
              <w:t xml:space="preserve">за </w:t>
            </w:r>
            <w:r w:rsidRPr="00B45B4F">
              <w:rPr>
                <w:rFonts w:ascii="Verdana" w:hAnsi="Verdana"/>
                <w:sz w:val="20"/>
                <w:szCs w:val="20"/>
              </w:rPr>
              <w:t>постигане на специфичните цели.</w:t>
            </w:r>
          </w:p>
        </w:tc>
      </w:tr>
      <w:tr w:rsidR="00DE684B" w:rsidRPr="00B45B4F" w:rsidTr="00513534">
        <w:trPr>
          <w:tblCellSpacing w:w="11" w:type="dxa"/>
        </w:trPr>
        <w:tc>
          <w:tcPr>
            <w:tcW w:w="5224" w:type="dxa"/>
            <w:shd w:val="clear" w:color="auto" w:fill="C6D9F1" w:themeFill="text2" w:themeFillTint="33"/>
          </w:tcPr>
          <w:p w:rsidR="00DE684B" w:rsidRPr="00B45B4F" w:rsidRDefault="00535681" w:rsidP="00DE684B">
            <w:pPr>
              <w:pStyle w:val="BodyText"/>
              <w:spacing w:before="120" w:line="276" w:lineRule="auto"/>
              <w:jc w:val="both"/>
              <w:rPr>
                <w:rFonts w:ascii="Verdana" w:hAnsi="Verdana"/>
                <w:sz w:val="20"/>
                <w:szCs w:val="20"/>
              </w:rPr>
            </w:pPr>
            <w:r w:rsidRPr="00FE5A49">
              <w:rPr>
                <w:rFonts w:ascii="Verdana" w:hAnsi="Verdana"/>
                <w:sz w:val="20"/>
                <w:szCs w:val="20"/>
              </w:rPr>
              <w:t>Осигуряване на условия за целодневна организация на учебния ден в училищата</w:t>
            </w:r>
          </w:p>
        </w:tc>
        <w:tc>
          <w:tcPr>
            <w:tcW w:w="3800" w:type="dxa"/>
            <w:shd w:val="clear" w:color="auto" w:fill="C6D9F1" w:themeFill="text2" w:themeFillTint="33"/>
          </w:tcPr>
          <w:p w:rsidR="00DE684B" w:rsidRPr="00B45B4F" w:rsidRDefault="00DE684B" w:rsidP="00DE684B">
            <w:pPr>
              <w:pStyle w:val="BodyText"/>
              <w:spacing w:before="120" w:line="276" w:lineRule="auto"/>
              <w:jc w:val="both"/>
              <w:rPr>
                <w:rFonts w:ascii="Verdana" w:hAnsi="Verdana"/>
                <w:sz w:val="20"/>
                <w:szCs w:val="20"/>
              </w:rPr>
            </w:pPr>
            <w:r w:rsidRPr="00B45B4F">
              <w:rPr>
                <w:rFonts w:ascii="Verdana" w:hAnsi="Verdana"/>
                <w:sz w:val="20"/>
                <w:szCs w:val="20"/>
              </w:rPr>
              <w:t xml:space="preserve">Дейността ще способства </w:t>
            </w:r>
            <w:r w:rsidR="00290FC0" w:rsidRPr="00B45B4F">
              <w:rPr>
                <w:rFonts w:ascii="Verdana" w:hAnsi="Verdana"/>
                <w:sz w:val="20"/>
                <w:szCs w:val="20"/>
              </w:rPr>
              <w:t xml:space="preserve">за </w:t>
            </w:r>
            <w:r w:rsidRPr="00B45B4F">
              <w:rPr>
                <w:rFonts w:ascii="Verdana" w:hAnsi="Verdana"/>
                <w:sz w:val="20"/>
                <w:szCs w:val="20"/>
              </w:rPr>
              <w:t>постигане на СЦ2.</w:t>
            </w:r>
          </w:p>
        </w:tc>
      </w:tr>
      <w:tr w:rsidR="00DE684B" w:rsidRPr="00B45B4F" w:rsidTr="00513534">
        <w:trPr>
          <w:tblCellSpacing w:w="11" w:type="dxa"/>
        </w:trPr>
        <w:tc>
          <w:tcPr>
            <w:tcW w:w="9046" w:type="dxa"/>
            <w:gridSpan w:val="2"/>
            <w:shd w:val="clear" w:color="auto" w:fill="FBD4B4" w:themeFill="accent6" w:themeFillTint="66"/>
          </w:tcPr>
          <w:p w:rsidR="00DE684B" w:rsidRPr="00B45B4F" w:rsidRDefault="00DE684B" w:rsidP="00587107">
            <w:pPr>
              <w:spacing w:before="120"/>
              <w:jc w:val="both"/>
              <w:rPr>
                <w:rFonts w:ascii="Verdana" w:hAnsi="Verdana"/>
                <w:i/>
                <w:sz w:val="20"/>
                <w:szCs w:val="20"/>
                <w:lang w:val="bg-BG"/>
              </w:rPr>
            </w:pPr>
            <w:r w:rsidRPr="00B45B4F">
              <w:rPr>
                <w:rFonts w:ascii="Verdana" w:hAnsi="Verdana"/>
                <w:b/>
                <w:sz w:val="20"/>
                <w:szCs w:val="20"/>
                <w:lang w:val="bg-BG"/>
              </w:rPr>
              <w:lastRenderedPageBreak/>
              <w:t xml:space="preserve">Инвестиционен приоритет 2: </w:t>
            </w:r>
            <w:r w:rsidR="00587107" w:rsidRPr="00B45B4F">
              <w:rPr>
                <w:rFonts w:ascii="Verdana" w:hAnsi="Verdana"/>
                <w:i/>
                <w:sz w:val="20"/>
                <w:szCs w:val="20"/>
                <w:lang w:val="bg-BG"/>
              </w:rPr>
              <w:t xml:space="preserve">Социално-икономическо интегриране на </w:t>
            </w:r>
            <w:proofErr w:type="spellStart"/>
            <w:r w:rsidR="00587107" w:rsidRPr="00B45B4F">
              <w:rPr>
                <w:rFonts w:ascii="Verdana" w:hAnsi="Verdana"/>
                <w:i/>
                <w:sz w:val="20"/>
                <w:szCs w:val="20"/>
                <w:lang w:val="bg-BG"/>
              </w:rPr>
              <w:t>маргинализираните</w:t>
            </w:r>
            <w:proofErr w:type="spellEnd"/>
            <w:r w:rsidR="00587107" w:rsidRPr="00B45B4F">
              <w:rPr>
                <w:rFonts w:ascii="Verdana" w:hAnsi="Verdana"/>
                <w:i/>
                <w:sz w:val="20"/>
                <w:szCs w:val="20"/>
                <w:lang w:val="bg-BG"/>
              </w:rPr>
              <w:t xml:space="preserve"> общности, като например ромите. </w:t>
            </w:r>
          </w:p>
        </w:tc>
      </w:tr>
      <w:tr w:rsidR="005E1EB7" w:rsidRPr="00B45B4F" w:rsidTr="00513534">
        <w:trPr>
          <w:tblCellSpacing w:w="11" w:type="dxa"/>
        </w:trPr>
        <w:tc>
          <w:tcPr>
            <w:tcW w:w="5224" w:type="dxa"/>
            <w:shd w:val="clear" w:color="auto" w:fill="C6D9F1" w:themeFill="text2" w:themeFillTint="33"/>
          </w:tcPr>
          <w:p w:rsidR="005E1EB7" w:rsidRPr="00B45B4F" w:rsidRDefault="005E1EB7" w:rsidP="005E1EB7">
            <w:pPr>
              <w:pStyle w:val="BodyText"/>
              <w:spacing w:before="120" w:line="276" w:lineRule="auto"/>
              <w:jc w:val="both"/>
              <w:rPr>
                <w:rFonts w:ascii="Verdana" w:hAnsi="Verdana"/>
                <w:sz w:val="20"/>
                <w:szCs w:val="20"/>
              </w:rPr>
            </w:pPr>
            <w:r w:rsidRPr="00B45B4F">
              <w:rPr>
                <w:rFonts w:ascii="Verdana" w:hAnsi="Verdana"/>
                <w:sz w:val="20"/>
                <w:szCs w:val="20"/>
              </w:rPr>
              <w:t>Допълнително обучение по български език за децата и учениците, за които българският език не е майчин;</w:t>
            </w:r>
          </w:p>
        </w:tc>
        <w:tc>
          <w:tcPr>
            <w:tcW w:w="3800" w:type="dxa"/>
            <w:shd w:val="clear" w:color="auto" w:fill="C6D9F1" w:themeFill="text2" w:themeFillTint="33"/>
          </w:tcPr>
          <w:p w:rsidR="005E1EB7" w:rsidRPr="00B45B4F" w:rsidRDefault="005E1EB7" w:rsidP="005E1EB7">
            <w:pPr>
              <w:pStyle w:val="BodyText"/>
              <w:spacing w:before="120" w:line="276" w:lineRule="auto"/>
              <w:jc w:val="both"/>
              <w:rPr>
                <w:rFonts w:ascii="Verdana" w:hAnsi="Verdana"/>
                <w:sz w:val="20"/>
                <w:szCs w:val="20"/>
              </w:rPr>
            </w:pPr>
            <w:r w:rsidRPr="00B45B4F">
              <w:rPr>
                <w:rFonts w:ascii="Verdana" w:hAnsi="Verdana"/>
                <w:sz w:val="20"/>
                <w:szCs w:val="20"/>
              </w:rPr>
              <w:t>Дейността е подходяща за постигане на специфичната цел.</w:t>
            </w:r>
          </w:p>
        </w:tc>
      </w:tr>
      <w:tr w:rsidR="005E1EB7" w:rsidRPr="00B45B4F" w:rsidTr="00E65EF5">
        <w:trPr>
          <w:tblCellSpacing w:w="11" w:type="dxa"/>
        </w:trPr>
        <w:tc>
          <w:tcPr>
            <w:tcW w:w="5224" w:type="dxa"/>
            <w:shd w:val="clear" w:color="auto" w:fill="F2F2F2" w:themeFill="background1" w:themeFillShade="F2"/>
          </w:tcPr>
          <w:p w:rsidR="005E1EB7" w:rsidRPr="00B45B4F" w:rsidRDefault="005E1EB7" w:rsidP="005E1EB7">
            <w:pPr>
              <w:pStyle w:val="BodyText"/>
              <w:spacing w:before="120" w:line="276" w:lineRule="auto"/>
              <w:jc w:val="both"/>
              <w:rPr>
                <w:rFonts w:ascii="Verdana" w:hAnsi="Verdana"/>
                <w:sz w:val="20"/>
                <w:szCs w:val="20"/>
              </w:rPr>
            </w:pPr>
            <w:r w:rsidRPr="00B45B4F">
              <w:rPr>
                <w:rFonts w:ascii="Verdana" w:hAnsi="Verdana"/>
                <w:sz w:val="20"/>
                <w:szCs w:val="20"/>
              </w:rPr>
              <w:t>Повишаване на капацитета на педагогическите специалисти за работа в мултикултурна среда;</w:t>
            </w:r>
          </w:p>
        </w:tc>
        <w:tc>
          <w:tcPr>
            <w:tcW w:w="3800" w:type="dxa"/>
            <w:shd w:val="clear" w:color="auto" w:fill="F2F2F2" w:themeFill="background1" w:themeFillShade="F2"/>
          </w:tcPr>
          <w:p w:rsidR="005E1EB7" w:rsidRPr="00B45B4F" w:rsidRDefault="005E1EB7" w:rsidP="005E1EB7">
            <w:pPr>
              <w:pStyle w:val="BodyText"/>
              <w:spacing w:before="120" w:line="276" w:lineRule="auto"/>
              <w:jc w:val="both"/>
              <w:rPr>
                <w:rFonts w:ascii="Verdana" w:hAnsi="Verdana"/>
                <w:sz w:val="20"/>
                <w:szCs w:val="20"/>
              </w:rPr>
            </w:pPr>
            <w:r w:rsidRPr="00B45B4F">
              <w:rPr>
                <w:rFonts w:ascii="Verdana" w:hAnsi="Verdana"/>
                <w:sz w:val="20"/>
                <w:szCs w:val="20"/>
              </w:rPr>
              <w:t>Дейността е подходяща за специфичната цел.</w:t>
            </w:r>
          </w:p>
        </w:tc>
      </w:tr>
      <w:tr w:rsidR="005E1EB7" w:rsidRPr="00B45B4F" w:rsidTr="00FE5A49">
        <w:trPr>
          <w:tblCellSpacing w:w="11" w:type="dxa"/>
        </w:trPr>
        <w:tc>
          <w:tcPr>
            <w:tcW w:w="5224" w:type="dxa"/>
            <w:shd w:val="clear" w:color="auto" w:fill="C6D9F1" w:themeFill="text2" w:themeFillTint="33"/>
          </w:tcPr>
          <w:p w:rsidR="005E1EB7" w:rsidRPr="00B45B4F" w:rsidRDefault="005E1EB7" w:rsidP="005E1EB7">
            <w:pPr>
              <w:pStyle w:val="BodyText"/>
              <w:spacing w:before="120" w:line="276" w:lineRule="auto"/>
              <w:jc w:val="both"/>
              <w:rPr>
                <w:rFonts w:ascii="Verdana" w:hAnsi="Verdana"/>
                <w:sz w:val="20"/>
                <w:szCs w:val="20"/>
              </w:rPr>
            </w:pPr>
            <w:r w:rsidRPr="00B45B4F">
              <w:rPr>
                <w:rFonts w:ascii="Verdana" w:hAnsi="Verdana"/>
                <w:sz w:val="20"/>
                <w:szCs w:val="20"/>
              </w:rPr>
              <w:t>Осигуряване на подходяща образо</w:t>
            </w:r>
            <w:r w:rsidR="003D166E" w:rsidRPr="00B45B4F">
              <w:rPr>
                <w:rFonts w:ascii="Verdana" w:hAnsi="Verdana"/>
                <w:sz w:val="20"/>
                <w:szCs w:val="20"/>
              </w:rPr>
              <w:t xml:space="preserve">вателна среда за  включване на </w:t>
            </w:r>
            <w:r w:rsidRPr="00B45B4F">
              <w:rPr>
                <w:rFonts w:ascii="Verdana" w:hAnsi="Verdana"/>
                <w:sz w:val="20"/>
                <w:szCs w:val="20"/>
              </w:rPr>
              <w:t>децата и учениците от ромски произход от обособените по етнически признак детски градини и училища чрез поетапен прием в детски градини и училища извън ромските квартали;</w:t>
            </w:r>
          </w:p>
        </w:tc>
        <w:tc>
          <w:tcPr>
            <w:tcW w:w="3800" w:type="dxa"/>
            <w:shd w:val="clear" w:color="auto" w:fill="C6D9F1" w:themeFill="text2" w:themeFillTint="33"/>
          </w:tcPr>
          <w:p w:rsidR="005E1EB7" w:rsidRPr="00B45B4F" w:rsidRDefault="003D166E" w:rsidP="005E1EB7">
            <w:pPr>
              <w:pStyle w:val="BodyText"/>
              <w:spacing w:before="120" w:line="276" w:lineRule="auto"/>
              <w:jc w:val="both"/>
              <w:rPr>
                <w:rFonts w:ascii="Verdana" w:hAnsi="Verdana"/>
                <w:sz w:val="20"/>
                <w:szCs w:val="20"/>
              </w:rPr>
            </w:pPr>
            <w:r w:rsidRPr="00B45B4F">
              <w:rPr>
                <w:rFonts w:ascii="Verdana" w:hAnsi="Verdana"/>
                <w:sz w:val="20"/>
                <w:szCs w:val="20"/>
              </w:rPr>
              <w:t>Дейността е подходяща за специфичната цел.</w:t>
            </w:r>
          </w:p>
        </w:tc>
      </w:tr>
      <w:tr w:rsidR="005E1EB7" w:rsidRPr="00B45B4F" w:rsidTr="00FE5A49">
        <w:trPr>
          <w:tblCellSpacing w:w="11" w:type="dxa"/>
        </w:trPr>
        <w:tc>
          <w:tcPr>
            <w:tcW w:w="5224" w:type="dxa"/>
            <w:shd w:val="clear" w:color="auto" w:fill="auto"/>
          </w:tcPr>
          <w:p w:rsidR="005E1EB7" w:rsidRPr="00B45B4F" w:rsidRDefault="005E1EB7" w:rsidP="005E1EB7">
            <w:pPr>
              <w:pStyle w:val="BodyText"/>
              <w:spacing w:before="120" w:line="276" w:lineRule="auto"/>
              <w:jc w:val="both"/>
              <w:rPr>
                <w:rFonts w:ascii="Verdana" w:hAnsi="Verdana"/>
                <w:sz w:val="20"/>
                <w:szCs w:val="20"/>
              </w:rPr>
            </w:pPr>
            <w:r w:rsidRPr="00B45B4F">
              <w:rPr>
                <w:rFonts w:ascii="Verdana" w:hAnsi="Verdana"/>
                <w:sz w:val="20"/>
                <w:szCs w:val="20"/>
              </w:rPr>
              <w:t>Подкрепа на процеса на образователната интеграция и на социалното включване чрез оптимизация на мрежата от детски градини и училища;</w:t>
            </w:r>
          </w:p>
        </w:tc>
        <w:tc>
          <w:tcPr>
            <w:tcW w:w="3800" w:type="dxa"/>
            <w:shd w:val="clear" w:color="auto" w:fill="auto"/>
          </w:tcPr>
          <w:p w:rsidR="005E1EB7" w:rsidRPr="00B45B4F" w:rsidRDefault="003D166E" w:rsidP="005E1EB7">
            <w:pPr>
              <w:pStyle w:val="BodyText"/>
              <w:spacing w:before="120" w:line="276" w:lineRule="auto"/>
              <w:jc w:val="both"/>
              <w:rPr>
                <w:rFonts w:ascii="Verdana" w:hAnsi="Verdana"/>
                <w:sz w:val="20"/>
                <w:szCs w:val="20"/>
              </w:rPr>
            </w:pPr>
            <w:r w:rsidRPr="00B45B4F">
              <w:rPr>
                <w:rFonts w:ascii="Verdana" w:hAnsi="Verdana"/>
                <w:sz w:val="20"/>
                <w:szCs w:val="20"/>
              </w:rPr>
              <w:t>Дейността е неясна.</w:t>
            </w:r>
          </w:p>
        </w:tc>
      </w:tr>
      <w:tr w:rsidR="005E1EB7" w:rsidRPr="00B45B4F" w:rsidTr="00FE5A49">
        <w:trPr>
          <w:tblCellSpacing w:w="11" w:type="dxa"/>
        </w:trPr>
        <w:tc>
          <w:tcPr>
            <w:tcW w:w="5224" w:type="dxa"/>
            <w:shd w:val="clear" w:color="auto" w:fill="C6D9F1" w:themeFill="text2" w:themeFillTint="33"/>
          </w:tcPr>
          <w:p w:rsidR="005E1EB7" w:rsidRPr="00B45B4F" w:rsidRDefault="005E1EB7" w:rsidP="005E1EB7">
            <w:pPr>
              <w:pStyle w:val="BodyText"/>
              <w:spacing w:before="120" w:line="276" w:lineRule="auto"/>
              <w:jc w:val="both"/>
              <w:rPr>
                <w:rFonts w:ascii="Verdana" w:hAnsi="Verdana"/>
                <w:sz w:val="20"/>
                <w:szCs w:val="20"/>
              </w:rPr>
            </w:pPr>
            <w:r w:rsidRPr="00B45B4F">
              <w:rPr>
                <w:rFonts w:ascii="Verdana" w:hAnsi="Verdana"/>
                <w:sz w:val="20"/>
                <w:szCs w:val="20"/>
              </w:rPr>
              <w:t>Подкрепа за ромски семейства за обучение на децата им в детски градини от 3-годишна възраст с оглед ранната им социализация;</w:t>
            </w:r>
          </w:p>
        </w:tc>
        <w:tc>
          <w:tcPr>
            <w:tcW w:w="3800" w:type="dxa"/>
            <w:shd w:val="clear" w:color="auto" w:fill="C6D9F1" w:themeFill="text2" w:themeFillTint="33"/>
          </w:tcPr>
          <w:p w:rsidR="005E1EB7" w:rsidRPr="00B45B4F" w:rsidRDefault="003D166E" w:rsidP="00290FC0">
            <w:pPr>
              <w:pStyle w:val="BodyText"/>
              <w:spacing w:before="120" w:line="276" w:lineRule="auto"/>
              <w:jc w:val="both"/>
              <w:rPr>
                <w:rFonts w:ascii="Verdana" w:hAnsi="Verdana"/>
                <w:sz w:val="20"/>
                <w:szCs w:val="20"/>
              </w:rPr>
            </w:pPr>
            <w:r w:rsidRPr="00B45B4F">
              <w:rPr>
                <w:rFonts w:ascii="Verdana" w:hAnsi="Verdana"/>
                <w:sz w:val="20"/>
                <w:szCs w:val="20"/>
              </w:rPr>
              <w:t xml:space="preserve">Дейността е подходяща, но </w:t>
            </w:r>
            <w:r w:rsidR="00290FC0" w:rsidRPr="00B45B4F">
              <w:rPr>
                <w:rFonts w:ascii="Verdana" w:hAnsi="Verdana"/>
                <w:sz w:val="20"/>
                <w:szCs w:val="20"/>
              </w:rPr>
              <w:t>не е ясно</w:t>
            </w:r>
            <w:r w:rsidRPr="00B45B4F">
              <w:rPr>
                <w:rFonts w:ascii="Verdana" w:hAnsi="Verdana"/>
                <w:sz w:val="20"/>
                <w:szCs w:val="20"/>
              </w:rPr>
              <w:t xml:space="preserve"> в какво точно ще се изразява подкрепата. Необходимо е и по-добро застъпване на проблематиката в обосновката на специфичната цел, както и позоваване на интегрираните мерки с ОПРЧР.</w:t>
            </w:r>
          </w:p>
        </w:tc>
      </w:tr>
      <w:tr w:rsidR="000362F7" w:rsidRPr="00B45B4F" w:rsidTr="00FE5A49">
        <w:trPr>
          <w:tblCellSpacing w:w="11" w:type="dxa"/>
        </w:trPr>
        <w:tc>
          <w:tcPr>
            <w:tcW w:w="5224" w:type="dxa"/>
            <w:shd w:val="clear" w:color="auto" w:fill="auto"/>
          </w:tcPr>
          <w:p w:rsidR="000362F7" w:rsidRPr="00B45B4F" w:rsidRDefault="000362F7" w:rsidP="000362F7">
            <w:pPr>
              <w:pStyle w:val="BodyText"/>
              <w:spacing w:before="120" w:line="276" w:lineRule="auto"/>
              <w:jc w:val="both"/>
              <w:rPr>
                <w:rFonts w:ascii="Verdana" w:hAnsi="Verdana"/>
                <w:sz w:val="20"/>
                <w:szCs w:val="20"/>
              </w:rPr>
            </w:pPr>
            <w:r w:rsidRPr="00B45B4F">
              <w:rPr>
                <w:rFonts w:ascii="Verdana" w:hAnsi="Verdana"/>
                <w:sz w:val="20"/>
                <w:szCs w:val="20"/>
              </w:rPr>
              <w:t>Подкрепа за продължаване на образованието в гимназиалния етап на средното образование и във висши училища;</w:t>
            </w:r>
          </w:p>
        </w:tc>
        <w:tc>
          <w:tcPr>
            <w:tcW w:w="3800" w:type="dxa"/>
            <w:shd w:val="clear" w:color="auto" w:fill="auto"/>
          </w:tcPr>
          <w:p w:rsidR="000362F7" w:rsidRPr="00B45B4F" w:rsidRDefault="000362F7" w:rsidP="000362F7">
            <w:pPr>
              <w:pStyle w:val="BodyText"/>
              <w:spacing w:before="120" w:line="276" w:lineRule="auto"/>
              <w:jc w:val="both"/>
              <w:rPr>
                <w:rFonts w:ascii="Verdana" w:hAnsi="Verdana"/>
                <w:sz w:val="20"/>
                <w:szCs w:val="20"/>
              </w:rPr>
            </w:pPr>
            <w:r w:rsidRPr="00B45B4F">
              <w:rPr>
                <w:rFonts w:ascii="Verdana" w:hAnsi="Verdana"/>
                <w:sz w:val="20"/>
                <w:szCs w:val="20"/>
              </w:rPr>
              <w:t>Дейността е подходяща за специфичната цел.</w:t>
            </w:r>
          </w:p>
        </w:tc>
      </w:tr>
      <w:tr w:rsidR="000362F7" w:rsidRPr="00B45B4F" w:rsidTr="00FE5A49">
        <w:trPr>
          <w:tblCellSpacing w:w="11" w:type="dxa"/>
        </w:trPr>
        <w:tc>
          <w:tcPr>
            <w:tcW w:w="5224" w:type="dxa"/>
            <w:shd w:val="clear" w:color="auto" w:fill="C6D9F1" w:themeFill="text2" w:themeFillTint="33"/>
          </w:tcPr>
          <w:p w:rsidR="000362F7" w:rsidRPr="00B45B4F" w:rsidRDefault="000362F7" w:rsidP="000362F7">
            <w:pPr>
              <w:pStyle w:val="BodyText"/>
              <w:spacing w:before="120" w:line="276" w:lineRule="auto"/>
              <w:jc w:val="both"/>
              <w:rPr>
                <w:rFonts w:ascii="Verdana" w:hAnsi="Verdana"/>
                <w:sz w:val="20"/>
                <w:szCs w:val="20"/>
              </w:rPr>
            </w:pPr>
            <w:r w:rsidRPr="00B45B4F">
              <w:rPr>
                <w:rFonts w:ascii="Verdana" w:hAnsi="Verdana"/>
                <w:sz w:val="20"/>
                <w:szCs w:val="20"/>
              </w:rPr>
              <w:t>Подкрепа за изграждане и съхраняване на културна идентичност на децата и учениците от етническите малцинства, включително и чрез създаване на условия за изучаване на майчин език;</w:t>
            </w:r>
          </w:p>
        </w:tc>
        <w:tc>
          <w:tcPr>
            <w:tcW w:w="3800" w:type="dxa"/>
            <w:shd w:val="clear" w:color="auto" w:fill="C6D9F1" w:themeFill="text2" w:themeFillTint="33"/>
          </w:tcPr>
          <w:p w:rsidR="000362F7" w:rsidRPr="00B45B4F" w:rsidRDefault="000362F7" w:rsidP="000362F7">
            <w:pPr>
              <w:pStyle w:val="BodyText"/>
              <w:spacing w:before="120" w:line="276" w:lineRule="auto"/>
              <w:jc w:val="both"/>
              <w:rPr>
                <w:rFonts w:ascii="Verdana" w:hAnsi="Verdana"/>
                <w:sz w:val="20"/>
                <w:szCs w:val="20"/>
              </w:rPr>
            </w:pPr>
            <w:r w:rsidRPr="00B45B4F">
              <w:rPr>
                <w:rFonts w:ascii="Verdana" w:hAnsi="Verdana"/>
                <w:sz w:val="20"/>
                <w:szCs w:val="20"/>
              </w:rPr>
              <w:t>Дейността е подходяща за специфичната цел.</w:t>
            </w:r>
          </w:p>
        </w:tc>
      </w:tr>
      <w:tr w:rsidR="005E1EB7" w:rsidRPr="00B45B4F" w:rsidTr="00FE5A49">
        <w:trPr>
          <w:tblCellSpacing w:w="11" w:type="dxa"/>
        </w:trPr>
        <w:tc>
          <w:tcPr>
            <w:tcW w:w="5224" w:type="dxa"/>
            <w:shd w:val="clear" w:color="auto" w:fill="auto"/>
          </w:tcPr>
          <w:p w:rsidR="005E1EB7" w:rsidRPr="00B45B4F" w:rsidRDefault="005E1EB7" w:rsidP="005E1EB7">
            <w:pPr>
              <w:pStyle w:val="BodyText"/>
              <w:spacing w:before="120" w:line="276" w:lineRule="auto"/>
              <w:jc w:val="both"/>
              <w:rPr>
                <w:rFonts w:ascii="Verdana" w:hAnsi="Verdana"/>
                <w:sz w:val="20"/>
                <w:szCs w:val="20"/>
              </w:rPr>
            </w:pPr>
            <w:r w:rsidRPr="00B45B4F">
              <w:rPr>
                <w:rFonts w:ascii="Verdana" w:hAnsi="Verdana"/>
                <w:sz w:val="20"/>
                <w:szCs w:val="20"/>
              </w:rPr>
              <w:t>Осигуряване на условия и ресурси за обхващане на децата учениците от етническите малцинства в целодневна организация на учебния ден;</w:t>
            </w:r>
          </w:p>
        </w:tc>
        <w:tc>
          <w:tcPr>
            <w:tcW w:w="3800" w:type="dxa"/>
            <w:shd w:val="clear" w:color="auto" w:fill="auto"/>
          </w:tcPr>
          <w:p w:rsidR="005E1EB7" w:rsidRPr="00B45B4F" w:rsidRDefault="003D166E" w:rsidP="003D166E">
            <w:pPr>
              <w:pStyle w:val="BodyText"/>
              <w:spacing w:before="120" w:line="276" w:lineRule="auto"/>
              <w:jc w:val="both"/>
              <w:rPr>
                <w:rFonts w:ascii="Verdana" w:hAnsi="Verdana"/>
                <w:sz w:val="20"/>
                <w:szCs w:val="20"/>
              </w:rPr>
            </w:pPr>
            <w:r w:rsidRPr="00B45B4F">
              <w:rPr>
                <w:rFonts w:ascii="Verdana" w:hAnsi="Verdana"/>
                <w:sz w:val="20"/>
                <w:szCs w:val="20"/>
              </w:rPr>
              <w:t xml:space="preserve">Дейността не е ясна. След като говорим за </w:t>
            </w:r>
            <w:proofErr w:type="spellStart"/>
            <w:r w:rsidRPr="00B45B4F">
              <w:rPr>
                <w:rFonts w:ascii="Verdana" w:hAnsi="Verdana"/>
                <w:sz w:val="20"/>
                <w:szCs w:val="20"/>
              </w:rPr>
              <w:t>десегрегация</w:t>
            </w:r>
            <w:proofErr w:type="spellEnd"/>
            <w:r w:rsidRPr="00B45B4F">
              <w:rPr>
                <w:rFonts w:ascii="Verdana" w:hAnsi="Verdana"/>
                <w:sz w:val="20"/>
                <w:szCs w:val="20"/>
              </w:rPr>
              <w:t xml:space="preserve"> и след като е осигурена целодневна организация на училищния процес за останалите ученици </w:t>
            </w:r>
            <w:r w:rsidR="00513534" w:rsidRPr="00B45B4F">
              <w:rPr>
                <w:rFonts w:ascii="Verdana" w:hAnsi="Verdana"/>
                <w:sz w:val="20"/>
                <w:szCs w:val="20"/>
              </w:rPr>
              <w:t xml:space="preserve">от </w:t>
            </w:r>
            <w:r w:rsidRPr="00B45B4F">
              <w:rPr>
                <w:rFonts w:ascii="Verdana" w:hAnsi="Verdana"/>
                <w:sz w:val="20"/>
                <w:szCs w:val="20"/>
              </w:rPr>
              <w:lastRenderedPageBreak/>
              <w:t>1 до 4 клас, не е ясно защо е необходима специфична дейност за децата от етническите малцинства.</w:t>
            </w:r>
          </w:p>
        </w:tc>
      </w:tr>
      <w:tr w:rsidR="005E1EB7" w:rsidRPr="00B45B4F" w:rsidTr="00FE5A49">
        <w:trPr>
          <w:tblCellSpacing w:w="11" w:type="dxa"/>
        </w:trPr>
        <w:tc>
          <w:tcPr>
            <w:tcW w:w="5224" w:type="dxa"/>
            <w:shd w:val="clear" w:color="auto" w:fill="C6D9F1" w:themeFill="text2" w:themeFillTint="33"/>
          </w:tcPr>
          <w:p w:rsidR="005E1EB7" w:rsidRPr="00B45B4F" w:rsidRDefault="0005690D" w:rsidP="0005690D">
            <w:pPr>
              <w:pStyle w:val="BodyText"/>
              <w:spacing w:before="120" w:line="276" w:lineRule="auto"/>
              <w:jc w:val="both"/>
              <w:rPr>
                <w:rFonts w:ascii="Verdana" w:hAnsi="Verdana"/>
                <w:sz w:val="20"/>
                <w:szCs w:val="20"/>
              </w:rPr>
            </w:pPr>
            <w:r w:rsidRPr="00B45B4F">
              <w:rPr>
                <w:rFonts w:ascii="Verdana" w:hAnsi="Verdana"/>
                <w:sz w:val="20"/>
                <w:szCs w:val="20"/>
              </w:rPr>
              <w:lastRenderedPageBreak/>
              <w:t>Утвърждаване на интеркултурно</w:t>
            </w:r>
            <w:r w:rsidR="005E1EB7" w:rsidRPr="00B45B4F">
              <w:rPr>
                <w:rFonts w:ascii="Verdana" w:hAnsi="Verdana"/>
                <w:sz w:val="20"/>
                <w:szCs w:val="20"/>
              </w:rPr>
              <w:t>т</w:t>
            </w:r>
            <w:r w:rsidRPr="00B45B4F">
              <w:rPr>
                <w:rFonts w:ascii="Verdana" w:hAnsi="Verdana"/>
                <w:sz w:val="20"/>
                <w:szCs w:val="20"/>
              </w:rPr>
              <w:t>о</w:t>
            </w:r>
            <w:r w:rsidR="005E1EB7" w:rsidRPr="00B45B4F">
              <w:rPr>
                <w:rFonts w:ascii="Verdana" w:hAnsi="Verdana"/>
                <w:sz w:val="20"/>
                <w:szCs w:val="20"/>
              </w:rPr>
              <w:t xml:space="preserve"> образование като неотменна част от процеса на модернизация на българската образователна система;</w:t>
            </w:r>
          </w:p>
        </w:tc>
        <w:tc>
          <w:tcPr>
            <w:tcW w:w="3800" w:type="dxa"/>
            <w:shd w:val="clear" w:color="auto" w:fill="C6D9F1" w:themeFill="text2" w:themeFillTint="33"/>
          </w:tcPr>
          <w:p w:rsidR="005E1EB7" w:rsidRPr="00B45B4F" w:rsidRDefault="003D166E" w:rsidP="005E1EB7">
            <w:pPr>
              <w:pStyle w:val="BodyText"/>
              <w:spacing w:before="120" w:line="276" w:lineRule="auto"/>
              <w:jc w:val="both"/>
              <w:rPr>
                <w:rFonts w:ascii="Verdana" w:hAnsi="Verdana"/>
                <w:sz w:val="20"/>
                <w:szCs w:val="20"/>
              </w:rPr>
            </w:pPr>
            <w:r w:rsidRPr="00B45B4F">
              <w:rPr>
                <w:rFonts w:ascii="Verdana" w:hAnsi="Verdana"/>
                <w:sz w:val="20"/>
                <w:szCs w:val="20"/>
              </w:rPr>
              <w:t xml:space="preserve">Дейността е </w:t>
            </w:r>
            <w:r w:rsidR="0005690D" w:rsidRPr="00B45B4F">
              <w:rPr>
                <w:rFonts w:ascii="Verdana" w:hAnsi="Verdana"/>
                <w:sz w:val="20"/>
                <w:szCs w:val="20"/>
              </w:rPr>
              <w:t xml:space="preserve">твърде обща и </w:t>
            </w:r>
            <w:r w:rsidRPr="00B45B4F">
              <w:rPr>
                <w:rFonts w:ascii="Verdana" w:hAnsi="Verdana"/>
                <w:sz w:val="20"/>
                <w:szCs w:val="20"/>
              </w:rPr>
              <w:t>неясна.</w:t>
            </w:r>
          </w:p>
        </w:tc>
      </w:tr>
      <w:tr w:rsidR="005E1EB7" w:rsidRPr="00B45B4F" w:rsidTr="00FE5A49">
        <w:trPr>
          <w:tblCellSpacing w:w="11" w:type="dxa"/>
        </w:trPr>
        <w:tc>
          <w:tcPr>
            <w:tcW w:w="5224" w:type="dxa"/>
            <w:shd w:val="clear" w:color="auto" w:fill="auto"/>
          </w:tcPr>
          <w:p w:rsidR="005E1EB7" w:rsidRPr="00B45B4F" w:rsidRDefault="005E1EB7" w:rsidP="005E1EB7">
            <w:pPr>
              <w:pStyle w:val="BodyText"/>
              <w:spacing w:before="120" w:line="276" w:lineRule="auto"/>
              <w:jc w:val="both"/>
              <w:rPr>
                <w:rFonts w:ascii="Verdana" w:hAnsi="Verdana"/>
                <w:sz w:val="20"/>
                <w:szCs w:val="20"/>
              </w:rPr>
            </w:pPr>
            <w:r w:rsidRPr="00B45B4F">
              <w:rPr>
                <w:rFonts w:ascii="Verdana" w:hAnsi="Verdana"/>
                <w:sz w:val="20"/>
                <w:szCs w:val="20"/>
              </w:rPr>
              <w:t>Насърчаване участието на родителите в образователния процес;</w:t>
            </w:r>
          </w:p>
        </w:tc>
        <w:tc>
          <w:tcPr>
            <w:tcW w:w="3800" w:type="dxa"/>
            <w:shd w:val="clear" w:color="auto" w:fill="auto"/>
          </w:tcPr>
          <w:p w:rsidR="005E1EB7" w:rsidRPr="00B45B4F" w:rsidRDefault="003D166E" w:rsidP="00513534">
            <w:pPr>
              <w:pStyle w:val="BodyText"/>
              <w:spacing w:before="120" w:line="276" w:lineRule="auto"/>
              <w:jc w:val="both"/>
              <w:rPr>
                <w:rFonts w:ascii="Verdana" w:hAnsi="Verdana"/>
                <w:sz w:val="20"/>
                <w:szCs w:val="20"/>
              </w:rPr>
            </w:pPr>
            <w:r w:rsidRPr="00B45B4F">
              <w:rPr>
                <w:rFonts w:ascii="Verdana" w:hAnsi="Verdana"/>
                <w:sz w:val="20"/>
                <w:szCs w:val="20"/>
              </w:rPr>
              <w:t xml:space="preserve">Подобна дейност е предвидена в ИП1 на ПО2. В този аспект не е ясно защо е заложена специфична такава дейност за родители на деца от малцинствата, след като ИП1 също ги включва, освен ако не </w:t>
            </w:r>
            <w:r w:rsidR="00513534" w:rsidRPr="00B45B4F">
              <w:rPr>
                <w:rFonts w:ascii="Verdana" w:hAnsi="Verdana"/>
                <w:sz w:val="20"/>
                <w:szCs w:val="20"/>
              </w:rPr>
              <w:t>става въпрос</w:t>
            </w:r>
            <w:r w:rsidRPr="00B45B4F">
              <w:rPr>
                <w:rFonts w:ascii="Verdana" w:hAnsi="Verdana"/>
                <w:sz w:val="20"/>
                <w:szCs w:val="20"/>
              </w:rPr>
              <w:t xml:space="preserve"> за по-специфична подкрепа и интегрирани проекти съвместно с ОПРЧР.</w:t>
            </w:r>
          </w:p>
        </w:tc>
      </w:tr>
      <w:tr w:rsidR="005E1EB7" w:rsidRPr="00B45B4F" w:rsidTr="00FE5A49">
        <w:trPr>
          <w:tblCellSpacing w:w="11" w:type="dxa"/>
        </w:trPr>
        <w:tc>
          <w:tcPr>
            <w:tcW w:w="5224" w:type="dxa"/>
            <w:shd w:val="clear" w:color="auto" w:fill="C6D9F1" w:themeFill="text2" w:themeFillTint="33"/>
          </w:tcPr>
          <w:p w:rsidR="005E1EB7" w:rsidRPr="00B45B4F" w:rsidRDefault="005E1EB7" w:rsidP="005E1EB7">
            <w:pPr>
              <w:pStyle w:val="BodyText"/>
              <w:spacing w:before="120" w:line="276" w:lineRule="auto"/>
              <w:jc w:val="both"/>
              <w:rPr>
                <w:rFonts w:ascii="Verdana" w:hAnsi="Verdana"/>
                <w:sz w:val="20"/>
                <w:szCs w:val="20"/>
              </w:rPr>
            </w:pPr>
            <w:r w:rsidRPr="00B45B4F">
              <w:rPr>
                <w:rFonts w:ascii="Verdana" w:hAnsi="Verdana"/>
                <w:sz w:val="20"/>
                <w:szCs w:val="20"/>
              </w:rPr>
              <w:t>Преодоляване на негативни обществени нагласи, основани на етнически произход и културна идентичност.</w:t>
            </w:r>
          </w:p>
        </w:tc>
        <w:tc>
          <w:tcPr>
            <w:tcW w:w="3800" w:type="dxa"/>
            <w:shd w:val="clear" w:color="auto" w:fill="C6D9F1" w:themeFill="text2" w:themeFillTint="33"/>
          </w:tcPr>
          <w:p w:rsidR="005E1EB7" w:rsidRPr="00B45B4F" w:rsidRDefault="005804DE" w:rsidP="005E1EB7">
            <w:pPr>
              <w:pStyle w:val="BodyText"/>
              <w:spacing w:before="120" w:line="276" w:lineRule="auto"/>
              <w:jc w:val="both"/>
              <w:rPr>
                <w:rFonts w:ascii="Verdana" w:hAnsi="Verdana"/>
                <w:sz w:val="20"/>
                <w:szCs w:val="20"/>
              </w:rPr>
            </w:pPr>
            <w:r w:rsidRPr="00B45B4F">
              <w:rPr>
                <w:rFonts w:ascii="Verdana" w:hAnsi="Verdana"/>
                <w:sz w:val="20"/>
                <w:szCs w:val="20"/>
              </w:rPr>
              <w:t>Дейността е подходяща, но не е застъпена в обосновката на специфичната цел.</w:t>
            </w:r>
          </w:p>
        </w:tc>
      </w:tr>
    </w:tbl>
    <w:p w:rsidR="00057F10" w:rsidRPr="00B45B4F" w:rsidRDefault="00057F10" w:rsidP="00FA776A">
      <w:pPr>
        <w:keepNext/>
        <w:pBdr>
          <w:bottom w:val="single" w:sz="4" w:space="1" w:color="0070C0"/>
        </w:pBdr>
        <w:spacing w:before="360" w:after="120"/>
        <w:jc w:val="both"/>
        <w:rPr>
          <w:rFonts w:ascii="Verdana" w:hAnsi="Verdana"/>
          <w:color w:val="0070C0"/>
          <w:sz w:val="20"/>
          <w:szCs w:val="20"/>
          <w:lang w:val="bg-BG" w:eastAsia="cs-CZ"/>
        </w:rPr>
      </w:pPr>
      <w:r w:rsidRPr="00B45B4F">
        <w:rPr>
          <w:rFonts w:ascii="Verdana" w:hAnsi="Verdana"/>
          <w:color w:val="0070C0"/>
          <w:sz w:val="20"/>
          <w:szCs w:val="20"/>
          <w:lang w:val="bg-BG" w:eastAsia="cs-CZ"/>
        </w:rPr>
        <w:t>ПО4. Техническа помощ</w:t>
      </w:r>
    </w:p>
    <w:p w:rsidR="00057F10" w:rsidRPr="00B45B4F" w:rsidRDefault="00057F10" w:rsidP="00057F10">
      <w:pPr>
        <w:pStyle w:val="BodyText"/>
        <w:keepNext/>
        <w:tabs>
          <w:tab w:val="left" w:pos="0"/>
          <w:tab w:val="right" w:pos="9214"/>
        </w:tabs>
        <w:spacing w:before="240" w:line="276" w:lineRule="auto"/>
        <w:jc w:val="both"/>
        <w:rPr>
          <w:rFonts w:ascii="Verdana" w:hAnsi="Verdana"/>
          <w:sz w:val="20"/>
          <w:szCs w:val="20"/>
        </w:rPr>
      </w:pPr>
      <w:bookmarkStart w:id="90" w:name="_Toc395612580"/>
      <w:r w:rsidRPr="00B45B4F">
        <w:rPr>
          <w:rFonts w:ascii="Verdana" w:hAnsi="Verdana"/>
          <w:b/>
          <w:color w:val="548DD4" w:themeColor="text2" w:themeTint="99"/>
          <w:sz w:val="20"/>
          <w:szCs w:val="20"/>
        </w:rPr>
        <w:t xml:space="preserve">Таблица </w:t>
      </w:r>
      <w:r w:rsidR="00BF1936" w:rsidRPr="00B45B4F">
        <w:rPr>
          <w:rFonts w:ascii="Verdana" w:hAnsi="Verdana"/>
          <w:b/>
          <w:color w:val="548DD4" w:themeColor="text2" w:themeTint="99"/>
          <w:sz w:val="20"/>
          <w:szCs w:val="20"/>
        </w:rPr>
        <w:fldChar w:fldCharType="begin"/>
      </w:r>
      <w:r w:rsidRPr="00B45B4F">
        <w:rPr>
          <w:rFonts w:ascii="Verdana" w:hAnsi="Verdana"/>
          <w:b/>
          <w:color w:val="548DD4" w:themeColor="text2" w:themeTint="99"/>
          <w:sz w:val="20"/>
          <w:szCs w:val="20"/>
        </w:rPr>
        <w:instrText xml:space="preserve"> SEQ таблица \* ARABIC </w:instrText>
      </w:r>
      <w:r w:rsidR="00BF1936" w:rsidRPr="00B45B4F">
        <w:rPr>
          <w:rFonts w:ascii="Verdana" w:hAnsi="Verdana"/>
          <w:b/>
          <w:color w:val="548DD4" w:themeColor="text2" w:themeTint="99"/>
          <w:sz w:val="20"/>
          <w:szCs w:val="20"/>
        </w:rPr>
        <w:fldChar w:fldCharType="separate"/>
      </w:r>
      <w:r w:rsidR="001361E0">
        <w:rPr>
          <w:rFonts w:ascii="Verdana" w:hAnsi="Verdana"/>
          <w:b/>
          <w:noProof/>
          <w:color w:val="548DD4" w:themeColor="text2" w:themeTint="99"/>
          <w:sz w:val="20"/>
          <w:szCs w:val="20"/>
        </w:rPr>
        <w:t>24</w:t>
      </w:r>
      <w:r w:rsidR="00BF1936" w:rsidRPr="00B45B4F">
        <w:rPr>
          <w:rFonts w:ascii="Verdana" w:hAnsi="Verdana"/>
          <w:b/>
          <w:color w:val="548DD4" w:themeColor="text2" w:themeTint="99"/>
          <w:sz w:val="20"/>
          <w:szCs w:val="20"/>
        </w:rPr>
        <w:fldChar w:fldCharType="end"/>
      </w:r>
      <w:r w:rsidRPr="00B45B4F">
        <w:rPr>
          <w:rFonts w:ascii="Verdana" w:hAnsi="Verdana"/>
          <w:b/>
          <w:color w:val="548DD4" w:themeColor="text2" w:themeTint="99"/>
          <w:sz w:val="20"/>
          <w:szCs w:val="20"/>
        </w:rPr>
        <w:t>. ПО4 – Анализ на дейностите</w:t>
      </w:r>
      <w:bookmarkEnd w:id="90"/>
    </w:p>
    <w:tbl>
      <w:tblPr>
        <w:tblW w:w="0" w:type="auto"/>
        <w:tblCellSpacing w:w="11" w:type="dxa"/>
        <w:tblInd w:w="130" w:type="dxa"/>
        <w:tblLook w:val="04A0" w:firstRow="1" w:lastRow="0" w:firstColumn="1" w:lastColumn="0" w:noHBand="0" w:noVBand="1"/>
      </w:tblPr>
      <w:tblGrid>
        <w:gridCol w:w="5130"/>
        <w:gridCol w:w="127"/>
        <w:gridCol w:w="3833"/>
      </w:tblGrid>
      <w:tr w:rsidR="00057F10" w:rsidRPr="00B45B4F" w:rsidTr="00E65EF5">
        <w:trPr>
          <w:tblCellSpacing w:w="11" w:type="dxa"/>
        </w:trPr>
        <w:tc>
          <w:tcPr>
            <w:tcW w:w="5224" w:type="dxa"/>
            <w:gridSpan w:val="2"/>
            <w:shd w:val="clear" w:color="auto" w:fill="548DD4" w:themeFill="text2" w:themeFillTint="99"/>
          </w:tcPr>
          <w:p w:rsidR="00057F10" w:rsidRPr="00B45B4F" w:rsidRDefault="00057F10" w:rsidP="0076200A">
            <w:pPr>
              <w:pStyle w:val="BodyText"/>
              <w:spacing w:before="120" w:line="276" w:lineRule="auto"/>
              <w:jc w:val="center"/>
              <w:rPr>
                <w:rFonts w:ascii="Verdana" w:hAnsi="Verdana"/>
                <w:b/>
                <w:color w:val="FFFFFF"/>
                <w:sz w:val="20"/>
                <w:szCs w:val="20"/>
              </w:rPr>
            </w:pPr>
            <w:r w:rsidRPr="00B45B4F">
              <w:rPr>
                <w:rFonts w:ascii="Verdana" w:hAnsi="Verdana"/>
                <w:b/>
                <w:color w:val="FFFFFF"/>
                <w:sz w:val="20"/>
                <w:szCs w:val="20"/>
              </w:rPr>
              <w:t>Предвидени мерки/дейности</w:t>
            </w:r>
          </w:p>
        </w:tc>
        <w:tc>
          <w:tcPr>
            <w:tcW w:w="3800" w:type="dxa"/>
            <w:shd w:val="clear" w:color="auto" w:fill="548DD4" w:themeFill="text2" w:themeFillTint="99"/>
          </w:tcPr>
          <w:p w:rsidR="00057F10" w:rsidRPr="00B45B4F" w:rsidRDefault="00057F10" w:rsidP="0076200A">
            <w:pPr>
              <w:pStyle w:val="BodyText"/>
              <w:spacing w:before="120" w:line="276" w:lineRule="auto"/>
              <w:jc w:val="center"/>
              <w:rPr>
                <w:rFonts w:ascii="Verdana" w:hAnsi="Verdana"/>
                <w:b/>
                <w:color w:val="FFFFFF"/>
                <w:sz w:val="20"/>
                <w:szCs w:val="20"/>
              </w:rPr>
            </w:pPr>
            <w:r w:rsidRPr="00B45B4F">
              <w:rPr>
                <w:rFonts w:ascii="Verdana" w:hAnsi="Verdana"/>
                <w:b/>
                <w:color w:val="FFFFFF"/>
                <w:sz w:val="20"/>
                <w:szCs w:val="20"/>
              </w:rPr>
              <w:t xml:space="preserve">Адекватност </w:t>
            </w:r>
          </w:p>
        </w:tc>
      </w:tr>
      <w:tr w:rsidR="00057F10" w:rsidRPr="00B45B4F" w:rsidTr="00513534">
        <w:trPr>
          <w:tblCellSpacing w:w="11" w:type="dxa"/>
        </w:trPr>
        <w:tc>
          <w:tcPr>
            <w:tcW w:w="9046" w:type="dxa"/>
            <w:gridSpan w:val="3"/>
            <w:shd w:val="clear" w:color="auto" w:fill="FBD4B4" w:themeFill="accent6" w:themeFillTint="66"/>
          </w:tcPr>
          <w:p w:rsidR="00057F10" w:rsidRPr="00B45B4F" w:rsidRDefault="00057F10" w:rsidP="0076200A">
            <w:pPr>
              <w:spacing w:before="120"/>
              <w:rPr>
                <w:rFonts w:ascii="Verdana" w:hAnsi="Verdana"/>
                <w:sz w:val="20"/>
                <w:szCs w:val="20"/>
                <w:lang w:val="bg-BG"/>
              </w:rPr>
            </w:pPr>
            <w:r w:rsidRPr="00B45B4F">
              <w:rPr>
                <w:rFonts w:ascii="Verdana" w:hAnsi="Verdana"/>
                <w:b/>
                <w:sz w:val="20"/>
                <w:szCs w:val="20"/>
                <w:lang w:val="bg-BG"/>
              </w:rPr>
              <w:t xml:space="preserve">Инвестиционен приоритет 1: </w:t>
            </w:r>
            <w:r w:rsidR="00A65447" w:rsidRPr="00B45B4F">
              <w:rPr>
                <w:rFonts w:ascii="Verdana" w:hAnsi="Verdana"/>
                <w:i/>
                <w:sz w:val="20"/>
                <w:szCs w:val="20"/>
                <w:lang w:val="bg-BG"/>
              </w:rPr>
              <w:t>Укрепване и повишаване на административния капацитет на управляващия орган и бенефициентите по Оперативната програма</w:t>
            </w:r>
          </w:p>
        </w:tc>
      </w:tr>
      <w:tr w:rsidR="00A65447" w:rsidRPr="00B45B4F" w:rsidTr="002E567A">
        <w:trPr>
          <w:tblCellSpacing w:w="11" w:type="dxa"/>
        </w:trPr>
        <w:tc>
          <w:tcPr>
            <w:tcW w:w="5097" w:type="dxa"/>
            <w:shd w:val="clear" w:color="auto" w:fill="C6D9F1" w:themeFill="text2" w:themeFillTint="33"/>
          </w:tcPr>
          <w:p w:rsidR="00A65447" w:rsidRPr="00B45B4F" w:rsidRDefault="00A65447" w:rsidP="00A65447">
            <w:pPr>
              <w:pStyle w:val="BodyText"/>
              <w:spacing w:before="120" w:line="276" w:lineRule="auto"/>
              <w:jc w:val="both"/>
              <w:rPr>
                <w:rFonts w:ascii="Verdana" w:hAnsi="Verdana"/>
                <w:sz w:val="20"/>
                <w:szCs w:val="20"/>
              </w:rPr>
            </w:pPr>
            <w:r w:rsidRPr="00B45B4F">
              <w:rPr>
                <w:rFonts w:ascii="Verdana" w:hAnsi="Verdana"/>
                <w:sz w:val="20"/>
                <w:szCs w:val="20"/>
              </w:rPr>
              <w:t xml:space="preserve">Материално-техническо осигуряване на </w:t>
            </w:r>
            <w:r w:rsidR="00B16932" w:rsidRPr="00B45B4F">
              <w:rPr>
                <w:rFonts w:ascii="Verdana" w:hAnsi="Verdana"/>
                <w:sz w:val="20"/>
                <w:szCs w:val="20"/>
              </w:rPr>
              <w:t>структурите за управление на ОП</w:t>
            </w:r>
            <w:r w:rsidRPr="00B45B4F">
              <w:rPr>
                <w:rFonts w:ascii="Verdana" w:hAnsi="Verdana"/>
                <w:sz w:val="20"/>
                <w:szCs w:val="20"/>
              </w:rPr>
              <w:t>НОИР, закупуване на офис техника, на МПС, извършване на ремонти и осигуряване на наем на офиси и работни помещения, на обученията за служители и бенефициенти, на процесите по оценка и подбор на проектни предложения, договаряне, мониторинг и управление на ОП НОИР, на дейността на Комитета за наблюдение на ОП НОИР;</w:t>
            </w:r>
          </w:p>
        </w:tc>
        <w:tc>
          <w:tcPr>
            <w:tcW w:w="3927" w:type="dxa"/>
            <w:gridSpan w:val="2"/>
            <w:shd w:val="clear" w:color="auto" w:fill="C6D9F1" w:themeFill="text2" w:themeFillTint="33"/>
          </w:tcPr>
          <w:p w:rsidR="00A65447" w:rsidRPr="00B45B4F" w:rsidRDefault="00B16932" w:rsidP="00513534">
            <w:pPr>
              <w:pStyle w:val="BodyText"/>
              <w:spacing w:before="120" w:line="276" w:lineRule="auto"/>
              <w:jc w:val="both"/>
              <w:rPr>
                <w:rFonts w:ascii="Verdana" w:hAnsi="Verdana"/>
                <w:sz w:val="20"/>
                <w:szCs w:val="20"/>
              </w:rPr>
            </w:pPr>
            <w:r w:rsidRPr="00B45B4F">
              <w:rPr>
                <w:rFonts w:ascii="Verdana" w:hAnsi="Verdana"/>
                <w:sz w:val="20"/>
                <w:szCs w:val="20"/>
              </w:rPr>
              <w:t>Дейността включва множество под-дейности и е добре да бъде разбит</w:t>
            </w:r>
            <w:r w:rsidR="00513534" w:rsidRPr="00B45B4F">
              <w:rPr>
                <w:rFonts w:ascii="Verdana" w:hAnsi="Verdana"/>
                <w:sz w:val="20"/>
                <w:szCs w:val="20"/>
              </w:rPr>
              <w:t>а</w:t>
            </w:r>
            <w:r w:rsidRPr="00B45B4F">
              <w:rPr>
                <w:rFonts w:ascii="Verdana" w:hAnsi="Verdana"/>
                <w:sz w:val="20"/>
                <w:szCs w:val="20"/>
              </w:rPr>
              <w:t xml:space="preserve"> на няколко дейности. Някои от изброените под-дейности са залегнали в някои от </w:t>
            </w:r>
            <w:r w:rsidR="00513534" w:rsidRPr="00B45B4F">
              <w:rPr>
                <w:rFonts w:ascii="Verdana" w:hAnsi="Verdana"/>
                <w:sz w:val="20"/>
                <w:szCs w:val="20"/>
              </w:rPr>
              <w:t>останалите дейности</w:t>
            </w:r>
            <w:r w:rsidRPr="00B45B4F">
              <w:rPr>
                <w:rFonts w:ascii="Verdana" w:hAnsi="Verdana"/>
                <w:sz w:val="20"/>
                <w:szCs w:val="20"/>
              </w:rPr>
              <w:t>.</w:t>
            </w:r>
          </w:p>
        </w:tc>
      </w:tr>
      <w:tr w:rsidR="00A65447" w:rsidRPr="00B45B4F" w:rsidTr="002E567A">
        <w:trPr>
          <w:tblCellSpacing w:w="11" w:type="dxa"/>
        </w:trPr>
        <w:tc>
          <w:tcPr>
            <w:tcW w:w="5097" w:type="dxa"/>
            <w:shd w:val="clear" w:color="auto" w:fill="F2F2F2" w:themeFill="background1" w:themeFillShade="F2"/>
          </w:tcPr>
          <w:p w:rsidR="00A65447" w:rsidRPr="00B45B4F" w:rsidRDefault="00A65447" w:rsidP="00A65447">
            <w:pPr>
              <w:pStyle w:val="BodyText"/>
              <w:spacing w:before="120" w:line="276" w:lineRule="auto"/>
              <w:jc w:val="both"/>
              <w:rPr>
                <w:rFonts w:ascii="Verdana" w:hAnsi="Verdana"/>
                <w:sz w:val="20"/>
                <w:szCs w:val="20"/>
              </w:rPr>
            </w:pPr>
            <w:r w:rsidRPr="00B45B4F">
              <w:rPr>
                <w:rFonts w:ascii="Verdana" w:hAnsi="Verdana"/>
                <w:sz w:val="20"/>
                <w:szCs w:val="20"/>
              </w:rPr>
              <w:lastRenderedPageBreak/>
              <w:t>Разработване и развитие на информационни системи за целите на управлението и наблюдението на ОП НОИР;</w:t>
            </w:r>
          </w:p>
        </w:tc>
        <w:tc>
          <w:tcPr>
            <w:tcW w:w="3927" w:type="dxa"/>
            <w:gridSpan w:val="2"/>
            <w:shd w:val="clear" w:color="auto" w:fill="F2F2F2" w:themeFill="background1" w:themeFillShade="F2"/>
          </w:tcPr>
          <w:p w:rsidR="00A65447" w:rsidRPr="00B45B4F" w:rsidRDefault="00890363" w:rsidP="00A65447">
            <w:pPr>
              <w:pStyle w:val="BodyText"/>
              <w:spacing w:before="120" w:line="276" w:lineRule="auto"/>
              <w:jc w:val="both"/>
              <w:rPr>
                <w:rFonts w:ascii="Verdana" w:hAnsi="Verdana"/>
                <w:sz w:val="20"/>
                <w:szCs w:val="20"/>
              </w:rPr>
            </w:pPr>
            <w:r w:rsidRPr="00B45B4F">
              <w:rPr>
                <w:rFonts w:ascii="Verdana" w:hAnsi="Verdana"/>
                <w:sz w:val="20"/>
                <w:szCs w:val="20"/>
              </w:rPr>
              <w:t>Дейността е адекватна.</w:t>
            </w:r>
          </w:p>
        </w:tc>
      </w:tr>
      <w:tr w:rsidR="00A65447" w:rsidRPr="00B45B4F" w:rsidTr="002E567A">
        <w:trPr>
          <w:tblCellSpacing w:w="11" w:type="dxa"/>
        </w:trPr>
        <w:tc>
          <w:tcPr>
            <w:tcW w:w="5097" w:type="dxa"/>
            <w:shd w:val="clear" w:color="auto" w:fill="C6D9F1" w:themeFill="text2" w:themeFillTint="33"/>
          </w:tcPr>
          <w:p w:rsidR="00A65447" w:rsidRPr="00B45B4F" w:rsidRDefault="00A65447" w:rsidP="00A65447">
            <w:pPr>
              <w:pStyle w:val="BodyText"/>
              <w:spacing w:before="120" w:line="276" w:lineRule="auto"/>
              <w:jc w:val="both"/>
              <w:rPr>
                <w:rFonts w:ascii="Verdana" w:hAnsi="Verdana"/>
                <w:sz w:val="20"/>
                <w:szCs w:val="20"/>
              </w:rPr>
            </w:pPr>
            <w:r w:rsidRPr="00B45B4F">
              <w:rPr>
                <w:rFonts w:ascii="Verdana" w:hAnsi="Verdana"/>
                <w:sz w:val="20"/>
                <w:szCs w:val="20"/>
              </w:rPr>
              <w:t>Провеждане на комуникационни дейности и разпространение на информацията за повишаване на информираността и прозрачността за дейностите по ОП НОИР;</w:t>
            </w:r>
          </w:p>
        </w:tc>
        <w:tc>
          <w:tcPr>
            <w:tcW w:w="3927" w:type="dxa"/>
            <w:gridSpan w:val="2"/>
            <w:shd w:val="clear" w:color="auto" w:fill="C6D9F1" w:themeFill="text2" w:themeFillTint="33"/>
          </w:tcPr>
          <w:p w:rsidR="00A65447" w:rsidRPr="00B45B4F" w:rsidRDefault="00890363" w:rsidP="00A65447">
            <w:pPr>
              <w:pStyle w:val="BodyText"/>
              <w:spacing w:before="120" w:line="276" w:lineRule="auto"/>
              <w:jc w:val="both"/>
              <w:rPr>
                <w:rFonts w:ascii="Verdana" w:hAnsi="Verdana"/>
                <w:sz w:val="20"/>
                <w:szCs w:val="20"/>
              </w:rPr>
            </w:pPr>
            <w:r w:rsidRPr="00B45B4F">
              <w:rPr>
                <w:rFonts w:ascii="Verdana" w:hAnsi="Verdana"/>
                <w:sz w:val="20"/>
                <w:szCs w:val="20"/>
              </w:rPr>
              <w:t>Дейността е адекватна.</w:t>
            </w:r>
          </w:p>
        </w:tc>
      </w:tr>
      <w:tr w:rsidR="00A65447" w:rsidRPr="00B45B4F" w:rsidTr="002E567A">
        <w:trPr>
          <w:tblCellSpacing w:w="11" w:type="dxa"/>
        </w:trPr>
        <w:tc>
          <w:tcPr>
            <w:tcW w:w="5097" w:type="dxa"/>
            <w:shd w:val="clear" w:color="auto" w:fill="F2F2F2" w:themeFill="background1" w:themeFillShade="F2"/>
          </w:tcPr>
          <w:p w:rsidR="00A65447" w:rsidRPr="00B45B4F" w:rsidRDefault="00A65447" w:rsidP="00A65447">
            <w:pPr>
              <w:pStyle w:val="BodyText"/>
              <w:spacing w:before="120" w:line="276" w:lineRule="auto"/>
              <w:jc w:val="both"/>
              <w:rPr>
                <w:rFonts w:ascii="Verdana" w:hAnsi="Verdana"/>
                <w:sz w:val="20"/>
                <w:szCs w:val="20"/>
              </w:rPr>
            </w:pPr>
            <w:r w:rsidRPr="00B45B4F">
              <w:rPr>
                <w:rFonts w:ascii="Verdana" w:hAnsi="Verdana"/>
                <w:sz w:val="20"/>
                <w:szCs w:val="20"/>
              </w:rPr>
              <w:t>Организация на публични събития, семинари, конференции, работни групи, кръгли маси;</w:t>
            </w:r>
          </w:p>
        </w:tc>
        <w:tc>
          <w:tcPr>
            <w:tcW w:w="3927" w:type="dxa"/>
            <w:gridSpan w:val="2"/>
            <w:shd w:val="clear" w:color="auto" w:fill="F2F2F2" w:themeFill="background1" w:themeFillShade="F2"/>
          </w:tcPr>
          <w:p w:rsidR="00A65447" w:rsidRPr="00B45B4F" w:rsidRDefault="00890363" w:rsidP="00A65447">
            <w:pPr>
              <w:pStyle w:val="BodyText"/>
              <w:spacing w:before="120" w:line="276" w:lineRule="auto"/>
              <w:jc w:val="both"/>
              <w:rPr>
                <w:rFonts w:ascii="Verdana" w:hAnsi="Verdana"/>
                <w:sz w:val="20"/>
                <w:szCs w:val="20"/>
              </w:rPr>
            </w:pPr>
            <w:r w:rsidRPr="00B45B4F">
              <w:rPr>
                <w:rFonts w:ascii="Verdana" w:hAnsi="Verdana"/>
                <w:sz w:val="20"/>
                <w:szCs w:val="20"/>
              </w:rPr>
              <w:t>Дейността е адекватна.</w:t>
            </w:r>
          </w:p>
        </w:tc>
      </w:tr>
      <w:tr w:rsidR="00A65447" w:rsidRPr="00B45B4F" w:rsidTr="002E567A">
        <w:trPr>
          <w:tblCellSpacing w:w="11" w:type="dxa"/>
        </w:trPr>
        <w:tc>
          <w:tcPr>
            <w:tcW w:w="5097" w:type="dxa"/>
            <w:shd w:val="clear" w:color="auto" w:fill="C6D9F1" w:themeFill="text2" w:themeFillTint="33"/>
          </w:tcPr>
          <w:p w:rsidR="00A65447" w:rsidRPr="00B45B4F" w:rsidRDefault="00A65447" w:rsidP="00A65447">
            <w:pPr>
              <w:pStyle w:val="BodyText"/>
              <w:spacing w:before="120" w:line="276" w:lineRule="auto"/>
              <w:jc w:val="both"/>
              <w:rPr>
                <w:rFonts w:ascii="Verdana" w:hAnsi="Verdana"/>
                <w:sz w:val="20"/>
                <w:szCs w:val="20"/>
              </w:rPr>
            </w:pPr>
            <w:r w:rsidRPr="00B45B4F">
              <w:rPr>
                <w:rFonts w:ascii="Verdana" w:hAnsi="Verdana"/>
                <w:sz w:val="20"/>
                <w:szCs w:val="20"/>
              </w:rPr>
              <w:t>Материално-техническо осигуряване на дейностите по информиране и публичност</w:t>
            </w:r>
          </w:p>
        </w:tc>
        <w:tc>
          <w:tcPr>
            <w:tcW w:w="3927" w:type="dxa"/>
            <w:gridSpan w:val="2"/>
            <w:shd w:val="clear" w:color="auto" w:fill="C6D9F1" w:themeFill="text2" w:themeFillTint="33"/>
          </w:tcPr>
          <w:p w:rsidR="00A65447" w:rsidRPr="00B45B4F" w:rsidRDefault="00B16932" w:rsidP="00A65447">
            <w:pPr>
              <w:pStyle w:val="BodyText"/>
              <w:spacing w:before="120" w:line="276" w:lineRule="auto"/>
              <w:jc w:val="both"/>
              <w:rPr>
                <w:rFonts w:ascii="Verdana" w:hAnsi="Verdana"/>
                <w:sz w:val="20"/>
                <w:szCs w:val="20"/>
              </w:rPr>
            </w:pPr>
            <w:r w:rsidRPr="00B45B4F">
              <w:rPr>
                <w:rFonts w:ascii="Verdana" w:hAnsi="Verdana"/>
                <w:sz w:val="20"/>
                <w:szCs w:val="20"/>
              </w:rPr>
              <w:t>По същество се припокрива с посочената по-горе дейност „</w:t>
            </w:r>
            <w:r w:rsidRPr="00B45B4F">
              <w:rPr>
                <w:rFonts w:ascii="Verdana" w:hAnsi="Verdana"/>
                <w:i/>
                <w:sz w:val="20"/>
                <w:szCs w:val="20"/>
              </w:rPr>
              <w:t>Провеждане на комуникационни дейности и разпространение на информацията за повишаване на информираността и прозрачността за дейностите по ОП НОИР</w:t>
            </w:r>
            <w:r w:rsidRPr="00B45B4F">
              <w:rPr>
                <w:rFonts w:ascii="Verdana" w:hAnsi="Verdana"/>
                <w:sz w:val="20"/>
                <w:szCs w:val="20"/>
              </w:rPr>
              <w:t>“</w:t>
            </w:r>
          </w:p>
        </w:tc>
      </w:tr>
      <w:tr w:rsidR="00A65447" w:rsidRPr="00B45B4F" w:rsidTr="002E567A">
        <w:trPr>
          <w:tblCellSpacing w:w="11" w:type="dxa"/>
        </w:trPr>
        <w:tc>
          <w:tcPr>
            <w:tcW w:w="5097" w:type="dxa"/>
            <w:shd w:val="clear" w:color="auto" w:fill="F2F2F2" w:themeFill="background1" w:themeFillShade="F2"/>
          </w:tcPr>
          <w:p w:rsidR="00A65447" w:rsidRPr="00B45B4F" w:rsidRDefault="00A65447" w:rsidP="00A65447">
            <w:pPr>
              <w:pStyle w:val="BodyText"/>
              <w:spacing w:before="120" w:line="276" w:lineRule="auto"/>
              <w:jc w:val="both"/>
              <w:rPr>
                <w:rFonts w:ascii="Verdana" w:hAnsi="Verdana"/>
                <w:sz w:val="20"/>
                <w:szCs w:val="20"/>
              </w:rPr>
            </w:pPr>
            <w:r w:rsidRPr="00B45B4F">
              <w:rPr>
                <w:rFonts w:ascii="Verdana" w:hAnsi="Verdana"/>
                <w:sz w:val="20"/>
                <w:szCs w:val="20"/>
              </w:rPr>
              <w:t>Извършване на анализи на капацитета на служителите в УО на ОП НОИР;</w:t>
            </w:r>
          </w:p>
        </w:tc>
        <w:tc>
          <w:tcPr>
            <w:tcW w:w="3927" w:type="dxa"/>
            <w:gridSpan w:val="2"/>
            <w:shd w:val="clear" w:color="auto" w:fill="F2F2F2" w:themeFill="background1" w:themeFillShade="F2"/>
          </w:tcPr>
          <w:p w:rsidR="00A65447" w:rsidRPr="00B45B4F" w:rsidRDefault="00890363" w:rsidP="00A65447">
            <w:pPr>
              <w:pStyle w:val="BodyText"/>
              <w:spacing w:before="120" w:line="276" w:lineRule="auto"/>
              <w:jc w:val="both"/>
              <w:rPr>
                <w:rFonts w:ascii="Verdana" w:hAnsi="Verdana"/>
                <w:sz w:val="20"/>
                <w:szCs w:val="20"/>
              </w:rPr>
            </w:pPr>
            <w:r w:rsidRPr="00B45B4F">
              <w:rPr>
                <w:rFonts w:ascii="Verdana" w:hAnsi="Verdana"/>
                <w:sz w:val="20"/>
                <w:szCs w:val="20"/>
              </w:rPr>
              <w:t>Дейността е адекватна.</w:t>
            </w:r>
          </w:p>
        </w:tc>
      </w:tr>
      <w:tr w:rsidR="00A65447" w:rsidRPr="00B45B4F" w:rsidTr="002E567A">
        <w:trPr>
          <w:tblCellSpacing w:w="11" w:type="dxa"/>
        </w:trPr>
        <w:tc>
          <w:tcPr>
            <w:tcW w:w="5097" w:type="dxa"/>
            <w:shd w:val="clear" w:color="auto" w:fill="C6D9F1" w:themeFill="text2" w:themeFillTint="33"/>
          </w:tcPr>
          <w:p w:rsidR="00A65447" w:rsidRPr="00B45B4F" w:rsidRDefault="00A65447" w:rsidP="00A65447">
            <w:pPr>
              <w:pStyle w:val="BodyText"/>
              <w:spacing w:before="120" w:line="276" w:lineRule="auto"/>
              <w:jc w:val="both"/>
              <w:rPr>
                <w:rFonts w:ascii="Verdana" w:hAnsi="Verdana"/>
                <w:sz w:val="20"/>
                <w:szCs w:val="20"/>
              </w:rPr>
            </w:pPr>
            <w:r w:rsidRPr="00B45B4F">
              <w:rPr>
                <w:rFonts w:ascii="Verdana" w:hAnsi="Verdana"/>
                <w:sz w:val="20"/>
                <w:szCs w:val="20"/>
              </w:rPr>
              <w:t>Осигуряване на обучения, работни посещения и стажове на служителите в структурите за управление на ОП НОИР;</w:t>
            </w:r>
          </w:p>
        </w:tc>
        <w:tc>
          <w:tcPr>
            <w:tcW w:w="3927" w:type="dxa"/>
            <w:gridSpan w:val="2"/>
            <w:shd w:val="clear" w:color="auto" w:fill="C6D9F1" w:themeFill="text2" w:themeFillTint="33"/>
          </w:tcPr>
          <w:p w:rsidR="00A65447" w:rsidRPr="00B45B4F" w:rsidRDefault="00B16932" w:rsidP="00A65447">
            <w:pPr>
              <w:pStyle w:val="BodyText"/>
              <w:spacing w:before="120" w:line="276" w:lineRule="auto"/>
              <w:jc w:val="both"/>
              <w:rPr>
                <w:rFonts w:ascii="Verdana" w:hAnsi="Verdana"/>
                <w:i/>
                <w:sz w:val="20"/>
                <w:szCs w:val="20"/>
              </w:rPr>
            </w:pPr>
            <w:r w:rsidRPr="00B45B4F">
              <w:rPr>
                <w:rFonts w:ascii="Verdana" w:hAnsi="Verdana"/>
                <w:sz w:val="20"/>
                <w:szCs w:val="20"/>
              </w:rPr>
              <w:t>Припокрива се с първата дейност: „</w:t>
            </w:r>
            <w:r w:rsidRPr="00B45B4F">
              <w:rPr>
                <w:rFonts w:ascii="Verdana" w:hAnsi="Verdana"/>
                <w:i/>
                <w:sz w:val="20"/>
                <w:szCs w:val="20"/>
              </w:rPr>
              <w:t>обученията за служители и бенефициенти“</w:t>
            </w:r>
          </w:p>
          <w:p w:rsidR="00B16932" w:rsidRPr="00B45B4F" w:rsidRDefault="00B16932" w:rsidP="00A65447">
            <w:pPr>
              <w:pStyle w:val="BodyText"/>
              <w:spacing w:before="120" w:line="276" w:lineRule="auto"/>
              <w:jc w:val="both"/>
              <w:rPr>
                <w:rFonts w:ascii="Verdana" w:hAnsi="Verdana"/>
                <w:sz w:val="20"/>
                <w:szCs w:val="20"/>
              </w:rPr>
            </w:pPr>
          </w:p>
        </w:tc>
      </w:tr>
      <w:tr w:rsidR="00A65447" w:rsidRPr="00B45B4F" w:rsidTr="002E567A">
        <w:trPr>
          <w:tblCellSpacing w:w="11" w:type="dxa"/>
        </w:trPr>
        <w:tc>
          <w:tcPr>
            <w:tcW w:w="5097" w:type="dxa"/>
            <w:shd w:val="clear" w:color="auto" w:fill="F2F2F2" w:themeFill="background1" w:themeFillShade="F2"/>
          </w:tcPr>
          <w:p w:rsidR="00A65447" w:rsidRPr="00B45B4F" w:rsidRDefault="00A65447" w:rsidP="0002278F">
            <w:pPr>
              <w:pStyle w:val="BodyText"/>
              <w:spacing w:before="120" w:line="276" w:lineRule="auto"/>
              <w:jc w:val="both"/>
              <w:rPr>
                <w:rFonts w:ascii="Verdana" w:hAnsi="Verdana"/>
                <w:sz w:val="20"/>
                <w:szCs w:val="20"/>
              </w:rPr>
            </w:pPr>
            <w:r w:rsidRPr="00B45B4F">
              <w:rPr>
                <w:rFonts w:ascii="Verdana" w:hAnsi="Verdana"/>
                <w:sz w:val="20"/>
                <w:szCs w:val="20"/>
              </w:rPr>
              <w:t>Осигуряване на стажове на студенти в УО на ОПНОИР;</w:t>
            </w:r>
          </w:p>
        </w:tc>
        <w:tc>
          <w:tcPr>
            <w:tcW w:w="3927" w:type="dxa"/>
            <w:gridSpan w:val="2"/>
            <w:shd w:val="clear" w:color="auto" w:fill="F2F2F2" w:themeFill="background1" w:themeFillShade="F2"/>
          </w:tcPr>
          <w:p w:rsidR="00A65447" w:rsidRPr="00B45B4F" w:rsidRDefault="00B16932" w:rsidP="00A65447">
            <w:pPr>
              <w:pStyle w:val="BodyText"/>
              <w:spacing w:before="120" w:line="276" w:lineRule="auto"/>
              <w:jc w:val="both"/>
              <w:rPr>
                <w:rFonts w:ascii="Verdana" w:hAnsi="Verdana"/>
                <w:sz w:val="20"/>
                <w:szCs w:val="20"/>
              </w:rPr>
            </w:pPr>
            <w:r w:rsidRPr="00B45B4F">
              <w:rPr>
                <w:rFonts w:ascii="Verdana" w:hAnsi="Verdana"/>
                <w:sz w:val="20"/>
                <w:szCs w:val="20"/>
              </w:rPr>
              <w:t>Не е подходяща за поставената специфична цел. Може да се покрие от дейности за стажове на студенти в администрацията и бизнеса.</w:t>
            </w:r>
          </w:p>
        </w:tc>
      </w:tr>
      <w:tr w:rsidR="00A65447" w:rsidRPr="00B45B4F" w:rsidTr="002E567A">
        <w:trPr>
          <w:tblCellSpacing w:w="11" w:type="dxa"/>
        </w:trPr>
        <w:tc>
          <w:tcPr>
            <w:tcW w:w="5097" w:type="dxa"/>
            <w:shd w:val="clear" w:color="auto" w:fill="C6D9F1" w:themeFill="text2" w:themeFillTint="33"/>
          </w:tcPr>
          <w:p w:rsidR="00A65447" w:rsidRPr="00B45B4F" w:rsidRDefault="00A65447" w:rsidP="00A65447">
            <w:pPr>
              <w:pStyle w:val="BodyText"/>
              <w:spacing w:before="120" w:line="276" w:lineRule="auto"/>
              <w:jc w:val="both"/>
              <w:rPr>
                <w:rFonts w:ascii="Verdana" w:hAnsi="Verdana"/>
                <w:sz w:val="20"/>
                <w:szCs w:val="20"/>
              </w:rPr>
            </w:pPr>
            <w:r w:rsidRPr="00B45B4F">
              <w:rPr>
                <w:rFonts w:ascii="Verdana" w:hAnsi="Verdana"/>
                <w:sz w:val="20"/>
                <w:szCs w:val="20"/>
              </w:rPr>
              <w:t>Извършване на анализ на капацитета и информираността на потенциалните бенефициенти.</w:t>
            </w:r>
          </w:p>
        </w:tc>
        <w:tc>
          <w:tcPr>
            <w:tcW w:w="3927" w:type="dxa"/>
            <w:gridSpan w:val="2"/>
            <w:shd w:val="clear" w:color="auto" w:fill="C6D9F1" w:themeFill="text2" w:themeFillTint="33"/>
          </w:tcPr>
          <w:p w:rsidR="00A65447" w:rsidRPr="00B45B4F" w:rsidRDefault="00890363" w:rsidP="00A65447">
            <w:pPr>
              <w:pStyle w:val="BodyText"/>
              <w:spacing w:before="120" w:line="276" w:lineRule="auto"/>
              <w:jc w:val="both"/>
              <w:rPr>
                <w:rFonts w:ascii="Verdana" w:hAnsi="Verdana"/>
                <w:sz w:val="20"/>
                <w:szCs w:val="20"/>
              </w:rPr>
            </w:pPr>
            <w:r w:rsidRPr="00B45B4F">
              <w:rPr>
                <w:rFonts w:ascii="Verdana" w:hAnsi="Verdana"/>
                <w:sz w:val="20"/>
                <w:szCs w:val="20"/>
              </w:rPr>
              <w:t>Дейността е адекватна.</w:t>
            </w:r>
          </w:p>
        </w:tc>
      </w:tr>
      <w:tr w:rsidR="00A65447" w:rsidRPr="00B45B4F" w:rsidTr="002E567A">
        <w:trPr>
          <w:tblCellSpacing w:w="11" w:type="dxa"/>
        </w:trPr>
        <w:tc>
          <w:tcPr>
            <w:tcW w:w="5097" w:type="dxa"/>
            <w:shd w:val="clear" w:color="auto" w:fill="F2F2F2" w:themeFill="background1" w:themeFillShade="F2"/>
          </w:tcPr>
          <w:p w:rsidR="00A65447" w:rsidRPr="00B45B4F" w:rsidRDefault="00A65447" w:rsidP="00A65447">
            <w:pPr>
              <w:pStyle w:val="BodyText"/>
              <w:spacing w:before="120" w:line="276" w:lineRule="auto"/>
              <w:jc w:val="both"/>
              <w:rPr>
                <w:rFonts w:ascii="Verdana" w:hAnsi="Verdana"/>
                <w:sz w:val="20"/>
                <w:szCs w:val="20"/>
              </w:rPr>
            </w:pPr>
            <w:r w:rsidRPr="00B45B4F">
              <w:rPr>
                <w:rFonts w:ascii="Verdana" w:hAnsi="Verdana"/>
                <w:sz w:val="20"/>
                <w:szCs w:val="20"/>
              </w:rPr>
              <w:t>Провеждане на обучения за бенефициентите за укрепване на капацитета им за управление на проекти;</w:t>
            </w:r>
          </w:p>
        </w:tc>
        <w:tc>
          <w:tcPr>
            <w:tcW w:w="3927" w:type="dxa"/>
            <w:gridSpan w:val="2"/>
            <w:shd w:val="clear" w:color="auto" w:fill="F2F2F2" w:themeFill="background1" w:themeFillShade="F2"/>
          </w:tcPr>
          <w:p w:rsidR="00A65447" w:rsidRPr="00B45B4F" w:rsidRDefault="00B16932" w:rsidP="00A65447">
            <w:pPr>
              <w:pStyle w:val="BodyText"/>
              <w:spacing w:before="120" w:line="276" w:lineRule="auto"/>
              <w:jc w:val="both"/>
              <w:rPr>
                <w:rFonts w:ascii="Verdana" w:hAnsi="Verdana"/>
                <w:sz w:val="20"/>
                <w:szCs w:val="20"/>
              </w:rPr>
            </w:pPr>
            <w:r w:rsidRPr="00B45B4F">
              <w:rPr>
                <w:rFonts w:ascii="Verdana" w:hAnsi="Verdana"/>
                <w:sz w:val="20"/>
                <w:szCs w:val="20"/>
              </w:rPr>
              <w:t>Припокрива се с първата дейност „</w:t>
            </w:r>
            <w:r w:rsidRPr="00B45B4F">
              <w:rPr>
                <w:rFonts w:ascii="Verdana" w:hAnsi="Verdana"/>
                <w:i/>
                <w:sz w:val="20"/>
                <w:szCs w:val="20"/>
              </w:rPr>
              <w:t>обученията за служители и бенефициенти“</w:t>
            </w:r>
            <w:r w:rsidR="00513534" w:rsidRPr="00B45B4F">
              <w:rPr>
                <w:rFonts w:ascii="Verdana" w:hAnsi="Verdana"/>
                <w:i/>
                <w:sz w:val="20"/>
                <w:szCs w:val="20"/>
              </w:rPr>
              <w:t>.</w:t>
            </w:r>
          </w:p>
        </w:tc>
      </w:tr>
      <w:tr w:rsidR="00A65447" w:rsidRPr="00B45B4F" w:rsidTr="002E567A">
        <w:trPr>
          <w:tblCellSpacing w:w="11" w:type="dxa"/>
        </w:trPr>
        <w:tc>
          <w:tcPr>
            <w:tcW w:w="5097" w:type="dxa"/>
            <w:shd w:val="clear" w:color="auto" w:fill="C6D9F1" w:themeFill="text2" w:themeFillTint="33"/>
          </w:tcPr>
          <w:p w:rsidR="00A65447" w:rsidRPr="00B45B4F" w:rsidRDefault="00A65447" w:rsidP="00A65447">
            <w:pPr>
              <w:pStyle w:val="BodyText"/>
              <w:spacing w:before="120" w:line="276" w:lineRule="auto"/>
              <w:jc w:val="both"/>
              <w:rPr>
                <w:rFonts w:ascii="Verdana" w:hAnsi="Verdana"/>
                <w:sz w:val="20"/>
                <w:szCs w:val="20"/>
              </w:rPr>
            </w:pPr>
            <w:r w:rsidRPr="00B45B4F">
              <w:rPr>
                <w:rFonts w:ascii="Verdana" w:hAnsi="Verdana"/>
                <w:sz w:val="20"/>
                <w:szCs w:val="20"/>
              </w:rPr>
              <w:t>Подготовка на оценки, експертни доклади, статистически данни, анализи и проучвания, свързани с ОП НОИР, включително текущи и последващи оценки на ОП НОИР;</w:t>
            </w:r>
          </w:p>
        </w:tc>
        <w:tc>
          <w:tcPr>
            <w:tcW w:w="3927" w:type="dxa"/>
            <w:gridSpan w:val="2"/>
            <w:shd w:val="clear" w:color="auto" w:fill="C6D9F1" w:themeFill="text2" w:themeFillTint="33"/>
          </w:tcPr>
          <w:p w:rsidR="00A65447" w:rsidRPr="00B45B4F" w:rsidRDefault="00890363" w:rsidP="00A65447">
            <w:pPr>
              <w:pStyle w:val="BodyText"/>
              <w:spacing w:before="120" w:line="276" w:lineRule="auto"/>
              <w:jc w:val="both"/>
              <w:rPr>
                <w:rFonts w:ascii="Verdana" w:hAnsi="Verdana"/>
                <w:sz w:val="20"/>
                <w:szCs w:val="20"/>
              </w:rPr>
            </w:pPr>
            <w:r w:rsidRPr="00B45B4F">
              <w:rPr>
                <w:rFonts w:ascii="Verdana" w:hAnsi="Verdana"/>
                <w:sz w:val="20"/>
                <w:szCs w:val="20"/>
              </w:rPr>
              <w:t>Дейността е адекватна.</w:t>
            </w:r>
          </w:p>
        </w:tc>
      </w:tr>
      <w:tr w:rsidR="00A65447" w:rsidRPr="00B45B4F" w:rsidTr="002E567A">
        <w:trPr>
          <w:tblCellSpacing w:w="11" w:type="dxa"/>
        </w:trPr>
        <w:tc>
          <w:tcPr>
            <w:tcW w:w="5097" w:type="dxa"/>
            <w:shd w:val="clear" w:color="auto" w:fill="F2F2F2" w:themeFill="background1" w:themeFillShade="F2"/>
          </w:tcPr>
          <w:p w:rsidR="00A65447" w:rsidRPr="00B45B4F" w:rsidRDefault="00A65447" w:rsidP="00A65447">
            <w:pPr>
              <w:pStyle w:val="BodyText"/>
              <w:spacing w:before="120" w:line="276" w:lineRule="auto"/>
              <w:jc w:val="both"/>
              <w:rPr>
                <w:rFonts w:ascii="Verdana" w:hAnsi="Verdana"/>
                <w:sz w:val="20"/>
                <w:szCs w:val="20"/>
              </w:rPr>
            </w:pPr>
            <w:r w:rsidRPr="00B45B4F">
              <w:rPr>
                <w:rFonts w:ascii="Verdana" w:hAnsi="Verdana"/>
                <w:sz w:val="20"/>
                <w:szCs w:val="20"/>
              </w:rPr>
              <w:lastRenderedPageBreak/>
              <w:t xml:space="preserve">Осигуряване на финансирането на възнаграждения, осигурителни вноски, данъци и други дължими според действащото законодателство доплащания, както и допълнителни възнаграждения за служители, работещи в структурите за управление на ОП НОИР; </w:t>
            </w:r>
          </w:p>
        </w:tc>
        <w:tc>
          <w:tcPr>
            <w:tcW w:w="3927" w:type="dxa"/>
            <w:gridSpan w:val="2"/>
            <w:shd w:val="clear" w:color="auto" w:fill="F2F2F2" w:themeFill="background1" w:themeFillShade="F2"/>
          </w:tcPr>
          <w:p w:rsidR="00A65447" w:rsidRPr="00B45B4F" w:rsidRDefault="00890363" w:rsidP="00A65447">
            <w:pPr>
              <w:pStyle w:val="BodyText"/>
              <w:spacing w:before="120" w:line="276" w:lineRule="auto"/>
              <w:jc w:val="both"/>
              <w:rPr>
                <w:rFonts w:ascii="Verdana" w:hAnsi="Verdana"/>
                <w:sz w:val="20"/>
                <w:szCs w:val="20"/>
              </w:rPr>
            </w:pPr>
            <w:r w:rsidRPr="00B45B4F">
              <w:rPr>
                <w:rFonts w:ascii="Verdana" w:hAnsi="Verdana"/>
                <w:sz w:val="20"/>
                <w:szCs w:val="20"/>
              </w:rPr>
              <w:t>Дейността е адекватна.</w:t>
            </w:r>
          </w:p>
        </w:tc>
      </w:tr>
      <w:tr w:rsidR="00A65447" w:rsidRPr="00B45B4F" w:rsidTr="002E567A">
        <w:trPr>
          <w:tblCellSpacing w:w="11" w:type="dxa"/>
        </w:trPr>
        <w:tc>
          <w:tcPr>
            <w:tcW w:w="5097" w:type="dxa"/>
            <w:shd w:val="clear" w:color="auto" w:fill="C6D9F1" w:themeFill="text2" w:themeFillTint="33"/>
          </w:tcPr>
          <w:p w:rsidR="00A65447" w:rsidRPr="00B45B4F" w:rsidRDefault="00A65447" w:rsidP="00A65447">
            <w:pPr>
              <w:pStyle w:val="BodyText"/>
              <w:spacing w:before="120" w:line="276" w:lineRule="auto"/>
              <w:jc w:val="both"/>
              <w:rPr>
                <w:rFonts w:ascii="Verdana" w:hAnsi="Verdana"/>
                <w:sz w:val="20"/>
                <w:szCs w:val="20"/>
              </w:rPr>
            </w:pPr>
            <w:r w:rsidRPr="00B45B4F">
              <w:rPr>
                <w:rFonts w:ascii="Verdana" w:hAnsi="Verdana"/>
                <w:sz w:val="20"/>
                <w:szCs w:val="20"/>
              </w:rPr>
              <w:t>Подготовка на следващия програмен период 2021 – 2027 г. – информационно-техническо и материално осигуряване на дейностите по програмиране на средствата от ЕС;</w:t>
            </w:r>
          </w:p>
        </w:tc>
        <w:tc>
          <w:tcPr>
            <w:tcW w:w="3927" w:type="dxa"/>
            <w:gridSpan w:val="2"/>
            <w:shd w:val="clear" w:color="auto" w:fill="C6D9F1" w:themeFill="text2" w:themeFillTint="33"/>
          </w:tcPr>
          <w:p w:rsidR="00A65447" w:rsidRPr="00B45B4F" w:rsidRDefault="00890363" w:rsidP="00A65447">
            <w:pPr>
              <w:pStyle w:val="BodyText"/>
              <w:spacing w:before="120" w:line="276" w:lineRule="auto"/>
              <w:jc w:val="both"/>
              <w:rPr>
                <w:rFonts w:ascii="Verdana" w:hAnsi="Verdana"/>
                <w:sz w:val="20"/>
                <w:szCs w:val="20"/>
              </w:rPr>
            </w:pPr>
            <w:r w:rsidRPr="00B45B4F">
              <w:rPr>
                <w:rFonts w:ascii="Verdana" w:hAnsi="Verdana"/>
                <w:sz w:val="20"/>
                <w:szCs w:val="20"/>
              </w:rPr>
              <w:t>Дейността е адекватна.</w:t>
            </w:r>
          </w:p>
        </w:tc>
      </w:tr>
      <w:tr w:rsidR="00A65447" w:rsidRPr="00B45B4F" w:rsidTr="002E567A">
        <w:trPr>
          <w:tblCellSpacing w:w="11" w:type="dxa"/>
        </w:trPr>
        <w:tc>
          <w:tcPr>
            <w:tcW w:w="5097" w:type="dxa"/>
            <w:shd w:val="clear" w:color="auto" w:fill="F2F2F2" w:themeFill="background1" w:themeFillShade="F2"/>
          </w:tcPr>
          <w:p w:rsidR="00A65447" w:rsidRPr="00B45B4F" w:rsidRDefault="00A65447" w:rsidP="00A65447">
            <w:pPr>
              <w:pStyle w:val="BodyText"/>
              <w:spacing w:before="120" w:line="276" w:lineRule="auto"/>
              <w:jc w:val="both"/>
              <w:rPr>
                <w:rFonts w:ascii="Verdana" w:hAnsi="Verdana"/>
                <w:sz w:val="20"/>
                <w:szCs w:val="20"/>
              </w:rPr>
            </w:pPr>
            <w:r w:rsidRPr="00B45B4F">
              <w:rPr>
                <w:rFonts w:ascii="Verdana" w:hAnsi="Verdana"/>
                <w:sz w:val="20"/>
                <w:szCs w:val="20"/>
              </w:rPr>
              <w:t>Провеждане на комуникационни дейности и разпространение на информацията за повишаване на информираността и прозрачността за дейностите по ОП НОИР;</w:t>
            </w:r>
          </w:p>
        </w:tc>
        <w:tc>
          <w:tcPr>
            <w:tcW w:w="3927" w:type="dxa"/>
            <w:gridSpan w:val="2"/>
            <w:shd w:val="clear" w:color="auto" w:fill="F2F2F2" w:themeFill="background1" w:themeFillShade="F2"/>
          </w:tcPr>
          <w:p w:rsidR="00A65447" w:rsidRPr="00B45B4F" w:rsidRDefault="00B16932" w:rsidP="00A65447">
            <w:pPr>
              <w:pStyle w:val="BodyText"/>
              <w:spacing w:before="120" w:line="276" w:lineRule="auto"/>
              <w:jc w:val="both"/>
              <w:rPr>
                <w:rFonts w:ascii="Verdana" w:hAnsi="Verdana"/>
                <w:sz w:val="20"/>
                <w:szCs w:val="20"/>
              </w:rPr>
            </w:pPr>
            <w:r w:rsidRPr="00B45B4F">
              <w:rPr>
                <w:rFonts w:ascii="Verdana" w:hAnsi="Verdana"/>
                <w:sz w:val="20"/>
                <w:szCs w:val="20"/>
              </w:rPr>
              <w:t>Припокрива се с предходна дейност.</w:t>
            </w:r>
          </w:p>
        </w:tc>
      </w:tr>
      <w:tr w:rsidR="00A65447" w:rsidRPr="00B45B4F" w:rsidTr="002E567A">
        <w:trPr>
          <w:tblCellSpacing w:w="11" w:type="dxa"/>
        </w:trPr>
        <w:tc>
          <w:tcPr>
            <w:tcW w:w="5097" w:type="dxa"/>
            <w:shd w:val="clear" w:color="auto" w:fill="C6D9F1" w:themeFill="text2" w:themeFillTint="33"/>
          </w:tcPr>
          <w:p w:rsidR="00A65447" w:rsidRPr="00B45B4F" w:rsidRDefault="00A65447" w:rsidP="00A65447">
            <w:pPr>
              <w:pStyle w:val="BodyText"/>
              <w:spacing w:before="120" w:line="276" w:lineRule="auto"/>
              <w:jc w:val="both"/>
              <w:rPr>
                <w:rFonts w:ascii="Verdana" w:hAnsi="Verdana"/>
                <w:sz w:val="20"/>
                <w:szCs w:val="20"/>
              </w:rPr>
            </w:pPr>
            <w:r w:rsidRPr="00B45B4F">
              <w:rPr>
                <w:rFonts w:ascii="Verdana" w:hAnsi="Verdana"/>
                <w:sz w:val="20"/>
                <w:szCs w:val="20"/>
              </w:rPr>
              <w:t>Организация на публични събития, семинари, конференции, работни групи, кръгли маси;</w:t>
            </w:r>
          </w:p>
        </w:tc>
        <w:tc>
          <w:tcPr>
            <w:tcW w:w="3927" w:type="dxa"/>
            <w:gridSpan w:val="2"/>
            <w:shd w:val="clear" w:color="auto" w:fill="C6D9F1" w:themeFill="text2" w:themeFillTint="33"/>
          </w:tcPr>
          <w:p w:rsidR="00A65447" w:rsidRPr="00B45B4F" w:rsidRDefault="00B16932" w:rsidP="00A65447">
            <w:pPr>
              <w:pStyle w:val="BodyText"/>
              <w:spacing w:before="120" w:line="276" w:lineRule="auto"/>
              <w:jc w:val="both"/>
              <w:rPr>
                <w:rFonts w:ascii="Verdana" w:hAnsi="Verdana"/>
                <w:sz w:val="20"/>
                <w:szCs w:val="20"/>
              </w:rPr>
            </w:pPr>
            <w:r w:rsidRPr="00B45B4F">
              <w:rPr>
                <w:rFonts w:ascii="Verdana" w:hAnsi="Verdana"/>
                <w:sz w:val="20"/>
                <w:szCs w:val="20"/>
              </w:rPr>
              <w:t>Припокрива се с предходна дейност</w:t>
            </w:r>
          </w:p>
        </w:tc>
      </w:tr>
      <w:tr w:rsidR="00A65447" w:rsidRPr="00B45B4F" w:rsidTr="002E567A">
        <w:trPr>
          <w:tblCellSpacing w:w="11" w:type="dxa"/>
        </w:trPr>
        <w:tc>
          <w:tcPr>
            <w:tcW w:w="5097" w:type="dxa"/>
            <w:shd w:val="clear" w:color="auto" w:fill="F2F2F2" w:themeFill="background1" w:themeFillShade="F2"/>
          </w:tcPr>
          <w:p w:rsidR="00A65447" w:rsidRPr="00B45B4F" w:rsidRDefault="00A65447" w:rsidP="00A65447">
            <w:pPr>
              <w:pStyle w:val="BodyText"/>
              <w:spacing w:before="120" w:line="276" w:lineRule="auto"/>
              <w:jc w:val="both"/>
              <w:rPr>
                <w:rFonts w:ascii="Verdana" w:hAnsi="Verdana"/>
                <w:sz w:val="20"/>
                <w:szCs w:val="20"/>
              </w:rPr>
            </w:pPr>
            <w:r w:rsidRPr="00B45B4F">
              <w:rPr>
                <w:rFonts w:ascii="Verdana" w:hAnsi="Verdana"/>
                <w:sz w:val="20"/>
                <w:szCs w:val="20"/>
              </w:rPr>
              <w:t>Подготовка, превод и разпространение на официални документи, свързани с цялостното управление и изпълнение на ОП;</w:t>
            </w:r>
          </w:p>
        </w:tc>
        <w:tc>
          <w:tcPr>
            <w:tcW w:w="3927" w:type="dxa"/>
            <w:gridSpan w:val="2"/>
            <w:shd w:val="clear" w:color="auto" w:fill="F2F2F2" w:themeFill="background1" w:themeFillShade="F2"/>
          </w:tcPr>
          <w:p w:rsidR="00A65447" w:rsidRPr="00B45B4F" w:rsidRDefault="00B16932" w:rsidP="00B16932">
            <w:pPr>
              <w:pStyle w:val="BodyText"/>
              <w:spacing w:before="120" w:line="276" w:lineRule="auto"/>
              <w:jc w:val="both"/>
              <w:rPr>
                <w:rFonts w:ascii="Verdana" w:hAnsi="Verdana"/>
                <w:sz w:val="20"/>
                <w:szCs w:val="20"/>
              </w:rPr>
            </w:pPr>
            <w:r w:rsidRPr="00B45B4F">
              <w:rPr>
                <w:rFonts w:ascii="Verdana" w:hAnsi="Verdana"/>
                <w:sz w:val="20"/>
                <w:szCs w:val="20"/>
              </w:rPr>
              <w:t>Подготовката на документи е част от работата на експертите в УО и поради това вече е подкрепена чрез дейността „</w:t>
            </w:r>
            <w:r w:rsidRPr="00B45B4F">
              <w:rPr>
                <w:rFonts w:ascii="Verdana" w:hAnsi="Verdana"/>
                <w:i/>
                <w:sz w:val="20"/>
                <w:szCs w:val="20"/>
              </w:rPr>
              <w:t>Осигуряване на финансирането на възнаграждения, осигурителни вноски, данъци и други дължими според действащото законодателство доплащания, както и допълнителни възнаграждения за служители, работещи в структурите за управление на ОП НОИР</w:t>
            </w:r>
            <w:r w:rsidRPr="00B45B4F">
              <w:rPr>
                <w:rFonts w:ascii="Verdana" w:hAnsi="Verdana"/>
                <w:sz w:val="20"/>
                <w:szCs w:val="20"/>
              </w:rPr>
              <w:t>“. Преводът и разпространението също са осигурени чрез следната дейност „</w:t>
            </w:r>
            <w:r w:rsidR="00890363" w:rsidRPr="00B45B4F">
              <w:rPr>
                <w:rFonts w:ascii="Verdana" w:hAnsi="Verdana"/>
                <w:i/>
                <w:sz w:val="20"/>
                <w:szCs w:val="20"/>
              </w:rPr>
              <w:t>Материално-техническо осигуряване на дейностите по информиране и публичност</w:t>
            </w:r>
            <w:r w:rsidR="00890363" w:rsidRPr="00B45B4F">
              <w:rPr>
                <w:rFonts w:ascii="Verdana" w:hAnsi="Verdana"/>
                <w:sz w:val="20"/>
                <w:szCs w:val="20"/>
              </w:rPr>
              <w:t>“</w:t>
            </w:r>
          </w:p>
        </w:tc>
      </w:tr>
    </w:tbl>
    <w:p w:rsidR="00444CBE" w:rsidRDefault="00444CBE" w:rsidP="00DE4852">
      <w:pPr>
        <w:pStyle w:val="BodyText"/>
        <w:widowControl w:val="0"/>
        <w:tabs>
          <w:tab w:val="left" w:pos="0"/>
          <w:tab w:val="right" w:pos="9214"/>
        </w:tabs>
        <w:spacing w:before="120" w:line="276" w:lineRule="auto"/>
        <w:jc w:val="both"/>
        <w:rPr>
          <w:rFonts w:ascii="Verdana" w:hAnsi="Verdana"/>
          <w:sz w:val="20"/>
        </w:rPr>
      </w:pPr>
    </w:p>
    <w:p w:rsidR="00390DD1" w:rsidRDefault="00390DD1" w:rsidP="00DE4852">
      <w:pPr>
        <w:pStyle w:val="BodyText"/>
        <w:widowControl w:val="0"/>
        <w:tabs>
          <w:tab w:val="left" w:pos="0"/>
          <w:tab w:val="right" w:pos="9214"/>
        </w:tabs>
        <w:spacing w:before="120" w:line="276" w:lineRule="auto"/>
        <w:jc w:val="both"/>
        <w:rPr>
          <w:rFonts w:ascii="Verdana" w:hAnsi="Verdana"/>
          <w:sz w:val="20"/>
        </w:rPr>
      </w:pPr>
    </w:p>
    <w:p w:rsidR="00390DD1" w:rsidRDefault="00390DD1" w:rsidP="00DE4852">
      <w:pPr>
        <w:pStyle w:val="BodyText"/>
        <w:widowControl w:val="0"/>
        <w:tabs>
          <w:tab w:val="left" w:pos="0"/>
          <w:tab w:val="right" w:pos="9214"/>
        </w:tabs>
        <w:spacing w:before="120" w:line="276" w:lineRule="auto"/>
        <w:jc w:val="both"/>
        <w:rPr>
          <w:rFonts w:ascii="Verdana" w:hAnsi="Verdana"/>
          <w:sz w:val="20"/>
        </w:rPr>
      </w:pPr>
    </w:p>
    <w:p w:rsidR="00390DD1" w:rsidRPr="00B45B4F" w:rsidRDefault="00390DD1" w:rsidP="00DE4852">
      <w:pPr>
        <w:pStyle w:val="BodyText"/>
        <w:widowControl w:val="0"/>
        <w:tabs>
          <w:tab w:val="left" w:pos="0"/>
          <w:tab w:val="right" w:pos="9214"/>
        </w:tabs>
        <w:spacing w:before="120" w:line="276" w:lineRule="auto"/>
        <w:jc w:val="both"/>
        <w:rPr>
          <w:rFonts w:ascii="Verdana" w:hAnsi="Verdana"/>
          <w:sz w:val="20"/>
        </w:rPr>
      </w:pPr>
    </w:p>
    <w:tbl>
      <w:tblPr>
        <w:tblW w:w="0" w:type="auto"/>
        <w:tblBorders>
          <w:top w:val="single" w:sz="4" w:space="0" w:color="auto"/>
          <w:bottom w:val="single" w:sz="4" w:space="0" w:color="auto"/>
        </w:tblBorders>
        <w:tblLook w:val="04A0" w:firstRow="1" w:lastRow="0" w:firstColumn="1" w:lastColumn="0" w:noHBand="0" w:noVBand="1"/>
      </w:tblPr>
      <w:tblGrid>
        <w:gridCol w:w="528"/>
        <w:gridCol w:w="8670"/>
      </w:tblGrid>
      <w:tr w:rsidR="00DE4852" w:rsidRPr="00937B75" w:rsidTr="00715D70">
        <w:tc>
          <w:tcPr>
            <w:tcW w:w="528" w:type="dxa"/>
            <w:vAlign w:val="center"/>
          </w:tcPr>
          <w:p w:rsidR="00DE4852" w:rsidRPr="00937B75" w:rsidRDefault="00DE4852" w:rsidP="00DE4852">
            <w:pPr>
              <w:pStyle w:val="BodyText"/>
              <w:spacing w:after="0" w:line="276" w:lineRule="auto"/>
              <w:jc w:val="center"/>
              <w:rPr>
                <w:rFonts w:ascii="Verdana" w:hAnsi="Verdana"/>
                <w:color w:val="548DD4"/>
                <w:sz w:val="36"/>
                <w:szCs w:val="36"/>
              </w:rPr>
            </w:pPr>
            <w:r w:rsidRPr="00937B75">
              <w:rPr>
                <w:rFonts w:ascii="Verdana" w:hAnsi="Verdana"/>
                <w:color w:val="548DD4"/>
                <w:sz w:val="36"/>
                <w:szCs w:val="36"/>
              </w:rPr>
              <w:lastRenderedPageBreak/>
              <w:t>?</w:t>
            </w:r>
          </w:p>
        </w:tc>
        <w:tc>
          <w:tcPr>
            <w:tcW w:w="8670" w:type="dxa"/>
            <w:shd w:val="clear" w:color="auto" w:fill="B8CCE4"/>
          </w:tcPr>
          <w:p w:rsidR="00DE4852" w:rsidRPr="00937B75" w:rsidRDefault="00DE4852" w:rsidP="00715D70">
            <w:pPr>
              <w:autoSpaceDE w:val="0"/>
              <w:autoSpaceDN w:val="0"/>
              <w:adjustRightInd w:val="0"/>
              <w:spacing w:before="120" w:after="120" w:line="240" w:lineRule="auto"/>
              <w:ind w:left="115"/>
              <w:rPr>
                <w:rFonts w:ascii="Verdana" w:hAnsi="Verdana"/>
                <w:sz w:val="20"/>
                <w:szCs w:val="20"/>
                <w:lang w:val="bg-BG"/>
              </w:rPr>
            </w:pPr>
            <w:r w:rsidRPr="00937B75">
              <w:rPr>
                <w:rFonts w:ascii="Verdana" w:hAnsi="Verdana"/>
                <w:sz w:val="20"/>
                <w:szCs w:val="20"/>
                <w:lang w:val="bg-BG"/>
              </w:rPr>
              <w:t>Адекватност на определените допустими бенефициенти и целеви групи;</w:t>
            </w:r>
          </w:p>
        </w:tc>
      </w:tr>
    </w:tbl>
    <w:p w:rsidR="004E3258" w:rsidRPr="00B45B4F" w:rsidRDefault="004E3258" w:rsidP="00FA776A">
      <w:pPr>
        <w:keepNext/>
        <w:pBdr>
          <w:bottom w:val="single" w:sz="4" w:space="1" w:color="0070C0"/>
        </w:pBdr>
        <w:spacing w:before="360" w:after="120"/>
        <w:jc w:val="both"/>
        <w:rPr>
          <w:rFonts w:ascii="Verdana" w:hAnsi="Verdana"/>
          <w:color w:val="0070C0"/>
          <w:sz w:val="20"/>
          <w:szCs w:val="20"/>
          <w:lang w:val="bg-BG" w:eastAsia="cs-CZ"/>
        </w:rPr>
      </w:pPr>
      <w:r w:rsidRPr="00B45B4F">
        <w:rPr>
          <w:rFonts w:ascii="Verdana" w:hAnsi="Verdana"/>
          <w:color w:val="0070C0"/>
          <w:sz w:val="20"/>
          <w:szCs w:val="20"/>
          <w:lang w:val="bg-BG" w:eastAsia="cs-CZ"/>
        </w:rPr>
        <w:t>ПО1. Научни изследвания и технологично развитие</w:t>
      </w:r>
    </w:p>
    <w:p w:rsidR="004E3258" w:rsidRPr="00B45B4F" w:rsidRDefault="004E3258" w:rsidP="002E567A">
      <w:pPr>
        <w:pStyle w:val="BodyText"/>
        <w:tabs>
          <w:tab w:val="left" w:pos="0"/>
          <w:tab w:val="right" w:pos="9214"/>
        </w:tabs>
        <w:spacing w:before="240" w:line="276" w:lineRule="auto"/>
        <w:jc w:val="both"/>
        <w:rPr>
          <w:rFonts w:ascii="Verdana" w:hAnsi="Verdana"/>
          <w:sz w:val="20"/>
          <w:szCs w:val="20"/>
        </w:rPr>
      </w:pPr>
      <w:bookmarkStart w:id="91" w:name="_Toc373747267"/>
      <w:bookmarkStart w:id="92" w:name="_Toc379364681"/>
      <w:bookmarkStart w:id="93" w:name="_Toc395612581"/>
      <w:r w:rsidRPr="00B45B4F">
        <w:rPr>
          <w:rFonts w:ascii="Verdana" w:hAnsi="Verdana"/>
          <w:b/>
          <w:color w:val="548DD4" w:themeColor="text2" w:themeTint="99"/>
          <w:sz w:val="20"/>
          <w:szCs w:val="20"/>
        </w:rPr>
        <w:t xml:space="preserve">Таблица </w:t>
      </w:r>
      <w:r w:rsidR="00BF1936" w:rsidRPr="00B45B4F">
        <w:rPr>
          <w:rFonts w:ascii="Verdana" w:hAnsi="Verdana"/>
          <w:b/>
          <w:color w:val="548DD4" w:themeColor="text2" w:themeTint="99"/>
          <w:sz w:val="20"/>
          <w:szCs w:val="20"/>
        </w:rPr>
        <w:fldChar w:fldCharType="begin"/>
      </w:r>
      <w:r w:rsidRPr="00B45B4F">
        <w:rPr>
          <w:rFonts w:ascii="Verdana" w:hAnsi="Verdana"/>
          <w:b/>
          <w:color w:val="548DD4" w:themeColor="text2" w:themeTint="99"/>
          <w:sz w:val="20"/>
          <w:szCs w:val="20"/>
        </w:rPr>
        <w:instrText xml:space="preserve"> SEQ таблица \* ARABIC </w:instrText>
      </w:r>
      <w:r w:rsidR="00BF1936" w:rsidRPr="00B45B4F">
        <w:rPr>
          <w:rFonts w:ascii="Verdana" w:hAnsi="Verdana"/>
          <w:b/>
          <w:color w:val="548DD4" w:themeColor="text2" w:themeTint="99"/>
          <w:sz w:val="20"/>
          <w:szCs w:val="20"/>
        </w:rPr>
        <w:fldChar w:fldCharType="separate"/>
      </w:r>
      <w:r w:rsidR="001361E0">
        <w:rPr>
          <w:rFonts w:ascii="Verdana" w:hAnsi="Verdana"/>
          <w:b/>
          <w:noProof/>
          <w:color w:val="548DD4" w:themeColor="text2" w:themeTint="99"/>
          <w:sz w:val="20"/>
          <w:szCs w:val="20"/>
        </w:rPr>
        <w:t>25</w:t>
      </w:r>
      <w:r w:rsidR="00BF1936" w:rsidRPr="00B45B4F">
        <w:rPr>
          <w:rFonts w:ascii="Verdana" w:hAnsi="Verdana"/>
          <w:b/>
          <w:color w:val="548DD4" w:themeColor="text2" w:themeTint="99"/>
          <w:sz w:val="20"/>
          <w:szCs w:val="20"/>
        </w:rPr>
        <w:fldChar w:fldCharType="end"/>
      </w:r>
      <w:r w:rsidRPr="00B45B4F">
        <w:rPr>
          <w:rFonts w:ascii="Verdana" w:hAnsi="Verdana"/>
          <w:b/>
          <w:color w:val="548DD4" w:themeColor="text2" w:themeTint="99"/>
          <w:sz w:val="20"/>
          <w:szCs w:val="20"/>
        </w:rPr>
        <w:t>. ПО</w:t>
      </w:r>
      <w:r w:rsidR="00057F10" w:rsidRPr="00B45B4F">
        <w:rPr>
          <w:rFonts w:ascii="Verdana" w:hAnsi="Verdana"/>
          <w:b/>
          <w:color w:val="548DD4" w:themeColor="text2" w:themeTint="99"/>
          <w:sz w:val="20"/>
          <w:szCs w:val="20"/>
        </w:rPr>
        <w:t>1</w:t>
      </w:r>
      <w:r w:rsidRPr="00B45B4F">
        <w:rPr>
          <w:rFonts w:ascii="Verdana" w:hAnsi="Verdana"/>
          <w:b/>
          <w:color w:val="548DD4" w:themeColor="text2" w:themeTint="99"/>
          <w:sz w:val="20"/>
          <w:szCs w:val="20"/>
        </w:rPr>
        <w:t xml:space="preserve"> – Анализ на бенефициенти и целеви групи</w:t>
      </w:r>
      <w:bookmarkEnd w:id="91"/>
      <w:bookmarkEnd w:id="92"/>
      <w:bookmarkEnd w:id="93"/>
    </w:p>
    <w:tbl>
      <w:tblPr>
        <w:tblW w:w="9107" w:type="dxa"/>
        <w:tblInd w:w="91" w:type="dxa"/>
        <w:tblBorders>
          <w:top w:val="single" w:sz="8" w:space="0" w:color="17365D"/>
          <w:left w:val="single" w:sz="8" w:space="0" w:color="17365D"/>
          <w:bottom w:val="single" w:sz="8" w:space="0" w:color="17365D"/>
          <w:right w:val="single" w:sz="8" w:space="0" w:color="17365D"/>
          <w:insideH w:val="single" w:sz="8" w:space="0" w:color="17365D"/>
          <w:insideV w:val="single" w:sz="8" w:space="0" w:color="17365D"/>
        </w:tblBorders>
        <w:tblLook w:val="04A0" w:firstRow="1" w:lastRow="0" w:firstColumn="1" w:lastColumn="0" w:noHBand="0" w:noVBand="1"/>
      </w:tblPr>
      <w:tblGrid>
        <w:gridCol w:w="2987"/>
        <w:gridCol w:w="3060"/>
        <w:gridCol w:w="3060"/>
      </w:tblGrid>
      <w:tr w:rsidR="00795A4F" w:rsidRPr="00B45B4F" w:rsidTr="002E567A">
        <w:trPr>
          <w:trHeight w:val="525"/>
        </w:trPr>
        <w:tc>
          <w:tcPr>
            <w:tcW w:w="2987" w:type="dxa"/>
            <w:shd w:val="clear" w:color="000000" w:fill="548DD4"/>
            <w:vAlign w:val="center"/>
            <w:hideMark/>
          </w:tcPr>
          <w:p w:rsidR="00795A4F" w:rsidRPr="00B45B4F" w:rsidRDefault="00795A4F" w:rsidP="002E567A">
            <w:pPr>
              <w:spacing w:after="0" w:line="240" w:lineRule="auto"/>
              <w:jc w:val="center"/>
              <w:rPr>
                <w:rFonts w:ascii="Verdana" w:eastAsia="Times New Roman" w:hAnsi="Verdana"/>
                <w:b/>
                <w:bCs/>
                <w:color w:val="FFFFFF"/>
                <w:sz w:val="20"/>
                <w:szCs w:val="20"/>
                <w:lang w:val="bg-BG"/>
              </w:rPr>
            </w:pPr>
            <w:r w:rsidRPr="00B45B4F">
              <w:rPr>
                <w:rFonts w:ascii="Verdana" w:eastAsia="Times New Roman" w:hAnsi="Verdana"/>
                <w:b/>
                <w:bCs/>
                <w:color w:val="FFFFFF"/>
                <w:sz w:val="20"/>
                <w:szCs w:val="20"/>
                <w:lang w:val="bg-BG"/>
              </w:rPr>
              <w:t>Инвестиционен приоритет</w:t>
            </w:r>
          </w:p>
        </w:tc>
        <w:tc>
          <w:tcPr>
            <w:tcW w:w="3060" w:type="dxa"/>
            <w:shd w:val="clear" w:color="000000" w:fill="548DD4"/>
            <w:vAlign w:val="center"/>
            <w:hideMark/>
          </w:tcPr>
          <w:p w:rsidR="00795A4F" w:rsidRPr="00B45B4F" w:rsidRDefault="00795A4F" w:rsidP="002E567A">
            <w:pPr>
              <w:spacing w:after="0" w:line="240" w:lineRule="auto"/>
              <w:jc w:val="center"/>
              <w:rPr>
                <w:rFonts w:ascii="Verdana" w:eastAsia="Times New Roman" w:hAnsi="Verdana"/>
                <w:b/>
                <w:bCs/>
                <w:color w:val="FFFFFF"/>
                <w:sz w:val="20"/>
                <w:szCs w:val="20"/>
                <w:lang w:val="bg-BG"/>
              </w:rPr>
            </w:pPr>
            <w:r w:rsidRPr="00B45B4F">
              <w:rPr>
                <w:rFonts w:ascii="Verdana" w:eastAsia="Times New Roman" w:hAnsi="Verdana"/>
                <w:b/>
                <w:bCs/>
                <w:color w:val="FFFFFF"/>
                <w:sz w:val="20"/>
                <w:szCs w:val="20"/>
                <w:lang w:val="bg-BG"/>
              </w:rPr>
              <w:t>Допустими бенефициенти  (Коментар)</w:t>
            </w:r>
          </w:p>
        </w:tc>
        <w:tc>
          <w:tcPr>
            <w:tcW w:w="3060" w:type="dxa"/>
            <w:shd w:val="clear" w:color="000000" w:fill="548DD4"/>
            <w:vAlign w:val="center"/>
            <w:hideMark/>
          </w:tcPr>
          <w:p w:rsidR="00795A4F" w:rsidRPr="00B45B4F" w:rsidRDefault="00795A4F" w:rsidP="002E567A">
            <w:pPr>
              <w:spacing w:after="0" w:line="240" w:lineRule="auto"/>
              <w:jc w:val="center"/>
              <w:rPr>
                <w:rFonts w:ascii="Verdana" w:eastAsia="Times New Roman" w:hAnsi="Verdana"/>
                <w:b/>
                <w:bCs/>
                <w:color w:val="FFFFFF"/>
                <w:sz w:val="20"/>
                <w:szCs w:val="20"/>
                <w:lang w:val="bg-BG"/>
              </w:rPr>
            </w:pPr>
            <w:r w:rsidRPr="00B45B4F">
              <w:rPr>
                <w:rFonts w:ascii="Verdana" w:eastAsia="Times New Roman" w:hAnsi="Verdana"/>
                <w:b/>
                <w:bCs/>
                <w:color w:val="FFFFFF"/>
                <w:sz w:val="20"/>
                <w:szCs w:val="20"/>
                <w:lang w:val="bg-BG"/>
              </w:rPr>
              <w:t>Целеви групи (Коментар)</w:t>
            </w:r>
          </w:p>
        </w:tc>
      </w:tr>
      <w:tr w:rsidR="00795A4F" w:rsidRPr="00B45B4F" w:rsidTr="002F203A">
        <w:tc>
          <w:tcPr>
            <w:tcW w:w="2987" w:type="dxa"/>
            <w:shd w:val="clear" w:color="auto" w:fill="auto"/>
            <w:hideMark/>
          </w:tcPr>
          <w:p w:rsidR="00795A4F" w:rsidRPr="00B45B4F" w:rsidRDefault="00795A4F" w:rsidP="00795A4F">
            <w:pPr>
              <w:spacing w:after="0" w:line="240" w:lineRule="auto"/>
              <w:rPr>
                <w:rFonts w:ascii="Verdana" w:eastAsia="Times New Roman" w:hAnsi="Verdana"/>
                <w:b/>
                <w:bCs/>
                <w:color w:val="000000"/>
                <w:sz w:val="20"/>
                <w:szCs w:val="20"/>
                <w:lang w:val="bg-BG"/>
              </w:rPr>
            </w:pPr>
            <w:r w:rsidRPr="00B45B4F">
              <w:rPr>
                <w:rFonts w:ascii="Verdana" w:eastAsia="Times New Roman" w:hAnsi="Verdana"/>
                <w:b/>
                <w:bCs/>
                <w:color w:val="000000"/>
                <w:sz w:val="20"/>
                <w:szCs w:val="20"/>
                <w:lang w:val="bg-BG"/>
              </w:rPr>
              <w:t xml:space="preserve">Инвестиционен приоритет 1: </w:t>
            </w:r>
            <w:r w:rsidRPr="00B45B4F">
              <w:rPr>
                <w:rFonts w:ascii="Verdana" w:eastAsia="Times New Roman" w:hAnsi="Verdana"/>
                <w:i/>
                <w:iCs/>
                <w:color w:val="000000"/>
                <w:sz w:val="20"/>
                <w:szCs w:val="20"/>
                <w:lang w:val="bg-BG"/>
              </w:rPr>
              <w:t>Укрепване на инфраструктурата, необходима за научноизследователска и иновационна дейност (НИД) и на капацитета за реализиране на достижения в областта на научноизследователската и иновационната дейност и насърчаване на центрове на компетентност, по-специално центрове, които са от интерес за Европа</w:t>
            </w:r>
          </w:p>
        </w:tc>
        <w:tc>
          <w:tcPr>
            <w:tcW w:w="3060" w:type="dxa"/>
            <w:shd w:val="clear" w:color="auto" w:fill="auto"/>
            <w:hideMark/>
          </w:tcPr>
          <w:p w:rsidR="002F203A" w:rsidRDefault="00517E2D" w:rsidP="002F203A">
            <w:pPr>
              <w:spacing w:after="0" w:line="240" w:lineRule="auto"/>
              <w:rPr>
                <w:rFonts w:ascii="Verdana" w:eastAsia="Times New Roman" w:hAnsi="Verdana"/>
                <w:i/>
                <w:iCs/>
                <w:color w:val="000000"/>
                <w:sz w:val="20"/>
                <w:szCs w:val="20"/>
                <w:lang w:val="bg-BG"/>
              </w:rPr>
            </w:pPr>
            <w:r>
              <w:rPr>
                <w:rFonts w:ascii="Verdana" w:eastAsia="Times New Roman" w:hAnsi="Verdana"/>
                <w:color w:val="000000"/>
                <w:sz w:val="20"/>
                <w:szCs w:val="20"/>
                <w:lang w:val="bg-BG"/>
              </w:rPr>
              <w:t>Като бенефици</w:t>
            </w:r>
            <w:r w:rsidR="00795A4F" w:rsidRPr="00B45B4F">
              <w:rPr>
                <w:rFonts w:ascii="Verdana" w:eastAsia="Times New Roman" w:hAnsi="Verdana"/>
                <w:color w:val="000000"/>
                <w:sz w:val="20"/>
                <w:szCs w:val="20"/>
                <w:lang w:val="bg-BG"/>
              </w:rPr>
              <w:t>е</w:t>
            </w:r>
            <w:r>
              <w:rPr>
                <w:rFonts w:ascii="Verdana" w:eastAsia="Times New Roman" w:hAnsi="Verdana"/>
                <w:color w:val="000000"/>
                <w:sz w:val="20"/>
                <w:szCs w:val="20"/>
                <w:lang w:val="bg-BG"/>
              </w:rPr>
              <w:t>н</w:t>
            </w:r>
            <w:r w:rsidR="00795A4F" w:rsidRPr="00B45B4F">
              <w:rPr>
                <w:rFonts w:ascii="Verdana" w:eastAsia="Times New Roman" w:hAnsi="Verdana"/>
                <w:color w:val="000000"/>
                <w:sz w:val="20"/>
                <w:szCs w:val="20"/>
                <w:lang w:val="bg-BG"/>
              </w:rPr>
              <w:t xml:space="preserve">ти са посочени: </w:t>
            </w:r>
            <w:r w:rsidR="000F3BDC" w:rsidRPr="00FE5A49">
              <w:rPr>
                <w:rFonts w:ascii="Verdana" w:eastAsia="Times New Roman" w:hAnsi="Verdana"/>
                <w:i/>
                <w:iCs/>
                <w:color w:val="000000"/>
                <w:sz w:val="20"/>
                <w:szCs w:val="20"/>
                <w:lang w:val="bg-BG"/>
              </w:rPr>
              <w:t>Публични и частни научни организации, институти, лаборатории, предприятия за НИРД  (включително БАН и ССА), висши училища и/или техни основни звена, центрове за върхови постижения, центрове за компетентност, МОН и второстепенни разпоредители, Изпълнителна агенция „Електронни съобщителни мрежи и информационни системи” (ИА ЕСМИС)</w:t>
            </w:r>
          </w:p>
          <w:p w:rsidR="002F203A" w:rsidRDefault="002F203A" w:rsidP="002F203A">
            <w:pPr>
              <w:spacing w:after="0" w:line="240" w:lineRule="auto"/>
              <w:rPr>
                <w:rFonts w:ascii="Verdana" w:eastAsia="Times New Roman" w:hAnsi="Verdana"/>
                <w:i/>
                <w:iCs/>
                <w:color w:val="000000"/>
                <w:sz w:val="20"/>
                <w:szCs w:val="20"/>
                <w:lang w:val="bg-BG"/>
              </w:rPr>
            </w:pPr>
          </w:p>
          <w:p w:rsidR="002F203A" w:rsidRDefault="00795A4F" w:rsidP="002F203A">
            <w:pPr>
              <w:spacing w:after="0" w:line="240" w:lineRule="auto"/>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 xml:space="preserve">Не е ясно защо като бенефициенти са посочени МОН и второстепенни разпоредители с бюджетни кредити, както и Изпълнителна агенция „Електронни съобщителни мрежи и информационни системи”. </w:t>
            </w:r>
          </w:p>
          <w:p w:rsidR="002F203A" w:rsidRDefault="002F203A" w:rsidP="002F203A">
            <w:pPr>
              <w:spacing w:after="0" w:line="240" w:lineRule="auto"/>
              <w:rPr>
                <w:rFonts w:ascii="Verdana" w:eastAsia="Times New Roman" w:hAnsi="Verdana"/>
                <w:color w:val="000000"/>
                <w:sz w:val="20"/>
                <w:szCs w:val="20"/>
                <w:lang w:val="bg-BG"/>
              </w:rPr>
            </w:pPr>
          </w:p>
          <w:p w:rsidR="00795A4F" w:rsidRPr="00B45B4F" w:rsidRDefault="00795A4F" w:rsidP="002F203A">
            <w:pPr>
              <w:spacing w:after="0" w:line="240" w:lineRule="auto"/>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Останалите бенефициенти са релевантни към поставените цели и предвидените дейности.</w:t>
            </w:r>
          </w:p>
        </w:tc>
        <w:tc>
          <w:tcPr>
            <w:tcW w:w="3060" w:type="dxa"/>
            <w:shd w:val="clear" w:color="auto" w:fill="auto"/>
            <w:hideMark/>
          </w:tcPr>
          <w:p w:rsidR="002F203A" w:rsidRDefault="00795A4F" w:rsidP="002F203A">
            <w:pPr>
              <w:spacing w:after="0" w:line="240" w:lineRule="auto"/>
              <w:rPr>
                <w:rFonts w:ascii="Verdana" w:eastAsia="Times New Roman" w:hAnsi="Verdana"/>
                <w:i/>
                <w:iCs/>
                <w:color w:val="000000"/>
                <w:sz w:val="20"/>
                <w:szCs w:val="20"/>
                <w:lang w:val="bg-BG"/>
              </w:rPr>
            </w:pPr>
            <w:r w:rsidRPr="00B45B4F">
              <w:rPr>
                <w:rFonts w:ascii="Verdana" w:eastAsia="Times New Roman" w:hAnsi="Verdana"/>
                <w:color w:val="000000"/>
                <w:sz w:val="20"/>
                <w:szCs w:val="20"/>
                <w:lang w:val="bg-BG"/>
              </w:rPr>
              <w:t xml:space="preserve">В целевите групи са посочени: </w:t>
            </w:r>
            <w:r w:rsidR="00505682" w:rsidRPr="00FE5A49">
              <w:rPr>
                <w:rFonts w:ascii="Verdana" w:eastAsia="Times New Roman" w:hAnsi="Verdana"/>
                <w:i/>
                <w:iCs/>
                <w:color w:val="000000"/>
                <w:sz w:val="20"/>
                <w:szCs w:val="20"/>
                <w:lang w:val="bg-BG"/>
              </w:rPr>
              <w:t>Изследователи, предприемачи, иноватори, преподаватели, докторанти, пост-докторанти, млади учени, специализанти, участници в научни изследвания, студенти, ученици</w:t>
            </w:r>
            <w:r w:rsidRPr="00B45B4F">
              <w:rPr>
                <w:rFonts w:ascii="Verdana" w:eastAsia="Times New Roman" w:hAnsi="Verdana"/>
                <w:i/>
                <w:iCs/>
                <w:color w:val="000000"/>
                <w:sz w:val="20"/>
                <w:szCs w:val="20"/>
                <w:lang w:val="bg-BG"/>
              </w:rPr>
              <w:t>.</w:t>
            </w:r>
          </w:p>
          <w:p w:rsidR="00F224CD" w:rsidRDefault="00F224CD" w:rsidP="002F203A">
            <w:pPr>
              <w:spacing w:after="0" w:line="240" w:lineRule="auto"/>
              <w:rPr>
                <w:rFonts w:ascii="Verdana" w:eastAsia="Times New Roman" w:hAnsi="Verdana"/>
                <w:i/>
                <w:iCs/>
                <w:color w:val="000000"/>
                <w:sz w:val="20"/>
                <w:szCs w:val="20"/>
                <w:lang w:val="bg-BG"/>
              </w:rPr>
            </w:pPr>
          </w:p>
          <w:p w:rsidR="00795A4F" w:rsidRPr="00B45B4F" w:rsidRDefault="00795A4F" w:rsidP="002F203A">
            <w:pPr>
              <w:spacing w:after="0" w:line="240" w:lineRule="auto"/>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Целевите групи са уместно определени с изключение на учениците, които не са основна целева група. Косвено, в някои случаи на сътрудничество между университети или научни институции с училища, учениците биха били също облагодете</w:t>
            </w:r>
            <w:r w:rsidR="008A03FD">
              <w:rPr>
                <w:rFonts w:ascii="Verdana" w:eastAsia="Times New Roman" w:hAnsi="Verdana"/>
                <w:color w:val="000000"/>
                <w:sz w:val="20"/>
                <w:szCs w:val="20"/>
                <w:lang w:val="bg-BG"/>
              </w:rPr>
              <w:t>л</w:t>
            </w:r>
            <w:r w:rsidRPr="00B45B4F">
              <w:rPr>
                <w:rFonts w:ascii="Verdana" w:eastAsia="Times New Roman" w:hAnsi="Verdana"/>
                <w:color w:val="000000"/>
                <w:sz w:val="20"/>
                <w:szCs w:val="20"/>
                <w:lang w:val="bg-BG"/>
              </w:rPr>
              <w:t>ствани от предоставената подкрепа.</w:t>
            </w:r>
          </w:p>
        </w:tc>
      </w:tr>
      <w:tr w:rsidR="00795A4F" w:rsidRPr="00B45B4F" w:rsidTr="00FE5A49">
        <w:trPr>
          <w:trHeight w:val="3245"/>
        </w:trPr>
        <w:tc>
          <w:tcPr>
            <w:tcW w:w="2987" w:type="dxa"/>
            <w:shd w:val="clear" w:color="auto" w:fill="auto"/>
            <w:hideMark/>
          </w:tcPr>
          <w:p w:rsidR="00795A4F" w:rsidRPr="00B45B4F" w:rsidRDefault="00795A4F" w:rsidP="00795A4F">
            <w:pPr>
              <w:spacing w:after="0" w:line="240" w:lineRule="auto"/>
              <w:rPr>
                <w:rFonts w:ascii="Verdana" w:eastAsia="Times New Roman" w:hAnsi="Verdana"/>
                <w:b/>
                <w:bCs/>
                <w:color w:val="000000"/>
                <w:sz w:val="20"/>
                <w:szCs w:val="20"/>
                <w:lang w:val="bg-BG"/>
              </w:rPr>
            </w:pPr>
            <w:r w:rsidRPr="00B45B4F">
              <w:rPr>
                <w:rFonts w:ascii="Verdana" w:eastAsia="Times New Roman" w:hAnsi="Verdana"/>
                <w:b/>
                <w:bCs/>
                <w:color w:val="000000"/>
                <w:sz w:val="20"/>
                <w:szCs w:val="20"/>
                <w:lang w:val="bg-BG"/>
              </w:rPr>
              <w:lastRenderedPageBreak/>
              <w:t xml:space="preserve">Инвестиционен приоритет 2: </w:t>
            </w:r>
            <w:r w:rsidRPr="00B45B4F">
              <w:rPr>
                <w:rFonts w:ascii="Verdana" w:eastAsia="Times New Roman" w:hAnsi="Verdana"/>
                <w:i/>
                <w:iCs/>
                <w:color w:val="000000"/>
                <w:sz w:val="20"/>
                <w:szCs w:val="20"/>
                <w:lang w:val="bg-BG"/>
              </w:rPr>
              <w:t xml:space="preserve">Насърчаване на инвестициите на предприятията в НИД, разработване на връзки и взаимодействие между предприятията, центровете за научноизследователска и развойна дейност и сектора на висшите учебни заведения, по-специално поощряване на инвестициите в разработването на продукти и услуги, на трансфера на технологии, на социалната иновация, </w:t>
            </w:r>
            <w:proofErr w:type="spellStart"/>
            <w:r w:rsidRPr="00B45B4F">
              <w:rPr>
                <w:rFonts w:ascii="Verdana" w:eastAsia="Times New Roman" w:hAnsi="Verdana"/>
                <w:i/>
                <w:iCs/>
                <w:color w:val="000000"/>
                <w:sz w:val="20"/>
                <w:szCs w:val="20"/>
                <w:lang w:val="bg-BG"/>
              </w:rPr>
              <w:t>екоиновациите</w:t>
            </w:r>
            <w:proofErr w:type="spellEnd"/>
            <w:r w:rsidRPr="00B45B4F">
              <w:rPr>
                <w:rFonts w:ascii="Verdana" w:eastAsia="Times New Roman" w:hAnsi="Verdana"/>
                <w:i/>
                <w:iCs/>
                <w:color w:val="000000"/>
                <w:sz w:val="20"/>
                <w:szCs w:val="20"/>
                <w:lang w:val="bg-BG"/>
              </w:rPr>
              <w:t xml:space="preserve"> и приложенията за публични услуги, на стимулирането на търсенето, на изграждането на мрежи, на клъстерите и на отворените иновации посредством интелигентна специализация и подпомагане на технологичните и приложните научни изследвания, пилотни линии, действия за одобрение на продуктите на начален етап, усъвършенствани производствени възможности и пилотно производство, по-специално в ключови базови технологии, както и разпространението на технологии с общо предназначение</w:t>
            </w:r>
          </w:p>
        </w:tc>
        <w:tc>
          <w:tcPr>
            <w:tcW w:w="3060" w:type="dxa"/>
            <w:shd w:val="clear" w:color="auto" w:fill="auto"/>
            <w:hideMark/>
          </w:tcPr>
          <w:p w:rsidR="00795A4F" w:rsidRPr="00B45B4F" w:rsidRDefault="00795A4F" w:rsidP="00795A4F">
            <w:pPr>
              <w:spacing w:after="0" w:line="240" w:lineRule="auto"/>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 xml:space="preserve">Като бенефициенти са определени: </w:t>
            </w:r>
            <w:r w:rsidRPr="00B45B4F">
              <w:rPr>
                <w:rFonts w:ascii="Verdana" w:eastAsia="Times New Roman" w:hAnsi="Verdana"/>
                <w:i/>
                <w:iCs/>
                <w:color w:val="000000"/>
                <w:sz w:val="20"/>
                <w:szCs w:val="20"/>
                <w:lang w:val="bg-BG"/>
              </w:rPr>
              <w:t>Научни организации (включително БАН и ССА), научни институти, висши училища и/или техни основни звена, центрове за върхови постижения, центрове за компетентност, МОН.</w:t>
            </w:r>
            <w:r w:rsidRPr="00B45B4F">
              <w:rPr>
                <w:rFonts w:ascii="Verdana" w:eastAsia="Times New Roman" w:hAnsi="Verdana"/>
                <w:i/>
                <w:iCs/>
                <w:color w:val="000000"/>
                <w:sz w:val="20"/>
                <w:szCs w:val="20"/>
                <w:lang w:val="bg-BG"/>
              </w:rPr>
              <w:br/>
            </w:r>
            <w:r w:rsidRPr="00B45B4F">
              <w:rPr>
                <w:rFonts w:ascii="Verdana" w:eastAsia="Times New Roman" w:hAnsi="Verdana"/>
                <w:color w:val="000000"/>
                <w:sz w:val="20"/>
                <w:szCs w:val="20"/>
                <w:lang w:val="bg-BG"/>
              </w:rPr>
              <w:br/>
              <w:t>Бенефициентите са адекватно определени. Единствено включването на МОН както бенефициент не е ясно какви нужди и дейности покрива.</w:t>
            </w:r>
          </w:p>
        </w:tc>
        <w:tc>
          <w:tcPr>
            <w:tcW w:w="3060" w:type="dxa"/>
            <w:shd w:val="clear" w:color="auto" w:fill="auto"/>
            <w:hideMark/>
          </w:tcPr>
          <w:p w:rsidR="00795A4F" w:rsidRPr="00B45B4F" w:rsidRDefault="00795A4F" w:rsidP="00795A4F">
            <w:pPr>
              <w:spacing w:after="0" w:line="240" w:lineRule="auto"/>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 xml:space="preserve">В целевите групи са посочени: </w:t>
            </w:r>
            <w:r w:rsidRPr="00B45B4F">
              <w:rPr>
                <w:rFonts w:ascii="Verdana" w:eastAsia="Times New Roman" w:hAnsi="Verdana"/>
                <w:i/>
                <w:iCs/>
                <w:color w:val="000000"/>
                <w:sz w:val="20"/>
                <w:szCs w:val="20"/>
                <w:lang w:val="bg-BG"/>
              </w:rPr>
              <w:t>Изследователи, преподаватели, докторанти, пост-докторанти, млади учени, специализанти, студенти, ученици.</w:t>
            </w:r>
            <w:r w:rsidRPr="00B45B4F">
              <w:rPr>
                <w:rFonts w:ascii="Verdana" w:eastAsia="Times New Roman" w:hAnsi="Verdana"/>
                <w:i/>
                <w:iCs/>
                <w:color w:val="000000"/>
                <w:sz w:val="20"/>
                <w:szCs w:val="20"/>
                <w:lang w:val="bg-BG"/>
              </w:rPr>
              <w:br/>
            </w:r>
            <w:r w:rsidRPr="00B45B4F">
              <w:rPr>
                <w:rFonts w:ascii="Verdana" w:eastAsia="Times New Roman" w:hAnsi="Verdana"/>
                <w:color w:val="000000"/>
                <w:sz w:val="20"/>
                <w:szCs w:val="20"/>
                <w:lang w:val="bg-BG"/>
              </w:rPr>
              <w:br/>
              <w:t>Целевите групи са адекватно определени.</w:t>
            </w:r>
          </w:p>
        </w:tc>
      </w:tr>
    </w:tbl>
    <w:p w:rsidR="00517E2D" w:rsidRPr="00154907" w:rsidRDefault="00517E2D" w:rsidP="00154907">
      <w:pPr>
        <w:pStyle w:val="BodyText"/>
        <w:widowControl w:val="0"/>
        <w:tabs>
          <w:tab w:val="left" w:pos="0"/>
          <w:tab w:val="right" w:pos="9214"/>
        </w:tabs>
        <w:spacing w:before="120" w:line="276" w:lineRule="auto"/>
        <w:jc w:val="both"/>
        <w:rPr>
          <w:rFonts w:ascii="Verdana" w:hAnsi="Verdana"/>
          <w:sz w:val="20"/>
        </w:rPr>
      </w:pPr>
    </w:p>
    <w:p w:rsidR="00057F10" w:rsidRPr="00B45B4F" w:rsidRDefault="00057F10" w:rsidP="00FA776A">
      <w:pPr>
        <w:keepNext/>
        <w:pBdr>
          <w:bottom w:val="single" w:sz="4" w:space="1" w:color="0070C0"/>
        </w:pBdr>
        <w:spacing w:before="360" w:after="120"/>
        <w:jc w:val="both"/>
        <w:rPr>
          <w:rFonts w:ascii="Verdana" w:hAnsi="Verdana"/>
          <w:color w:val="0070C0"/>
          <w:sz w:val="20"/>
          <w:szCs w:val="20"/>
          <w:lang w:val="bg-BG" w:eastAsia="cs-CZ"/>
        </w:rPr>
      </w:pPr>
      <w:r w:rsidRPr="00B45B4F">
        <w:rPr>
          <w:rFonts w:ascii="Verdana" w:hAnsi="Verdana"/>
          <w:color w:val="0070C0"/>
          <w:sz w:val="20"/>
          <w:szCs w:val="20"/>
          <w:lang w:val="bg-BG" w:eastAsia="cs-CZ"/>
        </w:rPr>
        <w:lastRenderedPageBreak/>
        <w:t>ПО2. Образование и учене през целия живот</w:t>
      </w:r>
    </w:p>
    <w:p w:rsidR="00057F10" w:rsidRPr="00B45B4F" w:rsidRDefault="00057F10" w:rsidP="00666C98">
      <w:pPr>
        <w:pStyle w:val="BodyText"/>
        <w:keepNext/>
        <w:tabs>
          <w:tab w:val="left" w:pos="0"/>
          <w:tab w:val="right" w:pos="9214"/>
        </w:tabs>
        <w:spacing w:before="240" w:line="276" w:lineRule="auto"/>
        <w:jc w:val="both"/>
        <w:rPr>
          <w:rFonts w:ascii="Verdana" w:hAnsi="Verdana"/>
          <w:sz w:val="20"/>
          <w:szCs w:val="20"/>
        </w:rPr>
      </w:pPr>
      <w:bookmarkStart w:id="94" w:name="_Toc395612582"/>
      <w:r w:rsidRPr="00B45B4F">
        <w:rPr>
          <w:rFonts w:ascii="Verdana" w:hAnsi="Verdana"/>
          <w:b/>
          <w:color w:val="548DD4" w:themeColor="text2" w:themeTint="99"/>
          <w:sz w:val="20"/>
          <w:szCs w:val="20"/>
        </w:rPr>
        <w:t xml:space="preserve">Таблица </w:t>
      </w:r>
      <w:r w:rsidR="00BF1936" w:rsidRPr="00B45B4F">
        <w:rPr>
          <w:rFonts w:ascii="Verdana" w:hAnsi="Verdana"/>
          <w:b/>
          <w:color w:val="548DD4" w:themeColor="text2" w:themeTint="99"/>
          <w:sz w:val="20"/>
          <w:szCs w:val="20"/>
        </w:rPr>
        <w:fldChar w:fldCharType="begin"/>
      </w:r>
      <w:r w:rsidRPr="00B45B4F">
        <w:rPr>
          <w:rFonts w:ascii="Verdana" w:hAnsi="Verdana"/>
          <w:b/>
          <w:color w:val="548DD4" w:themeColor="text2" w:themeTint="99"/>
          <w:sz w:val="20"/>
          <w:szCs w:val="20"/>
        </w:rPr>
        <w:instrText xml:space="preserve"> SEQ таблица \* ARABIC </w:instrText>
      </w:r>
      <w:r w:rsidR="00BF1936" w:rsidRPr="00B45B4F">
        <w:rPr>
          <w:rFonts w:ascii="Verdana" w:hAnsi="Verdana"/>
          <w:b/>
          <w:color w:val="548DD4" w:themeColor="text2" w:themeTint="99"/>
          <w:sz w:val="20"/>
          <w:szCs w:val="20"/>
        </w:rPr>
        <w:fldChar w:fldCharType="separate"/>
      </w:r>
      <w:r w:rsidR="001361E0">
        <w:rPr>
          <w:rFonts w:ascii="Verdana" w:hAnsi="Verdana"/>
          <w:b/>
          <w:noProof/>
          <w:color w:val="548DD4" w:themeColor="text2" w:themeTint="99"/>
          <w:sz w:val="20"/>
          <w:szCs w:val="20"/>
        </w:rPr>
        <w:t>26</w:t>
      </w:r>
      <w:r w:rsidR="00BF1936" w:rsidRPr="00B45B4F">
        <w:rPr>
          <w:rFonts w:ascii="Verdana" w:hAnsi="Verdana"/>
          <w:b/>
          <w:color w:val="548DD4" w:themeColor="text2" w:themeTint="99"/>
          <w:sz w:val="20"/>
          <w:szCs w:val="20"/>
        </w:rPr>
        <w:fldChar w:fldCharType="end"/>
      </w:r>
      <w:r w:rsidRPr="00B45B4F">
        <w:rPr>
          <w:rFonts w:ascii="Verdana" w:hAnsi="Verdana"/>
          <w:b/>
          <w:color w:val="548DD4" w:themeColor="text2" w:themeTint="99"/>
          <w:sz w:val="20"/>
          <w:szCs w:val="20"/>
        </w:rPr>
        <w:t>. ПО2 – Анализ на бенефициенти и целеви групи</w:t>
      </w:r>
      <w:bookmarkEnd w:id="94"/>
    </w:p>
    <w:tbl>
      <w:tblPr>
        <w:tblW w:w="9107" w:type="dxa"/>
        <w:tblInd w:w="91" w:type="dxa"/>
        <w:tblBorders>
          <w:top w:val="single" w:sz="8" w:space="0" w:color="17365D"/>
          <w:left w:val="single" w:sz="8" w:space="0" w:color="17365D"/>
          <w:bottom w:val="single" w:sz="8" w:space="0" w:color="17365D"/>
          <w:right w:val="single" w:sz="8" w:space="0" w:color="17365D"/>
          <w:insideH w:val="single" w:sz="8" w:space="0" w:color="17365D"/>
          <w:insideV w:val="single" w:sz="8" w:space="0" w:color="17365D"/>
        </w:tblBorders>
        <w:tblLook w:val="04A0" w:firstRow="1" w:lastRow="0" w:firstColumn="1" w:lastColumn="0" w:noHBand="0" w:noVBand="1"/>
      </w:tblPr>
      <w:tblGrid>
        <w:gridCol w:w="3018"/>
        <w:gridCol w:w="3029"/>
        <w:gridCol w:w="3060"/>
      </w:tblGrid>
      <w:tr w:rsidR="003954E5" w:rsidRPr="00B45B4F" w:rsidTr="00B35B74">
        <w:trPr>
          <w:trHeight w:val="315"/>
        </w:trPr>
        <w:tc>
          <w:tcPr>
            <w:tcW w:w="3018" w:type="dxa"/>
            <w:shd w:val="clear" w:color="000000" w:fill="548DD4"/>
            <w:hideMark/>
          </w:tcPr>
          <w:p w:rsidR="003954E5" w:rsidRPr="00B45B4F" w:rsidRDefault="003954E5" w:rsidP="003954E5">
            <w:pPr>
              <w:spacing w:after="0" w:line="240" w:lineRule="auto"/>
              <w:jc w:val="center"/>
              <w:rPr>
                <w:rFonts w:ascii="Verdana" w:eastAsia="Times New Roman" w:hAnsi="Verdana"/>
                <w:b/>
                <w:bCs/>
                <w:color w:val="FFFFFF"/>
                <w:sz w:val="20"/>
                <w:szCs w:val="20"/>
                <w:lang w:val="bg-BG"/>
              </w:rPr>
            </w:pPr>
            <w:r w:rsidRPr="00B45B4F">
              <w:rPr>
                <w:rFonts w:ascii="Verdana" w:eastAsia="Times New Roman" w:hAnsi="Verdana"/>
                <w:b/>
                <w:bCs/>
                <w:color w:val="FFFFFF"/>
                <w:sz w:val="20"/>
                <w:szCs w:val="20"/>
                <w:lang w:val="bg-BG"/>
              </w:rPr>
              <w:t>Инвестиционен приоритет</w:t>
            </w:r>
          </w:p>
        </w:tc>
        <w:tc>
          <w:tcPr>
            <w:tcW w:w="3029" w:type="dxa"/>
            <w:shd w:val="clear" w:color="000000" w:fill="548DD4"/>
            <w:hideMark/>
          </w:tcPr>
          <w:p w:rsidR="003954E5" w:rsidRPr="00B45B4F" w:rsidRDefault="003954E5" w:rsidP="003954E5">
            <w:pPr>
              <w:spacing w:after="0" w:line="240" w:lineRule="auto"/>
              <w:jc w:val="center"/>
              <w:rPr>
                <w:rFonts w:ascii="Verdana" w:eastAsia="Times New Roman" w:hAnsi="Verdana"/>
                <w:b/>
                <w:bCs/>
                <w:color w:val="FFFFFF"/>
                <w:sz w:val="20"/>
                <w:szCs w:val="20"/>
                <w:lang w:val="bg-BG"/>
              </w:rPr>
            </w:pPr>
            <w:r w:rsidRPr="00B45B4F">
              <w:rPr>
                <w:rFonts w:ascii="Verdana" w:eastAsia="Times New Roman" w:hAnsi="Verdana"/>
                <w:b/>
                <w:bCs/>
                <w:color w:val="FFFFFF"/>
                <w:sz w:val="20"/>
                <w:szCs w:val="20"/>
                <w:lang w:val="bg-BG"/>
              </w:rPr>
              <w:t>Допустими бенефициенти (Коментар)</w:t>
            </w:r>
          </w:p>
        </w:tc>
        <w:tc>
          <w:tcPr>
            <w:tcW w:w="3060" w:type="dxa"/>
            <w:shd w:val="clear" w:color="000000" w:fill="548DD4"/>
            <w:hideMark/>
          </w:tcPr>
          <w:p w:rsidR="003954E5" w:rsidRPr="00B45B4F" w:rsidRDefault="003954E5" w:rsidP="003954E5">
            <w:pPr>
              <w:spacing w:after="0" w:line="240" w:lineRule="auto"/>
              <w:jc w:val="center"/>
              <w:rPr>
                <w:rFonts w:ascii="Verdana" w:eastAsia="Times New Roman" w:hAnsi="Verdana"/>
                <w:b/>
                <w:bCs/>
                <w:color w:val="FFFFFF"/>
                <w:sz w:val="20"/>
                <w:szCs w:val="20"/>
                <w:lang w:val="bg-BG"/>
              </w:rPr>
            </w:pPr>
            <w:r w:rsidRPr="00B45B4F">
              <w:rPr>
                <w:rFonts w:ascii="Verdana" w:eastAsia="Times New Roman" w:hAnsi="Verdana"/>
                <w:b/>
                <w:bCs/>
                <w:color w:val="FFFFFF"/>
                <w:sz w:val="20"/>
                <w:szCs w:val="20"/>
                <w:lang w:val="bg-BG"/>
              </w:rPr>
              <w:t>Целеви групи (Коментар)</w:t>
            </w:r>
          </w:p>
        </w:tc>
      </w:tr>
      <w:tr w:rsidR="003954E5" w:rsidRPr="00B45B4F" w:rsidTr="00B35B74">
        <w:trPr>
          <w:trHeight w:val="548"/>
        </w:trPr>
        <w:tc>
          <w:tcPr>
            <w:tcW w:w="3018" w:type="dxa"/>
            <w:shd w:val="clear" w:color="auto" w:fill="auto"/>
            <w:hideMark/>
          </w:tcPr>
          <w:p w:rsidR="003954E5" w:rsidRPr="00B45B4F" w:rsidRDefault="003954E5" w:rsidP="003954E5">
            <w:pPr>
              <w:spacing w:after="0" w:line="240" w:lineRule="auto"/>
              <w:rPr>
                <w:rFonts w:ascii="Verdana" w:eastAsia="Times New Roman" w:hAnsi="Verdana"/>
                <w:b/>
                <w:bCs/>
                <w:color w:val="000000"/>
                <w:sz w:val="20"/>
                <w:szCs w:val="20"/>
                <w:lang w:val="bg-BG"/>
              </w:rPr>
            </w:pPr>
            <w:r w:rsidRPr="00B45B4F">
              <w:rPr>
                <w:rFonts w:ascii="Verdana" w:eastAsia="Times New Roman" w:hAnsi="Verdana"/>
                <w:b/>
                <w:bCs/>
                <w:color w:val="000000"/>
                <w:sz w:val="20"/>
                <w:szCs w:val="20"/>
                <w:lang w:val="bg-BG"/>
              </w:rPr>
              <w:t xml:space="preserve">Инвестиционен приоритет 1: </w:t>
            </w:r>
            <w:r w:rsidRPr="00B45B4F">
              <w:rPr>
                <w:rFonts w:ascii="Verdana" w:eastAsia="Times New Roman" w:hAnsi="Verdana"/>
                <w:i/>
                <w:iCs/>
                <w:color w:val="000000"/>
                <w:sz w:val="20"/>
                <w:szCs w:val="20"/>
                <w:lang w:val="bg-BG"/>
              </w:rPr>
              <w:t>Намаляване и предотвратяване на преждевременното напускане на училище и насърчаване на равния достъп до висококачествено предучилищно, основно и средно образование, включващо формални, неформални и неофициални начини на учене за повторно включване в образователната система и системата на обучение</w:t>
            </w:r>
          </w:p>
        </w:tc>
        <w:tc>
          <w:tcPr>
            <w:tcW w:w="3029" w:type="dxa"/>
            <w:shd w:val="clear" w:color="auto" w:fill="auto"/>
            <w:hideMark/>
          </w:tcPr>
          <w:p w:rsidR="003954E5" w:rsidRPr="00B45B4F" w:rsidRDefault="003954E5" w:rsidP="003954E5">
            <w:pPr>
              <w:spacing w:after="0" w:line="240" w:lineRule="auto"/>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 xml:space="preserve">Като бенефициенти са определени: </w:t>
            </w:r>
            <w:r w:rsidRPr="00B45B4F">
              <w:rPr>
                <w:rFonts w:ascii="Verdana" w:eastAsia="Times New Roman" w:hAnsi="Verdana"/>
                <w:i/>
                <w:iCs/>
                <w:color w:val="000000"/>
                <w:sz w:val="20"/>
                <w:szCs w:val="20"/>
                <w:lang w:val="bg-BG"/>
              </w:rPr>
              <w:t xml:space="preserve">МОН и второстепенните разпоредители с бюджетни кредити, други министерства, които са финансиращи органи на училища, ДАЗД, детски градини, училища, общини, ресурсни центрове, читалища, </w:t>
            </w:r>
            <w:proofErr w:type="spellStart"/>
            <w:r w:rsidR="00B57A71" w:rsidRPr="005407BE">
              <w:t>организации</w:t>
            </w:r>
            <w:proofErr w:type="spellEnd"/>
            <w:r w:rsidR="00B57A71" w:rsidRPr="005407BE">
              <w:t xml:space="preserve"> </w:t>
            </w:r>
            <w:proofErr w:type="spellStart"/>
            <w:r w:rsidR="00B57A71" w:rsidRPr="005407BE">
              <w:t>по</w:t>
            </w:r>
            <w:proofErr w:type="spellEnd"/>
            <w:r w:rsidR="00B57A71" w:rsidRPr="005407BE">
              <w:t xml:space="preserve"> ЗЮЛНЦ</w:t>
            </w:r>
            <w:r w:rsidRPr="00B45B4F">
              <w:rPr>
                <w:rFonts w:ascii="Verdana" w:eastAsia="Times New Roman" w:hAnsi="Verdana"/>
                <w:i/>
                <w:iCs/>
                <w:color w:val="000000"/>
                <w:sz w:val="20"/>
                <w:szCs w:val="20"/>
                <w:lang w:val="bg-BG"/>
              </w:rPr>
              <w:t>.</w:t>
            </w:r>
            <w:r w:rsidRPr="00B45B4F">
              <w:rPr>
                <w:rFonts w:ascii="Verdana" w:eastAsia="Times New Roman" w:hAnsi="Verdana"/>
                <w:i/>
                <w:iCs/>
                <w:color w:val="000000"/>
                <w:sz w:val="20"/>
                <w:szCs w:val="20"/>
                <w:lang w:val="bg-BG"/>
              </w:rPr>
              <w:br/>
            </w:r>
            <w:r w:rsidRPr="00B45B4F">
              <w:rPr>
                <w:rFonts w:ascii="Verdana" w:eastAsia="Times New Roman" w:hAnsi="Verdana"/>
                <w:i/>
                <w:iCs/>
                <w:color w:val="000000"/>
                <w:sz w:val="20"/>
                <w:szCs w:val="20"/>
                <w:lang w:val="bg-BG"/>
              </w:rPr>
              <w:br/>
            </w:r>
            <w:r w:rsidRPr="00B45B4F">
              <w:rPr>
                <w:rFonts w:ascii="Verdana" w:eastAsia="Times New Roman" w:hAnsi="Verdana"/>
                <w:color w:val="000000"/>
                <w:sz w:val="20"/>
                <w:szCs w:val="20"/>
                <w:lang w:val="bg-BG"/>
              </w:rPr>
              <w:t>Бенефициентите са подходящо определени.</w:t>
            </w:r>
          </w:p>
        </w:tc>
        <w:tc>
          <w:tcPr>
            <w:tcW w:w="3060" w:type="dxa"/>
            <w:shd w:val="clear" w:color="auto" w:fill="auto"/>
            <w:hideMark/>
          </w:tcPr>
          <w:p w:rsidR="003954E5" w:rsidRPr="00B45B4F" w:rsidRDefault="003954E5" w:rsidP="003954E5">
            <w:pPr>
              <w:spacing w:after="0" w:line="240" w:lineRule="auto"/>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 xml:space="preserve">Целевите групи включват: </w:t>
            </w:r>
            <w:r w:rsidRPr="00B45B4F">
              <w:rPr>
                <w:rFonts w:ascii="Verdana" w:eastAsia="Times New Roman" w:hAnsi="Verdana"/>
                <w:i/>
                <w:iCs/>
                <w:color w:val="000000"/>
                <w:sz w:val="20"/>
                <w:szCs w:val="20"/>
                <w:lang w:val="bg-BG"/>
              </w:rPr>
              <w:t>Деца, ученици, младежи, възрастни извън задължителната училищна възраст, родители, учители, педагогически специалисти, психолози, директори.</w:t>
            </w:r>
            <w:r w:rsidRPr="00B45B4F">
              <w:rPr>
                <w:rFonts w:ascii="Verdana" w:eastAsia="Times New Roman" w:hAnsi="Verdana"/>
                <w:i/>
                <w:iCs/>
                <w:color w:val="000000"/>
                <w:sz w:val="20"/>
                <w:szCs w:val="20"/>
                <w:lang w:val="bg-BG"/>
              </w:rPr>
              <w:br/>
            </w:r>
            <w:r w:rsidRPr="00B45B4F">
              <w:rPr>
                <w:rFonts w:ascii="Verdana" w:eastAsia="Times New Roman" w:hAnsi="Verdana"/>
                <w:color w:val="000000"/>
                <w:sz w:val="20"/>
                <w:szCs w:val="20"/>
                <w:lang w:val="bg-BG"/>
              </w:rPr>
              <w:br/>
              <w:t>Целевите групи са адекватни на предвидените дейности с изключение на „възрастни извън задължителната училищна възраст“, за които не е ясно как ще бъдат включени в дейностите по инвестиционния приоритет.</w:t>
            </w:r>
          </w:p>
        </w:tc>
      </w:tr>
      <w:tr w:rsidR="003954E5" w:rsidRPr="00B45B4F" w:rsidTr="00B35B74">
        <w:trPr>
          <w:trHeight w:val="526"/>
        </w:trPr>
        <w:tc>
          <w:tcPr>
            <w:tcW w:w="3018" w:type="dxa"/>
            <w:shd w:val="clear" w:color="auto" w:fill="auto"/>
            <w:hideMark/>
          </w:tcPr>
          <w:p w:rsidR="003954E5" w:rsidRPr="00B45B4F" w:rsidRDefault="003954E5" w:rsidP="003954E5">
            <w:pPr>
              <w:spacing w:after="0" w:line="240" w:lineRule="auto"/>
              <w:rPr>
                <w:rFonts w:ascii="Verdana" w:eastAsia="Times New Roman" w:hAnsi="Verdana"/>
                <w:b/>
                <w:bCs/>
                <w:color w:val="000000"/>
                <w:sz w:val="20"/>
                <w:szCs w:val="20"/>
                <w:lang w:val="bg-BG"/>
              </w:rPr>
            </w:pPr>
            <w:r w:rsidRPr="00B45B4F">
              <w:rPr>
                <w:rFonts w:ascii="Verdana" w:eastAsia="Times New Roman" w:hAnsi="Verdana"/>
                <w:b/>
                <w:bCs/>
                <w:color w:val="000000"/>
                <w:sz w:val="20"/>
                <w:szCs w:val="20"/>
                <w:lang w:val="bg-BG"/>
              </w:rPr>
              <w:t xml:space="preserve">Инвестиционен приоритет 2: </w:t>
            </w:r>
            <w:r w:rsidRPr="00B45B4F">
              <w:rPr>
                <w:rFonts w:ascii="Verdana" w:eastAsia="Times New Roman" w:hAnsi="Verdana"/>
                <w:i/>
                <w:iCs/>
                <w:color w:val="000000"/>
                <w:sz w:val="20"/>
                <w:szCs w:val="20"/>
                <w:lang w:val="bg-BG"/>
              </w:rPr>
              <w:t xml:space="preserve">Подобряване на качеството и ефикасността и достъпа до висшето и равностойното на него образование с цел увеличаване на участието и подобряване на равнищата на образование, особено за групите в неравностойно положение </w:t>
            </w:r>
          </w:p>
        </w:tc>
        <w:tc>
          <w:tcPr>
            <w:tcW w:w="3029" w:type="dxa"/>
            <w:shd w:val="clear" w:color="auto" w:fill="auto"/>
            <w:hideMark/>
          </w:tcPr>
          <w:p w:rsidR="003954E5" w:rsidRPr="00B45B4F" w:rsidRDefault="003954E5" w:rsidP="00B57A71">
            <w:pPr>
              <w:spacing w:after="0" w:line="240" w:lineRule="auto"/>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 xml:space="preserve">Като бенефициенти са посочени </w:t>
            </w:r>
            <w:r w:rsidRPr="00B45B4F">
              <w:rPr>
                <w:rFonts w:ascii="Verdana" w:eastAsia="Times New Roman" w:hAnsi="Verdana"/>
                <w:i/>
                <w:iCs/>
                <w:color w:val="000000"/>
                <w:sz w:val="20"/>
                <w:szCs w:val="20"/>
                <w:lang w:val="bg-BG"/>
              </w:rPr>
              <w:t>МОН и второстепенните му разпоредители</w:t>
            </w:r>
            <w:r w:rsidR="00F224CD">
              <w:rPr>
                <w:rFonts w:ascii="Verdana" w:eastAsia="Times New Roman" w:hAnsi="Verdana"/>
                <w:i/>
                <w:iCs/>
                <w:color w:val="000000"/>
                <w:sz w:val="20"/>
                <w:szCs w:val="20"/>
                <w:lang w:val="bg-BG"/>
              </w:rPr>
              <w:t xml:space="preserve"> </w:t>
            </w:r>
            <w:r w:rsidRPr="00B45B4F">
              <w:rPr>
                <w:rFonts w:ascii="Verdana" w:eastAsia="Times New Roman" w:hAnsi="Verdana"/>
                <w:i/>
                <w:iCs/>
                <w:color w:val="000000"/>
                <w:sz w:val="20"/>
                <w:szCs w:val="20"/>
                <w:lang w:val="bg-BG"/>
              </w:rPr>
              <w:t>с бюджетни кредити, висши училища и/или техни основни звена, национално представителни организации на работниците и служителите и на работодателите, работодатели, браншови организации, представителни студентски организации, регистрирани по закон, организации по ЗЮЛНЦ.</w:t>
            </w:r>
            <w:r w:rsidRPr="00B45B4F">
              <w:rPr>
                <w:rFonts w:ascii="Verdana" w:eastAsia="Times New Roman" w:hAnsi="Verdana"/>
                <w:i/>
                <w:iCs/>
                <w:color w:val="000000"/>
                <w:sz w:val="20"/>
                <w:szCs w:val="20"/>
                <w:lang w:val="bg-BG"/>
              </w:rPr>
              <w:br/>
            </w:r>
            <w:r w:rsidRPr="00B45B4F">
              <w:rPr>
                <w:rFonts w:ascii="Verdana" w:eastAsia="Times New Roman" w:hAnsi="Verdana"/>
                <w:color w:val="000000"/>
                <w:sz w:val="20"/>
                <w:szCs w:val="20"/>
                <w:lang w:val="bg-BG"/>
              </w:rPr>
              <w:br/>
              <w:t xml:space="preserve">Бенефициентите са адекватни на заложените дейности. Във връзка със студентското кредитиране следва да се прецени дали и банките (други </w:t>
            </w:r>
            <w:r w:rsidRPr="00B45B4F">
              <w:rPr>
                <w:rFonts w:ascii="Verdana" w:eastAsia="Times New Roman" w:hAnsi="Verdana"/>
                <w:color w:val="000000"/>
                <w:sz w:val="20"/>
                <w:szCs w:val="20"/>
                <w:lang w:val="bg-BG"/>
              </w:rPr>
              <w:lastRenderedPageBreak/>
              <w:t>финансови институции) също ще са бенефициент.</w:t>
            </w:r>
          </w:p>
        </w:tc>
        <w:tc>
          <w:tcPr>
            <w:tcW w:w="3060" w:type="dxa"/>
            <w:shd w:val="clear" w:color="auto" w:fill="auto"/>
            <w:hideMark/>
          </w:tcPr>
          <w:p w:rsidR="003954E5" w:rsidRPr="00B45B4F" w:rsidRDefault="003954E5" w:rsidP="003954E5">
            <w:pPr>
              <w:spacing w:after="0" w:line="240" w:lineRule="auto"/>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lastRenderedPageBreak/>
              <w:t xml:space="preserve">Определени са следните целеви групи: </w:t>
            </w:r>
            <w:r w:rsidRPr="00B45B4F">
              <w:rPr>
                <w:rFonts w:ascii="Verdana" w:eastAsia="Times New Roman" w:hAnsi="Verdana"/>
                <w:i/>
                <w:iCs/>
                <w:color w:val="000000"/>
                <w:sz w:val="20"/>
                <w:szCs w:val="20"/>
                <w:lang w:val="bg-BG"/>
              </w:rPr>
              <w:t>студенти, кандидат-студенти, младежи, докторанти, специализанти, преподаватели и работещи във висшите училища.</w:t>
            </w:r>
            <w:r w:rsidRPr="00B45B4F">
              <w:rPr>
                <w:rFonts w:ascii="Verdana" w:eastAsia="Times New Roman" w:hAnsi="Verdana"/>
                <w:i/>
                <w:iCs/>
                <w:color w:val="000000"/>
                <w:sz w:val="20"/>
                <w:szCs w:val="20"/>
                <w:lang w:val="bg-BG"/>
              </w:rPr>
              <w:br/>
            </w:r>
            <w:r w:rsidRPr="00B45B4F">
              <w:rPr>
                <w:rFonts w:ascii="Verdana" w:eastAsia="Times New Roman" w:hAnsi="Verdana"/>
                <w:color w:val="000000"/>
                <w:sz w:val="20"/>
                <w:szCs w:val="20"/>
                <w:lang w:val="bg-BG"/>
              </w:rPr>
              <w:br/>
              <w:t>Целевите групи са адекватни. Не е ясно защо е необходимо добавянето на „младежи“, след като студенти и кандидат студенти би трябвало да обхващат всички младежи, които се очаква да бъдат облагодетелствани от програмата.</w:t>
            </w:r>
          </w:p>
        </w:tc>
      </w:tr>
      <w:tr w:rsidR="003954E5" w:rsidRPr="00B45B4F" w:rsidTr="00B35B74">
        <w:trPr>
          <w:trHeight w:val="2253"/>
        </w:trPr>
        <w:tc>
          <w:tcPr>
            <w:tcW w:w="3018" w:type="dxa"/>
            <w:shd w:val="clear" w:color="auto" w:fill="auto"/>
            <w:hideMark/>
          </w:tcPr>
          <w:p w:rsidR="003954E5" w:rsidRPr="00B45B4F" w:rsidRDefault="003954E5" w:rsidP="003954E5">
            <w:pPr>
              <w:spacing w:after="0" w:line="240" w:lineRule="auto"/>
              <w:rPr>
                <w:rFonts w:ascii="Verdana" w:eastAsia="Times New Roman" w:hAnsi="Verdana"/>
                <w:b/>
                <w:bCs/>
                <w:color w:val="000000"/>
                <w:sz w:val="20"/>
                <w:szCs w:val="20"/>
                <w:lang w:val="bg-BG"/>
              </w:rPr>
            </w:pPr>
            <w:r w:rsidRPr="00B45B4F">
              <w:rPr>
                <w:rFonts w:ascii="Verdana" w:eastAsia="Times New Roman" w:hAnsi="Verdana"/>
                <w:b/>
                <w:bCs/>
                <w:color w:val="000000"/>
                <w:sz w:val="20"/>
                <w:szCs w:val="20"/>
                <w:lang w:val="bg-BG"/>
              </w:rPr>
              <w:lastRenderedPageBreak/>
              <w:t xml:space="preserve">Инвестиционен приоритет 3: </w:t>
            </w:r>
            <w:r w:rsidRPr="00B45B4F">
              <w:rPr>
                <w:rFonts w:ascii="Verdana" w:eastAsia="Times New Roman" w:hAnsi="Verdana"/>
                <w:i/>
                <w:iCs/>
                <w:color w:val="000000"/>
                <w:sz w:val="20"/>
                <w:szCs w:val="20"/>
                <w:lang w:val="bg-BG"/>
              </w:rPr>
              <w:t>Подобряване на равния достъп до възможностите за учене през целия живот за всички възрастови групи във формален, неформален и неофициален вид, осъвременяване на познанията, уменията и компетенциите на работната ръка, както и насърчаване на гъвкави процеси на учене, включително чрез професионална ориентация и валидиране на придобитите компетенции</w:t>
            </w:r>
          </w:p>
        </w:tc>
        <w:tc>
          <w:tcPr>
            <w:tcW w:w="3029" w:type="dxa"/>
            <w:shd w:val="clear" w:color="auto" w:fill="auto"/>
            <w:hideMark/>
          </w:tcPr>
          <w:p w:rsidR="003954E5" w:rsidRPr="00B45B4F" w:rsidRDefault="003954E5" w:rsidP="003954E5">
            <w:pPr>
              <w:spacing w:after="0" w:line="240" w:lineRule="auto"/>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 xml:space="preserve">Като бенефициенти са определени: </w:t>
            </w:r>
            <w:r w:rsidRPr="00B45B4F">
              <w:rPr>
                <w:rFonts w:ascii="Verdana" w:eastAsia="Times New Roman" w:hAnsi="Verdana"/>
                <w:i/>
                <w:iCs/>
                <w:color w:val="000000"/>
                <w:sz w:val="20"/>
                <w:szCs w:val="20"/>
                <w:lang w:val="bg-BG"/>
              </w:rPr>
              <w:t>МОН и второстепенните разпоредители с бюджетни кредити</w:t>
            </w:r>
            <w:r w:rsidR="00F224CD">
              <w:rPr>
                <w:rFonts w:ascii="Verdana" w:eastAsia="Times New Roman" w:hAnsi="Verdana"/>
                <w:i/>
                <w:iCs/>
                <w:color w:val="000000"/>
                <w:sz w:val="20"/>
                <w:szCs w:val="20"/>
                <w:lang w:val="bg-BG"/>
              </w:rPr>
              <w:t xml:space="preserve"> </w:t>
            </w:r>
            <w:r w:rsidR="00CD5669" w:rsidRPr="00F05914">
              <w:rPr>
                <w:rFonts w:ascii="Verdana" w:eastAsia="Times New Roman" w:hAnsi="Verdana"/>
                <w:i/>
                <w:iCs/>
                <w:color w:val="000000"/>
                <w:sz w:val="20"/>
                <w:szCs w:val="20"/>
                <w:lang w:val="bg-BG"/>
              </w:rPr>
              <w:t>включително НАПОО</w:t>
            </w:r>
            <w:r w:rsidRPr="00B45B4F">
              <w:rPr>
                <w:rFonts w:ascii="Verdana" w:eastAsia="Times New Roman" w:hAnsi="Verdana"/>
                <w:i/>
                <w:iCs/>
                <w:color w:val="000000"/>
                <w:sz w:val="20"/>
                <w:szCs w:val="20"/>
                <w:lang w:val="bg-BG"/>
              </w:rPr>
              <w:t>, други министерства, които са финансиращи органи на училища, висши училища и/или техни основни звена, детски градини, училища, научни организации (включително БАН и ССА), научни институти, национално представителни организации на работниците и служителите и на работодателите, работодатели, браншови организации, младежки организации, представителни студентски организации, регистрирани по закон, организации по ЗЮЛНЦ, общини.</w:t>
            </w:r>
            <w:r w:rsidRPr="00B45B4F">
              <w:rPr>
                <w:rFonts w:ascii="Verdana" w:eastAsia="Times New Roman" w:hAnsi="Verdana"/>
                <w:i/>
                <w:iCs/>
                <w:color w:val="000000"/>
                <w:sz w:val="20"/>
                <w:szCs w:val="20"/>
                <w:lang w:val="bg-BG"/>
              </w:rPr>
              <w:br/>
            </w:r>
            <w:r w:rsidRPr="00B45B4F">
              <w:rPr>
                <w:rFonts w:ascii="Verdana" w:eastAsia="Times New Roman" w:hAnsi="Verdana"/>
                <w:color w:val="000000"/>
                <w:sz w:val="20"/>
                <w:szCs w:val="20"/>
                <w:lang w:val="bg-BG"/>
              </w:rPr>
              <w:br/>
              <w:t>Бенефициентите са уместни към дефинирания обхват на подкрепа.</w:t>
            </w:r>
          </w:p>
        </w:tc>
        <w:tc>
          <w:tcPr>
            <w:tcW w:w="3060" w:type="dxa"/>
            <w:shd w:val="clear" w:color="auto" w:fill="auto"/>
            <w:hideMark/>
          </w:tcPr>
          <w:p w:rsidR="003954E5" w:rsidRPr="00B45B4F" w:rsidRDefault="003954E5" w:rsidP="003954E5">
            <w:pPr>
              <w:spacing w:after="0" w:line="240" w:lineRule="auto"/>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 xml:space="preserve">Като целеви групи са дефинирани: Деца, ученици, </w:t>
            </w:r>
            <w:r w:rsidRPr="00FE5A49">
              <w:rPr>
                <w:rFonts w:ascii="Verdana" w:eastAsia="Times New Roman" w:hAnsi="Verdana"/>
                <w:i/>
                <w:color w:val="000000"/>
                <w:sz w:val="20"/>
                <w:szCs w:val="20"/>
                <w:lang w:val="bg-BG"/>
              </w:rPr>
              <w:t>младежи, студенти, докторанти, пост-докторанти, специализанти, млади учени, педагогически специалисти в системата на предучилищното и училищното образование, учени, изследователи, преподаватели и служители в научните организации и висшите училища, кариерни консултанти, психолози, лица без завършени етапи и степени на образование, безработни и неграмотни лица.</w:t>
            </w:r>
            <w:r w:rsidRPr="00B45B4F">
              <w:rPr>
                <w:rFonts w:ascii="Verdana" w:eastAsia="Times New Roman" w:hAnsi="Verdana"/>
                <w:color w:val="000000"/>
                <w:sz w:val="20"/>
                <w:szCs w:val="20"/>
                <w:lang w:val="bg-BG"/>
              </w:rPr>
              <w:br/>
            </w:r>
            <w:r w:rsidRPr="00B45B4F">
              <w:rPr>
                <w:rFonts w:ascii="Verdana" w:eastAsia="Times New Roman" w:hAnsi="Verdana"/>
                <w:color w:val="000000"/>
                <w:sz w:val="20"/>
                <w:szCs w:val="20"/>
                <w:lang w:val="bg-BG"/>
              </w:rPr>
              <w:br/>
              <w:t>Целевите групи са адекватно определени.</w:t>
            </w:r>
          </w:p>
        </w:tc>
      </w:tr>
      <w:tr w:rsidR="003954E5" w:rsidRPr="00B45B4F" w:rsidTr="00B35B74">
        <w:trPr>
          <w:trHeight w:val="256"/>
        </w:trPr>
        <w:tc>
          <w:tcPr>
            <w:tcW w:w="3018" w:type="dxa"/>
            <w:shd w:val="clear" w:color="auto" w:fill="auto"/>
            <w:hideMark/>
          </w:tcPr>
          <w:p w:rsidR="003954E5" w:rsidRPr="00B45B4F" w:rsidRDefault="003954E5" w:rsidP="003954E5">
            <w:pPr>
              <w:spacing w:after="0" w:line="240" w:lineRule="auto"/>
              <w:rPr>
                <w:rFonts w:ascii="Verdana" w:eastAsia="Times New Roman" w:hAnsi="Verdana"/>
                <w:b/>
                <w:bCs/>
                <w:color w:val="000000"/>
                <w:sz w:val="20"/>
                <w:szCs w:val="20"/>
                <w:lang w:val="bg-BG"/>
              </w:rPr>
            </w:pPr>
            <w:r w:rsidRPr="00B45B4F">
              <w:rPr>
                <w:rFonts w:ascii="Verdana" w:eastAsia="Times New Roman" w:hAnsi="Verdana"/>
                <w:b/>
                <w:bCs/>
                <w:color w:val="000000"/>
                <w:sz w:val="20"/>
                <w:szCs w:val="20"/>
                <w:lang w:val="bg-BG"/>
              </w:rPr>
              <w:t>Инвестиционен приоритет 4.</w:t>
            </w:r>
            <w:r w:rsidRPr="00B45B4F">
              <w:rPr>
                <w:rFonts w:ascii="Verdana" w:eastAsia="Times New Roman" w:hAnsi="Verdana"/>
                <w:i/>
                <w:iCs/>
                <w:color w:val="000000"/>
                <w:sz w:val="20"/>
                <w:szCs w:val="20"/>
                <w:lang w:val="bg-BG"/>
              </w:rPr>
              <w:t xml:space="preserve"> Подобряване на адекватността на системите за образование и обучение спрямо пазара на труда, улесняване на прехода от образование към работа и укрепване на професионалното образование и системите на обучение, както и тяхното качество, включително чрез механизми за предвиждане на уменията, адаптиране на учебните програми и </w:t>
            </w:r>
            <w:r w:rsidRPr="00B45B4F">
              <w:rPr>
                <w:rFonts w:ascii="Verdana" w:eastAsia="Times New Roman" w:hAnsi="Verdana"/>
                <w:i/>
                <w:iCs/>
                <w:color w:val="000000"/>
                <w:sz w:val="20"/>
                <w:szCs w:val="20"/>
                <w:lang w:val="bg-BG"/>
              </w:rPr>
              <w:lastRenderedPageBreak/>
              <w:t>създаване и развитие на основаващи се на работата системи за учене, включително двойни системи на учене и схеми за чиракуване</w:t>
            </w:r>
          </w:p>
        </w:tc>
        <w:tc>
          <w:tcPr>
            <w:tcW w:w="3029" w:type="dxa"/>
            <w:shd w:val="clear" w:color="auto" w:fill="auto"/>
            <w:hideMark/>
          </w:tcPr>
          <w:p w:rsidR="001078A5" w:rsidRDefault="00CD5669" w:rsidP="003954E5">
            <w:pPr>
              <w:spacing w:after="0" w:line="240" w:lineRule="auto"/>
              <w:rPr>
                <w:i/>
                <w:szCs w:val="24"/>
                <w:lang w:val="ru-RU"/>
              </w:rPr>
            </w:pPr>
            <w:r>
              <w:rPr>
                <w:szCs w:val="24"/>
                <w:lang w:val="ru-RU"/>
              </w:rPr>
              <w:lastRenderedPageBreak/>
              <w:t xml:space="preserve">Като бенефициенти са посочени: </w:t>
            </w:r>
            <w:r w:rsidRPr="00FE5A49">
              <w:rPr>
                <w:i/>
                <w:szCs w:val="24"/>
                <w:lang w:val="ru-RU"/>
              </w:rPr>
              <w:t xml:space="preserve">МОН и второстепенните разпоредители с бюджетни кредити, включително НАПОО, други министерства, които са финансиращи органи на училища, висши училища и/или техни основни звена, детски градини, училища, научни организации (включително БАН и ССА), научни институти, национално представителни </w:t>
            </w:r>
            <w:r w:rsidRPr="00FE5A49">
              <w:rPr>
                <w:i/>
                <w:szCs w:val="24"/>
                <w:lang w:val="ru-RU"/>
              </w:rPr>
              <w:lastRenderedPageBreak/>
              <w:t>организации на работниците и служителите и на работодателите, работодатели, браншови организации, младежки организации, представителни студентски организации, регистрирани по закон, организации по ЗЮЛНЦ, общини</w:t>
            </w:r>
          </w:p>
          <w:p w:rsidR="003954E5" w:rsidRPr="00B45B4F" w:rsidRDefault="001078A5" w:rsidP="003954E5">
            <w:pPr>
              <w:spacing w:after="0" w:line="240" w:lineRule="auto"/>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Бенефициентите</w:t>
            </w:r>
            <w:r>
              <w:rPr>
                <w:rFonts w:ascii="Verdana" w:eastAsia="Times New Roman" w:hAnsi="Verdana"/>
                <w:color w:val="000000"/>
                <w:sz w:val="20"/>
                <w:szCs w:val="20"/>
                <w:lang w:val="bg-BG"/>
              </w:rPr>
              <w:t>, с изключение на детските градини</w:t>
            </w:r>
            <w:r w:rsidR="00B57A71">
              <w:rPr>
                <w:rFonts w:ascii="Verdana" w:eastAsia="Times New Roman" w:hAnsi="Verdana"/>
                <w:color w:val="000000"/>
                <w:sz w:val="20"/>
                <w:szCs w:val="20"/>
                <w:lang w:val="bg-BG"/>
              </w:rPr>
              <w:t>,</w:t>
            </w:r>
            <w:r w:rsidRPr="00B45B4F">
              <w:rPr>
                <w:rFonts w:ascii="Verdana" w:eastAsia="Times New Roman" w:hAnsi="Verdana"/>
                <w:color w:val="000000"/>
                <w:sz w:val="20"/>
                <w:szCs w:val="20"/>
                <w:lang w:val="bg-BG"/>
              </w:rPr>
              <w:t xml:space="preserve"> са уместни към дефинирания обхват на подкрепа</w:t>
            </w:r>
            <w:r>
              <w:rPr>
                <w:rFonts w:ascii="Verdana" w:eastAsia="Times New Roman" w:hAnsi="Verdana"/>
                <w:color w:val="000000"/>
                <w:sz w:val="20"/>
                <w:szCs w:val="20"/>
                <w:lang w:val="bg-BG"/>
              </w:rPr>
              <w:t>.</w:t>
            </w:r>
          </w:p>
        </w:tc>
        <w:tc>
          <w:tcPr>
            <w:tcW w:w="3060" w:type="dxa"/>
            <w:shd w:val="clear" w:color="auto" w:fill="auto"/>
            <w:hideMark/>
          </w:tcPr>
          <w:p w:rsidR="001078A5" w:rsidRPr="00B57A71" w:rsidRDefault="001078A5" w:rsidP="00FE5A49">
            <w:pPr>
              <w:spacing w:after="0" w:line="240" w:lineRule="auto"/>
              <w:rPr>
                <w:szCs w:val="24"/>
                <w:lang w:val="ru-RU"/>
              </w:rPr>
            </w:pPr>
            <w:r w:rsidRPr="00FE5A49">
              <w:rPr>
                <w:szCs w:val="24"/>
                <w:lang w:val="ru-RU"/>
              </w:rPr>
              <w:lastRenderedPageBreak/>
              <w:t xml:space="preserve">Като целеви групи са посочени: </w:t>
            </w:r>
            <w:r w:rsidRPr="00FE5A49">
              <w:rPr>
                <w:i/>
                <w:szCs w:val="24"/>
                <w:lang w:val="ru-RU"/>
              </w:rPr>
              <w:t xml:space="preserve">Деца, ученици, младежи, студенти, докторанти,пост-докторанти, специализанти, млади учени, педагогически специалисти в системата на предучилищното и училищното образование, учени, изследователи, преподаватели и служители в научните организации и висшите училища, кариерни консултанти, психолози, лица без завършени етапи и </w:t>
            </w:r>
            <w:r w:rsidRPr="00FE5A49">
              <w:rPr>
                <w:i/>
                <w:szCs w:val="24"/>
                <w:lang w:val="ru-RU"/>
              </w:rPr>
              <w:lastRenderedPageBreak/>
              <w:t>степени на образование, безработни и неграмотни лица.</w:t>
            </w:r>
          </w:p>
          <w:p w:rsidR="003954E5" w:rsidRDefault="003954E5" w:rsidP="00B57A71">
            <w:pPr>
              <w:spacing w:after="0" w:line="240" w:lineRule="auto"/>
              <w:rPr>
                <w:szCs w:val="24"/>
                <w:lang w:val="ru-RU"/>
              </w:rPr>
            </w:pPr>
          </w:p>
          <w:p w:rsidR="001078A5" w:rsidRDefault="001078A5" w:rsidP="00FB3AF7">
            <w:pPr>
              <w:spacing w:after="0" w:line="240" w:lineRule="auto"/>
              <w:rPr>
                <w:szCs w:val="24"/>
                <w:lang w:val="ru-RU"/>
              </w:rPr>
            </w:pPr>
          </w:p>
          <w:p w:rsidR="001078A5" w:rsidRPr="00FE5A49" w:rsidRDefault="001078A5">
            <w:pPr>
              <w:spacing w:after="0" w:line="240" w:lineRule="auto"/>
              <w:rPr>
                <w:szCs w:val="24"/>
                <w:lang w:val="ru-RU"/>
              </w:rPr>
            </w:pPr>
            <w:r>
              <w:rPr>
                <w:szCs w:val="24"/>
                <w:lang w:val="ru-RU"/>
              </w:rPr>
              <w:t>Целевите г</w:t>
            </w:r>
            <w:r w:rsidR="00B57A71">
              <w:rPr>
                <w:szCs w:val="24"/>
                <w:lang w:val="ru-RU"/>
              </w:rPr>
              <w:t xml:space="preserve">рупи са удачни, с изключение на: </w:t>
            </w:r>
            <w:r>
              <w:rPr>
                <w:szCs w:val="24"/>
                <w:lang w:val="ru-RU"/>
              </w:rPr>
              <w:t>деца, кариерни консултанти и психолози.</w:t>
            </w:r>
          </w:p>
        </w:tc>
      </w:tr>
    </w:tbl>
    <w:p w:rsidR="00057F10" w:rsidRPr="00B45B4F" w:rsidRDefault="00057F10" w:rsidP="00FA776A">
      <w:pPr>
        <w:keepNext/>
        <w:pBdr>
          <w:bottom w:val="single" w:sz="4" w:space="1" w:color="0070C0"/>
        </w:pBdr>
        <w:spacing w:before="360" w:after="120"/>
        <w:jc w:val="both"/>
        <w:rPr>
          <w:rFonts w:ascii="Verdana" w:hAnsi="Verdana"/>
          <w:color w:val="0070C0"/>
          <w:sz w:val="20"/>
          <w:szCs w:val="20"/>
          <w:lang w:val="bg-BG" w:eastAsia="cs-CZ"/>
        </w:rPr>
      </w:pPr>
      <w:r w:rsidRPr="00B45B4F">
        <w:rPr>
          <w:rFonts w:ascii="Verdana" w:hAnsi="Verdana"/>
          <w:color w:val="0070C0"/>
          <w:sz w:val="20"/>
          <w:szCs w:val="20"/>
          <w:lang w:val="bg-BG" w:eastAsia="cs-CZ"/>
        </w:rPr>
        <w:lastRenderedPageBreak/>
        <w:t>ПО3. Образователна среда за активно приобщаване</w:t>
      </w:r>
    </w:p>
    <w:p w:rsidR="00057F10" w:rsidRPr="00B45B4F" w:rsidRDefault="00057F10" w:rsidP="008410DF">
      <w:pPr>
        <w:pStyle w:val="BodyText"/>
        <w:tabs>
          <w:tab w:val="left" w:pos="0"/>
          <w:tab w:val="right" w:pos="9214"/>
        </w:tabs>
        <w:spacing w:before="240" w:line="276" w:lineRule="auto"/>
        <w:jc w:val="both"/>
        <w:rPr>
          <w:rFonts w:ascii="Verdana" w:hAnsi="Verdana"/>
          <w:sz w:val="20"/>
          <w:szCs w:val="20"/>
        </w:rPr>
      </w:pPr>
      <w:bookmarkStart w:id="95" w:name="_Toc395612583"/>
      <w:r w:rsidRPr="00B45B4F">
        <w:rPr>
          <w:rFonts w:ascii="Verdana" w:hAnsi="Verdana"/>
          <w:b/>
          <w:color w:val="548DD4" w:themeColor="text2" w:themeTint="99"/>
          <w:sz w:val="20"/>
          <w:szCs w:val="20"/>
        </w:rPr>
        <w:t xml:space="preserve">Таблица </w:t>
      </w:r>
      <w:r w:rsidR="00BF1936" w:rsidRPr="00B45B4F">
        <w:rPr>
          <w:rFonts w:ascii="Verdana" w:hAnsi="Verdana"/>
          <w:b/>
          <w:color w:val="548DD4" w:themeColor="text2" w:themeTint="99"/>
          <w:sz w:val="20"/>
          <w:szCs w:val="20"/>
        </w:rPr>
        <w:fldChar w:fldCharType="begin"/>
      </w:r>
      <w:r w:rsidRPr="00B45B4F">
        <w:rPr>
          <w:rFonts w:ascii="Verdana" w:hAnsi="Verdana"/>
          <w:b/>
          <w:color w:val="548DD4" w:themeColor="text2" w:themeTint="99"/>
          <w:sz w:val="20"/>
          <w:szCs w:val="20"/>
        </w:rPr>
        <w:instrText xml:space="preserve"> SEQ таблица \* ARABIC </w:instrText>
      </w:r>
      <w:r w:rsidR="00BF1936" w:rsidRPr="00B45B4F">
        <w:rPr>
          <w:rFonts w:ascii="Verdana" w:hAnsi="Verdana"/>
          <w:b/>
          <w:color w:val="548DD4" w:themeColor="text2" w:themeTint="99"/>
          <w:sz w:val="20"/>
          <w:szCs w:val="20"/>
        </w:rPr>
        <w:fldChar w:fldCharType="separate"/>
      </w:r>
      <w:r w:rsidR="001361E0">
        <w:rPr>
          <w:rFonts w:ascii="Verdana" w:hAnsi="Verdana"/>
          <w:b/>
          <w:noProof/>
          <w:color w:val="548DD4" w:themeColor="text2" w:themeTint="99"/>
          <w:sz w:val="20"/>
          <w:szCs w:val="20"/>
        </w:rPr>
        <w:t>27</w:t>
      </w:r>
      <w:r w:rsidR="00BF1936" w:rsidRPr="00B45B4F">
        <w:rPr>
          <w:rFonts w:ascii="Verdana" w:hAnsi="Verdana"/>
          <w:b/>
          <w:color w:val="548DD4" w:themeColor="text2" w:themeTint="99"/>
          <w:sz w:val="20"/>
          <w:szCs w:val="20"/>
        </w:rPr>
        <w:fldChar w:fldCharType="end"/>
      </w:r>
      <w:r w:rsidRPr="00B45B4F">
        <w:rPr>
          <w:rFonts w:ascii="Verdana" w:hAnsi="Verdana"/>
          <w:b/>
          <w:color w:val="548DD4" w:themeColor="text2" w:themeTint="99"/>
          <w:sz w:val="20"/>
          <w:szCs w:val="20"/>
        </w:rPr>
        <w:t>. ПО3 – Анализ на бенефициенти и целеви групи</w:t>
      </w:r>
      <w:bookmarkEnd w:id="95"/>
    </w:p>
    <w:tbl>
      <w:tblPr>
        <w:tblW w:w="9107" w:type="dxa"/>
        <w:tblInd w:w="91" w:type="dxa"/>
        <w:tblBorders>
          <w:top w:val="single" w:sz="8" w:space="0" w:color="17365D"/>
          <w:left w:val="single" w:sz="8" w:space="0" w:color="17365D"/>
          <w:bottom w:val="single" w:sz="8" w:space="0" w:color="17365D"/>
          <w:right w:val="single" w:sz="8" w:space="0" w:color="17365D"/>
          <w:insideH w:val="single" w:sz="8" w:space="0" w:color="17365D"/>
          <w:insideV w:val="single" w:sz="8" w:space="0" w:color="17365D"/>
        </w:tblBorders>
        <w:tblLook w:val="04A0" w:firstRow="1" w:lastRow="0" w:firstColumn="1" w:lastColumn="0" w:noHBand="0" w:noVBand="1"/>
      </w:tblPr>
      <w:tblGrid>
        <w:gridCol w:w="2987"/>
        <w:gridCol w:w="3330"/>
        <w:gridCol w:w="2790"/>
      </w:tblGrid>
      <w:tr w:rsidR="00847E53" w:rsidRPr="00B45B4F" w:rsidTr="00847E53">
        <w:trPr>
          <w:trHeight w:val="598"/>
        </w:trPr>
        <w:tc>
          <w:tcPr>
            <w:tcW w:w="2987" w:type="dxa"/>
            <w:shd w:val="clear" w:color="000000" w:fill="548DD4"/>
            <w:hideMark/>
          </w:tcPr>
          <w:p w:rsidR="00847E53" w:rsidRPr="00B45B4F" w:rsidRDefault="00847E53" w:rsidP="00847E53">
            <w:pPr>
              <w:spacing w:after="0" w:line="240" w:lineRule="auto"/>
              <w:jc w:val="center"/>
              <w:rPr>
                <w:rFonts w:ascii="Verdana" w:eastAsia="Times New Roman" w:hAnsi="Verdana"/>
                <w:b/>
                <w:bCs/>
                <w:color w:val="FFFFFF"/>
                <w:sz w:val="20"/>
                <w:szCs w:val="20"/>
                <w:lang w:val="bg-BG"/>
              </w:rPr>
            </w:pPr>
            <w:r w:rsidRPr="00B45B4F">
              <w:rPr>
                <w:rFonts w:ascii="Verdana" w:eastAsia="Times New Roman" w:hAnsi="Verdana"/>
                <w:b/>
                <w:bCs/>
                <w:color w:val="FFFFFF"/>
                <w:sz w:val="20"/>
                <w:szCs w:val="20"/>
                <w:lang w:val="bg-BG"/>
              </w:rPr>
              <w:t>Инвестиционен приоритет</w:t>
            </w:r>
          </w:p>
        </w:tc>
        <w:tc>
          <w:tcPr>
            <w:tcW w:w="3330" w:type="dxa"/>
            <w:shd w:val="clear" w:color="000000" w:fill="548DD4"/>
            <w:hideMark/>
          </w:tcPr>
          <w:p w:rsidR="00847E53" w:rsidRPr="00B45B4F" w:rsidRDefault="00847E53" w:rsidP="00847E53">
            <w:pPr>
              <w:spacing w:after="0" w:line="240" w:lineRule="auto"/>
              <w:jc w:val="center"/>
              <w:rPr>
                <w:rFonts w:ascii="Verdana" w:eastAsia="Times New Roman" w:hAnsi="Verdana"/>
                <w:b/>
                <w:bCs/>
                <w:color w:val="FFFFFF"/>
                <w:sz w:val="20"/>
                <w:szCs w:val="20"/>
                <w:lang w:val="bg-BG"/>
              </w:rPr>
            </w:pPr>
            <w:r w:rsidRPr="00B45B4F">
              <w:rPr>
                <w:rFonts w:ascii="Verdana" w:eastAsia="Times New Roman" w:hAnsi="Verdana"/>
                <w:b/>
                <w:bCs/>
                <w:color w:val="FFFFFF"/>
                <w:sz w:val="20"/>
                <w:szCs w:val="20"/>
                <w:lang w:val="bg-BG"/>
              </w:rPr>
              <w:t>Допустими бенефициенти (Коментар)</w:t>
            </w:r>
          </w:p>
        </w:tc>
        <w:tc>
          <w:tcPr>
            <w:tcW w:w="2790" w:type="dxa"/>
            <w:shd w:val="clear" w:color="000000" w:fill="548DD4"/>
            <w:hideMark/>
          </w:tcPr>
          <w:p w:rsidR="00847E53" w:rsidRPr="00B45B4F" w:rsidRDefault="00847E53" w:rsidP="00847E53">
            <w:pPr>
              <w:spacing w:after="0" w:line="240" w:lineRule="auto"/>
              <w:jc w:val="center"/>
              <w:rPr>
                <w:rFonts w:ascii="Verdana" w:eastAsia="Times New Roman" w:hAnsi="Verdana"/>
                <w:b/>
                <w:bCs/>
                <w:color w:val="FFFFFF"/>
                <w:sz w:val="20"/>
                <w:szCs w:val="20"/>
                <w:lang w:val="bg-BG"/>
              </w:rPr>
            </w:pPr>
            <w:r w:rsidRPr="00B45B4F">
              <w:rPr>
                <w:rFonts w:ascii="Verdana" w:eastAsia="Times New Roman" w:hAnsi="Verdana"/>
                <w:b/>
                <w:bCs/>
                <w:color w:val="FFFFFF"/>
                <w:sz w:val="20"/>
                <w:szCs w:val="20"/>
                <w:lang w:val="bg-BG"/>
              </w:rPr>
              <w:t>Целеви групи (Коментар)</w:t>
            </w:r>
          </w:p>
        </w:tc>
      </w:tr>
      <w:tr w:rsidR="00847E53" w:rsidRPr="00B45B4F" w:rsidTr="00847E53">
        <w:trPr>
          <w:trHeight w:val="4216"/>
        </w:trPr>
        <w:tc>
          <w:tcPr>
            <w:tcW w:w="2987" w:type="dxa"/>
            <w:shd w:val="clear" w:color="auto" w:fill="auto"/>
            <w:hideMark/>
          </w:tcPr>
          <w:p w:rsidR="00847E53" w:rsidRPr="00B45B4F" w:rsidRDefault="00847E53" w:rsidP="00847E53">
            <w:pPr>
              <w:spacing w:after="0" w:line="240" w:lineRule="auto"/>
              <w:rPr>
                <w:rFonts w:ascii="Verdana" w:eastAsia="Times New Roman" w:hAnsi="Verdana"/>
                <w:b/>
                <w:bCs/>
                <w:color w:val="000000"/>
                <w:sz w:val="20"/>
                <w:szCs w:val="20"/>
                <w:lang w:val="bg-BG"/>
              </w:rPr>
            </w:pPr>
            <w:r w:rsidRPr="00B45B4F">
              <w:rPr>
                <w:rFonts w:ascii="Verdana" w:eastAsia="Times New Roman" w:hAnsi="Verdana"/>
                <w:b/>
                <w:bCs/>
                <w:color w:val="000000"/>
                <w:sz w:val="20"/>
                <w:szCs w:val="20"/>
                <w:lang w:val="bg-BG"/>
              </w:rPr>
              <w:t xml:space="preserve">Инвестиционен приоритет 1: </w:t>
            </w:r>
            <w:r w:rsidRPr="00B45B4F">
              <w:rPr>
                <w:rFonts w:ascii="Verdana" w:eastAsia="Times New Roman" w:hAnsi="Verdana"/>
                <w:i/>
                <w:iCs/>
                <w:color w:val="000000"/>
                <w:sz w:val="20"/>
                <w:szCs w:val="20"/>
                <w:lang w:val="bg-BG"/>
              </w:rPr>
              <w:t>Активно приобщаване, включително с оглед на насърчаване на равните възможности и активното участие, и по-добрата пригодност за заетост.</w:t>
            </w:r>
          </w:p>
        </w:tc>
        <w:tc>
          <w:tcPr>
            <w:tcW w:w="3330" w:type="dxa"/>
            <w:shd w:val="clear" w:color="auto" w:fill="auto"/>
            <w:hideMark/>
          </w:tcPr>
          <w:p w:rsidR="00847E53" w:rsidRDefault="00847E53" w:rsidP="00847E53">
            <w:pPr>
              <w:spacing w:after="0" w:line="240" w:lineRule="auto"/>
              <w:rPr>
                <w:rFonts w:ascii="Verdana" w:eastAsia="Times New Roman" w:hAnsi="Verdana"/>
                <w:i/>
                <w:iCs/>
                <w:color w:val="000000"/>
                <w:sz w:val="20"/>
                <w:szCs w:val="20"/>
                <w:lang w:val="bg-BG"/>
              </w:rPr>
            </w:pPr>
            <w:r w:rsidRPr="00B45B4F">
              <w:rPr>
                <w:rFonts w:ascii="Verdana" w:eastAsia="Times New Roman" w:hAnsi="Verdana"/>
                <w:color w:val="000000"/>
                <w:sz w:val="20"/>
                <w:szCs w:val="20"/>
                <w:lang w:val="bg-BG"/>
              </w:rPr>
              <w:t xml:space="preserve">Като бенефициенти са посочени: </w:t>
            </w:r>
            <w:r w:rsidRPr="00B45B4F">
              <w:rPr>
                <w:rFonts w:ascii="Verdana" w:eastAsia="Times New Roman" w:hAnsi="Verdana"/>
                <w:i/>
                <w:iCs/>
                <w:color w:val="000000"/>
                <w:sz w:val="20"/>
                <w:szCs w:val="20"/>
                <w:lang w:val="bg-BG"/>
              </w:rPr>
              <w:t xml:space="preserve">МОН и второстепенните разпоредители с бюджетни кредити, други министерства, които са финансиращи органи на училища,  ДАЗД, висши училища, научни организации, научни институти, детски градини,  училища, общини, ресурсни центрове, </w:t>
            </w:r>
            <w:r w:rsidR="00FB3AF7" w:rsidRPr="00FE5A49">
              <w:rPr>
                <w:rFonts w:ascii="Verdana" w:eastAsia="Times New Roman" w:hAnsi="Verdana"/>
                <w:i/>
                <w:iCs/>
                <w:color w:val="000000"/>
                <w:sz w:val="20"/>
                <w:szCs w:val="20"/>
                <w:lang w:val="bg-BG"/>
              </w:rPr>
              <w:t>организации по ЗЮЛНЦ</w:t>
            </w:r>
            <w:r w:rsidRPr="00B45B4F">
              <w:rPr>
                <w:rFonts w:ascii="Verdana" w:eastAsia="Times New Roman" w:hAnsi="Verdana"/>
                <w:i/>
                <w:iCs/>
                <w:color w:val="000000"/>
                <w:sz w:val="20"/>
                <w:szCs w:val="20"/>
                <w:lang w:val="bg-BG"/>
              </w:rPr>
              <w:t>.</w:t>
            </w:r>
          </w:p>
          <w:p w:rsidR="00FB3AF7" w:rsidRPr="00B45B4F" w:rsidRDefault="00FB3AF7" w:rsidP="00847E53">
            <w:pPr>
              <w:spacing w:after="0" w:line="240" w:lineRule="auto"/>
              <w:rPr>
                <w:rFonts w:ascii="Verdana" w:eastAsia="Times New Roman" w:hAnsi="Verdana"/>
                <w:i/>
                <w:iCs/>
                <w:color w:val="000000"/>
                <w:sz w:val="20"/>
                <w:szCs w:val="20"/>
                <w:lang w:val="bg-BG"/>
              </w:rPr>
            </w:pPr>
          </w:p>
          <w:p w:rsidR="00847E53" w:rsidRPr="00B45B4F" w:rsidRDefault="00847E53" w:rsidP="00847E53">
            <w:pPr>
              <w:spacing w:after="0" w:line="240" w:lineRule="auto"/>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Бенефициентите са адекватно определени към посочения обхват на дейностите.</w:t>
            </w:r>
          </w:p>
        </w:tc>
        <w:tc>
          <w:tcPr>
            <w:tcW w:w="2790" w:type="dxa"/>
            <w:shd w:val="clear" w:color="auto" w:fill="auto"/>
            <w:hideMark/>
          </w:tcPr>
          <w:p w:rsidR="00847E53" w:rsidRPr="00B45B4F" w:rsidRDefault="00847E53" w:rsidP="00847E53">
            <w:pPr>
              <w:spacing w:after="0" w:line="240" w:lineRule="auto"/>
              <w:rPr>
                <w:rFonts w:ascii="Verdana" w:eastAsia="Times New Roman" w:hAnsi="Verdana"/>
                <w:i/>
                <w:iCs/>
                <w:color w:val="000000"/>
                <w:sz w:val="20"/>
                <w:szCs w:val="20"/>
                <w:lang w:val="bg-BG"/>
              </w:rPr>
            </w:pPr>
            <w:r w:rsidRPr="00B45B4F">
              <w:rPr>
                <w:rFonts w:ascii="Verdana" w:eastAsia="Times New Roman" w:hAnsi="Verdana"/>
                <w:color w:val="000000"/>
                <w:sz w:val="20"/>
                <w:szCs w:val="20"/>
                <w:lang w:val="bg-BG"/>
              </w:rPr>
              <w:t>Целевите групи обхващат: д</w:t>
            </w:r>
            <w:r w:rsidRPr="00B45B4F">
              <w:rPr>
                <w:rFonts w:ascii="Verdana" w:eastAsia="Times New Roman" w:hAnsi="Verdana"/>
                <w:i/>
                <w:iCs/>
                <w:color w:val="000000"/>
                <w:sz w:val="20"/>
                <w:szCs w:val="20"/>
                <w:lang w:val="bg-BG"/>
              </w:rPr>
              <w:t>еца, ученици, младежи, студенти, докторанти, специализанти, родители, учители, ресурсни учители, педагогически специалисти, психолози, директори</w:t>
            </w:r>
          </w:p>
          <w:p w:rsidR="00847E53" w:rsidRPr="00B45B4F" w:rsidRDefault="00847E53" w:rsidP="00FE5A49">
            <w:pPr>
              <w:spacing w:after="0" w:line="240" w:lineRule="auto"/>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Целевите групи отговарят на поставените цели.</w:t>
            </w:r>
            <w:r w:rsidRPr="00B45B4F">
              <w:rPr>
                <w:rFonts w:ascii="Verdana" w:eastAsia="Times New Roman" w:hAnsi="Verdana"/>
                <w:i/>
                <w:iCs/>
                <w:color w:val="000000"/>
                <w:sz w:val="20"/>
                <w:szCs w:val="20"/>
                <w:lang w:val="bg-BG"/>
              </w:rPr>
              <w:t> </w:t>
            </w:r>
          </w:p>
        </w:tc>
      </w:tr>
      <w:tr w:rsidR="00847E53" w:rsidRPr="00B45B4F" w:rsidTr="003954E5">
        <w:trPr>
          <w:trHeight w:val="3496"/>
        </w:trPr>
        <w:tc>
          <w:tcPr>
            <w:tcW w:w="2987" w:type="dxa"/>
            <w:shd w:val="clear" w:color="auto" w:fill="auto"/>
            <w:hideMark/>
          </w:tcPr>
          <w:p w:rsidR="00847E53" w:rsidRPr="00B45B4F" w:rsidRDefault="00847E53" w:rsidP="00847E53">
            <w:pPr>
              <w:spacing w:after="0" w:line="240" w:lineRule="auto"/>
              <w:rPr>
                <w:rFonts w:ascii="Verdana" w:eastAsia="Times New Roman" w:hAnsi="Verdana"/>
                <w:b/>
                <w:bCs/>
                <w:i/>
                <w:iCs/>
                <w:color w:val="000000"/>
                <w:sz w:val="20"/>
                <w:szCs w:val="20"/>
                <w:lang w:val="bg-BG"/>
              </w:rPr>
            </w:pPr>
            <w:r w:rsidRPr="00B45B4F">
              <w:rPr>
                <w:rFonts w:ascii="Verdana" w:eastAsia="Times New Roman" w:hAnsi="Verdana"/>
                <w:b/>
                <w:bCs/>
                <w:i/>
                <w:iCs/>
                <w:color w:val="000000"/>
                <w:sz w:val="20"/>
                <w:szCs w:val="20"/>
                <w:lang w:val="bg-BG"/>
              </w:rPr>
              <w:lastRenderedPageBreak/>
              <w:t xml:space="preserve">Инвестиционен приоритет 2: </w:t>
            </w:r>
            <w:r w:rsidRPr="00B45B4F">
              <w:rPr>
                <w:rFonts w:ascii="Verdana" w:eastAsia="Times New Roman" w:hAnsi="Verdana"/>
                <w:i/>
                <w:iCs/>
                <w:color w:val="000000"/>
                <w:sz w:val="20"/>
                <w:szCs w:val="20"/>
                <w:lang w:val="bg-BG"/>
              </w:rPr>
              <w:t xml:space="preserve">Социално-икономическо интегриране на </w:t>
            </w:r>
            <w:proofErr w:type="spellStart"/>
            <w:r w:rsidRPr="00B45B4F">
              <w:rPr>
                <w:rFonts w:ascii="Verdana" w:eastAsia="Times New Roman" w:hAnsi="Verdana"/>
                <w:i/>
                <w:iCs/>
                <w:color w:val="000000"/>
                <w:sz w:val="20"/>
                <w:szCs w:val="20"/>
                <w:lang w:val="bg-BG"/>
              </w:rPr>
              <w:t>маргинализираните</w:t>
            </w:r>
            <w:proofErr w:type="spellEnd"/>
            <w:r w:rsidRPr="00B45B4F">
              <w:rPr>
                <w:rFonts w:ascii="Verdana" w:eastAsia="Times New Roman" w:hAnsi="Verdana"/>
                <w:i/>
                <w:iCs/>
                <w:color w:val="000000"/>
                <w:sz w:val="20"/>
                <w:szCs w:val="20"/>
                <w:lang w:val="bg-BG"/>
              </w:rPr>
              <w:t xml:space="preserve"> общности, като например ромите. </w:t>
            </w:r>
          </w:p>
        </w:tc>
        <w:tc>
          <w:tcPr>
            <w:tcW w:w="3330" w:type="dxa"/>
            <w:shd w:val="clear" w:color="auto" w:fill="auto"/>
            <w:hideMark/>
          </w:tcPr>
          <w:p w:rsidR="00847E53" w:rsidRDefault="00847E53" w:rsidP="00847E53">
            <w:pPr>
              <w:spacing w:after="0" w:line="240" w:lineRule="auto"/>
              <w:rPr>
                <w:rFonts w:ascii="Verdana" w:eastAsia="Times New Roman" w:hAnsi="Verdana"/>
                <w:i/>
                <w:iCs/>
                <w:color w:val="000000"/>
                <w:sz w:val="20"/>
                <w:szCs w:val="20"/>
                <w:lang w:val="bg-BG"/>
              </w:rPr>
            </w:pPr>
            <w:r w:rsidRPr="00B45B4F">
              <w:rPr>
                <w:rFonts w:ascii="Verdana" w:eastAsia="Times New Roman" w:hAnsi="Verdana"/>
                <w:color w:val="000000"/>
                <w:sz w:val="20"/>
                <w:szCs w:val="20"/>
                <w:lang w:val="bg-BG"/>
              </w:rPr>
              <w:t xml:space="preserve">Като бенефициенти са посочени: </w:t>
            </w:r>
            <w:r w:rsidRPr="00B45B4F">
              <w:rPr>
                <w:rFonts w:ascii="Verdana" w:eastAsia="Times New Roman" w:hAnsi="Verdana"/>
                <w:i/>
                <w:iCs/>
                <w:color w:val="000000"/>
                <w:sz w:val="20"/>
                <w:szCs w:val="20"/>
                <w:lang w:val="bg-BG"/>
              </w:rPr>
              <w:t xml:space="preserve">МОН и второстепенните разпоредители с бюджетни кредити, други министерства, които са финансиращи органи на училища, ЦОИДУЕМ , детски градини,  училища, общини, </w:t>
            </w:r>
            <w:r w:rsidR="00FB3AF7" w:rsidRPr="00FE5A49">
              <w:rPr>
                <w:rFonts w:ascii="Verdana" w:eastAsia="Times New Roman" w:hAnsi="Verdana"/>
                <w:i/>
                <w:iCs/>
                <w:color w:val="000000"/>
                <w:sz w:val="20"/>
                <w:szCs w:val="20"/>
                <w:lang w:val="bg-BG"/>
              </w:rPr>
              <w:t>организации по ЗЮЛНЦ</w:t>
            </w:r>
            <w:r w:rsidRPr="00B45B4F">
              <w:rPr>
                <w:rFonts w:ascii="Verdana" w:eastAsia="Times New Roman" w:hAnsi="Verdana"/>
                <w:i/>
                <w:iCs/>
                <w:color w:val="000000"/>
                <w:sz w:val="20"/>
                <w:szCs w:val="20"/>
                <w:lang w:val="bg-BG"/>
              </w:rPr>
              <w:t>.</w:t>
            </w:r>
          </w:p>
          <w:p w:rsidR="00FB3AF7" w:rsidRPr="00B45B4F" w:rsidRDefault="00FB3AF7" w:rsidP="00847E53">
            <w:pPr>
              <w:spacing w:after="0" w:line="240" w:lineRule="auto"/>
              <w:rPr>
                <w:rFonts w:ascii="Verdana" w:eastAsia="Times New Roman" w:hAnsi="Verdana"/>
                <w:i/>
                <w:iCs/>
                <w:color w:val="000000"/>
                <w:sz w:val="20"/>
                <w:szCs w:val="20"/>
                <w:lang w:val="bg-BG"/>
              </w:rPr>
            </w:pPr>
          </w:p>
          <w:p w:rsidR="00847E53" w:rsidRPr="00B45B4F" w:rsidRDefault="00847E53" w:rsidP="00847E53">
            <w:pPr>
              <w:spacing w:after="0" w:line="240" w:lineRule="auto"/>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Бенефициентите са подходящо определени.</w:t>
            </w:r>
          </w:p>
        </w:tc>
        <w:tc>
          <w:tcPr>
            <w:tcW w:w="2790" w:type="dxa"/>
            <w:shd w:val="clear" w:color="auto" w:fill="auto"/>
            <w:hideMark/>
          </w:tcPr>
          <w:p w:rsidR="00847E53" w:rsidRDefault="00847E53" w:rsidP="00847E53">
            <w:pPr>
              <w:spacing w:after="0" w:line="240" w:lineRule="auto"/>
              <w:rPr>
                <w:rFonts w:ascii="Verdana" w:eastAsia="Times New Roman" w:hAnsi="Verdana"/>
                <w:i/>
                <w:iCs/>
                <w:color w:val="000000"/>
                <w:sz w:val="20"/>
                <w:szCs w:val="20"/>
                <w:lang w:val="bg-BG"/>
              </w:rPr>
            </w:pPr>
            <w:r w:rsidRPr="00B45B4F">
              <w:rPr>
                <w:rFonts w:ascii="Verdana" w:eastAsia="Times New Roman" w:hAnsi="Verdana"/>
                <w:color w:val="000000"/>
                <w:sz w:val="20"/>
                <w:szCs w:val="20"/>
                <w:lang w:val="bg-BG"/>
              </w:rPr>
              <w:t xml:space="preserve">Целевите групи включват: </w:t>
            </w:r>
            <w:r w:rsidRPr="00B45B4F">
              <w:rPr>
                <w:rFonts w:ascii="Verdana" w:eastAsia="Times New Roman" w:hAnsi="Verdana"/>
                <w:i/>
                <w:iCs/>
                <w:color w:val="000000"/>
                <w:sz w:val="20"/>
                <w:szCs w:val="20"/>
                <w:lang w:val="bg-BG"/>
              </w:rPr>
              <w:t xml:space="preserve">деца, ученици, младежи от етническите малцинства и от други уязвими групи, родители, учители, педагогически специалисти, </w:t>
            </w:r>
            <w:proofErr w:type="spellStart"/>
            <w:r w:rsidRPr="00B45B4F">
              <w:rPr>
                <w:rFonts w:ascii="Verdana" w:eastAsia="Times New Roman" w:hAnsi="Verdana"/>
                <w:i/>
                <w:iCs/>
                <w:color w:val="000000"/>
                <w:sz w:val="20"/>
                <w:szCs w:val="20"/>
                <w:lang w:val="bg-BG"/>
              </w:rPr>
              <w:t>медиатори</w:t>
            </w:r>
            <w:proofErr w:type="spellEnd"/>
            <w:r w:rsidRPr="00B45B4F">
              <w:rPr>
                <w:rFonts w:ascii="Verdana" w:eastAsia="Times New Roman" w:hAnsi="Verdana"/>
                <w:i/>
                <w:iCs/>
                <w:color w:val="000000"/>
                <w:sz w:val="20"/>
                <w:szCs w:val="20"/>
                <w:lang w:val="bg-BG"/>
              </w:rPr>
              <w:t>, директори</w:t>
            </w:r>
            <w:r w:rsidR="00FB3AF7">
              <w:rPr>
                <w:rFonts w:ascii="Verdana" w:eastAsia="Times New Roman" w:hAnsi="Verdana"/>
                <w:i/>
                <w:iCs/>
                <w:color w:val="000000"/>
                <w:sz w:val="20"/>
                <w:szCs w:val="20"/>
                <w:lang w:val="bg-BG"/>
              </w:rPr>
              <w:t>.</w:t>
            </w:r>
          </w:p>
          <w:p w:rsidR="00FB3AF7" w:rsidRPr="00B45B4F" w:rsidRDefault="00FB3AF7" w:rsidP="00847E53">
            <w:pPr>
              <w:spacing w:after="0" w:line="240" w:lineRule="auto"/>
              <w:rPr>
                <w:rFonts w:ascii="Verdana" w:eastAsia="Times New Roman" w:hAnsi="Verdana"/>
                <w:i/>
                <w:iCs/>
                <w:color w:val="000000"/>
                <w:sz w:val="20"/>
                <w:szCs w:val="20"/>
                <w:lang w:val="bg-BG"/>
              </w:rPr>
            </w:pPr>
          </w:p>
          <w:p w:rsidR="00847E53" w:rsidRPr="00B45B4F" w:rsidRDefault="00847E53" w:rsidP="00847E53">
            <w:pPr>
              <w:spacing w:after="0" w:line="240" w:lineRule="auto"/>
              <w:rPr>
                <w:rFonts w:ascii="Verdana" w:eastAsia="Times New Roman" w:hAnsi="Verdana"/>
                <w:color w:val="000000"/>
                <w:sz w:val="20"/>
                <w:szCs w:val="20"/>
                <w:lang w:val="bg-BG"/>
              </w:rPr>
            </w:pPr>
            <w:r w:rsidRPr="00B45B4F">
              <w:rPr>
                <w:rFonts w:ascii="Verdana" w:eastAsia="Times New Roman" w:hAnsi="Verdana"/>
                <w:color w:val="000000"/>
                <w:sz w:val="20"/>
                <w:szCs w:val="20"/>
                <w:lang w:val="bg-BG"/>
              </w:rPr>
              <w:t>Целевите групи включват групите, които ще бъдат облагодетелствани от помощта.</w:t>
            </w:r>
          </w:p>
        </w:tc>
      </w:tr>
    </w:tbl>
    <w:p w:rsidR="00057F10" w:rsidRPr="00B45B4F" w:rsidRDefault="00057F10" w:rsidP="00AF35B1">
      <w:pPr>
        <w:spacing w:before="120" w:after="120"/>
        <w:jc w:val="both"/>
        <w:rPr>
          <w:rFonts w:ascii="Verdana" w:hAnsi="Verdana"/>
          <w:sz w:val="20"/>
          <w:lang w:val="bg-BG"/>
        </w:rPr>
      </w:pPr>
    </w:p>
    <w:tbl>
      <w:tblPr>
        <w:tblW w:w="0" w:type="auto"/>
        <w:tblInd w:w="108" w:type="dxa"/>
        <w:tblBorders>
          <w:top w:val="single" w:sz="4" w:space="0" w:color="auto"/>
          <w:bottom w:val="single" w:sz="4" w:space="0" w:color="auto"/>
        </w:tblBorders>
        <w:tblLook w:val="04A0" w:firstRow="1" w:lastRow="0" w:firstColumn="1" w:lastColumn="0" w:noHBand="0" w:noVBand="1"/>
      </w:tblPr>
      <w:tblGrid>
        <w:gridCol w:w="420"/>
        <w:gridCol w:w="8494"/>
      </w:tblGrid>
      <w:tr w:rsidR="001C0689" w:rsidRPr="00937B75" w:rsidTr="000B26C2">
        <w:trPr>
          <w:trHeight w:val="563"/>
        </w:trPr>
        <w:tc>
          <w:tcPr>
            <w:tcW w:w="420" w:type="dxa"/>
            <w:vAlign w:val="center"/>
          </w:tcPr>
          <w:p w:rsidR="001C0689" w:rsidRPr="00937B75" w:rsidRDefault="001C0689" w:rsidP="001C0689">
            <w:pPr>
              <w:pStyle w:val="BodyText"/>
              <w:spacing w:after="0" w:line="276" w:lineRule="auto"/>
              <w:jc w:val="center"/>
              <w:rPr>
                <w:rFonts w:ascii="Verdana" w:hAnsi="Verdana"/>
                <w:color w:val="548DD4"/>
                <w:sz w:val="36"/>
                <w:szCs w:val="36"/>
              </w:rPr>
            </w:pPr>
            <w:r w:rsidRPr="00937B75">
              <w:rPr>
                <w:rFonts w:ascii="Verdana" w:hAnsi="Verdana"/>
                <w:color w:val="548DD4"/>
                <w:sz w:val="36"/>
                <w:szCs w:val="36"/>
              </w:rPr>
              <w:t>?</w:t>
            </w:r>
          </w:p>
        </w:tc>
        <w:tc>
          <w:tcPr>
            <w:tcW w:w="8494" w:type="dxa"/>
            <w:shd w:val="clear" w:color="auto" w:fill="B8CCE4"/>
            <w:vAlign w:val="center"/>
          </w:tcPr>
          <w:p w:rsidR="001C0689" w:rsidRPr="00937B75" w:rsidRDefault="001C0689" w:rsidP="000B26C2">
            <w:pPr>
              <w:autoSpaceDE w:val="0"/>
              <w:autoSpaceDN w:val="0"/>
              <w:adjustRightInd w:val="0"/>
              <w:spacing w:before="120" w:after="120" w:line="240" w:lineRule="auto"/>
              <w:ind w:left="115"/>
              <w:rPr>
                <w:rFonts w:ascii="Verdana" w:hAnsi="Verdana"/>
                <w:sz w:val="20"/>
                <w:szCs w:val="20"/>
                <w:lang w:val="bg-BG"/>
              </w:rPr>
            </w:pPr>
            <w:r w:rsidRPr="00937B75">
              <w:rPr>
                <w:rFonts w:ascii="Verdana" w:hAnsi="Verdana"/>
                <w:sz w:val="20"/>
                <w:szCs w:val="20"/>
                <w:lang w:val="bg-BG"/>
              </w:rPr>
              <w:t>Уместност на предложените форми за подкрепа;</w:t>
            </w:r>
          </w:p>
        </w:tc>
      </w:tr>
    </w:tbl>
    <w:p w:rsidR="00363CB9" w:rsidRPr="00B45B4F" w:rsidRDefault="00363CB9" w:rsidP="00363CB9">
      <w:pPr>
        <w:widowControl w:val="0"/>
        <w:tabs>
          <w:tab w:val="left" w:pos="0"/>
          <w:tab w:val="right" w:pos="9214"/>
        </w:tabs>
        <w:spacing w:before="120" w:after="0"/>
        <w:jc w:val="both"/>
        <w:rPr>
          <w:rFonts w:ascii="Verdana" w:eastAsia="Times New Roman" w:hAnsi="Verdana"/>
          <w:bCs/>
          <w:color w:val="000000"/>
          <w:sz w:val="20"/>
          <w:szCs w:val="20"/>
          <w:lang w:val="bg-BG" w:eastAsia="bg-BG"/>
        </w:rPr>
      </w:pPr>
      <w:r w:rsidRPr="00B45B4F">
        <w:rPr>
          <w:rFonts w:ascii="Verdana" w:eastAsia="Times New Roman" w:hAnsi="Verdana"/>
          <w:bCs/>
          <w:color w:val="000000"/>
          <w:sz w:val="20"/>
          <w:szCs w:val="20"/>
          <w:lang w:val="bg-BG" w:eastAsia="bg-BG"/>
        </w:rPr>
        <w:t>За да отговорим на този въпрос, сме направили анализ на:</w:t>
      </w:r>
    </w:p>
    <w:p w:rsidR="00363CB9" w:rsidRPr="00B45B4F" w:rsidRDefault="00363CB9" w:rsidP="006861B0">
      <w:pPr>
        <w:pStyle w:val="ListParagraph"/>
        <w:widowControl w:val="0"/>
        <w:numPr>
          <w:ilvl w:val="0"/>
          <w:numId w:val="28"/>
        </w:numPr>
        <w:tabs>
          <w:tab w:val="left" w:pos="0"/>
          <w:tab w:val="right" w:pos="9214"/>
        </w:tabs>
        <w:spacing w:before="120" w:after="0"/>
        <w:jc w:val="both"/>
        <w:rPr>
          <w:rFonts w:ascii="Verdana" w:eastAsia="Times New Roman" w:hAnsi="Verdana"/>
          <w:bCs/>
          <w:color w:val="000000"/>
          <w:sz w:val="20"/>
          <w:szCs w:val="20"/>
          <w:lang w:val="bg-BG" w:eastAsia="bg-BG"/>
        </w:rPr>
      </w:pPr>
      <w:r w:rsidRPr="00B45B4F">
        <w:rPr>
          <w:rFonts w:ascii="Verdana" w:eastAsia="Times New Roman" w:hAnsi="Verdana"/>
          <w:bCs/>
          <w:color w:val="000000"/>
          <w:sz w:val="20"/>
          <w:szCs w:val="20"/>
          <w:lang w:val="bg-BG" w:eastAsia="bg-BG"/>
        </w:rPr>
        <w:t>Водещите принципи за избор на операции;</w:t>
      </w:r>
    </w:p>
    <w:p w:rsidR="00363CB9" w:rsidRPr="00B45B4F" w:rsidRDefault="00363CB9" w:rsidP="006861B0">
      <w:pPr>
        <w:pStyle w:val="ListParagraph"/>
        <w:widowControl w:val="0"/>
        <w:numPr>
          <w:ilvl w:val="0"/>
          <w:numId w:val="28"/>
        </w:numPr>
        <w:tabs>
          <w:tab w:val="left" w:pos="0"/>
          <w:tab w:val="right" w:pos="9214"/>
        </w:tabs>
        <w:spacing w:before="120" w:after="0"/>
        <w:jc w:val="both"/>
        <w:rPr>
          <w:rFonts w:ascii="Verdana" w:eastAsia="Times New Roman" w:hAnsi="Verdana"/>
          <w:bCs/>
          <w:color w:val="000000"/>
          <w:sz w:val="20"/>
          <w:szCs w:val="20"/>
          <w:lang w:val="bg-BG" w:eastAsia="bg-BG"/>
        </w:rPr>
      </w:pPr>
      <w:r w:rsidRPr="00B45B4F">
        <w:rPr>
          <w:rFonts w:ascii="Verdana" w:eastAsia="Times New Roman" w:hAnsi="Verdana"/>
          <w:bCs/>
          <w:color w:val="000000"/>
          <w:sz w:val="20"/>
          <w:szCs w:val="20"/>
          <w:lang w:val="bg-BG" w:eastAsia="bg-BG"/>
        </w:rPr>
        <w:t xml:space="preserve">Формите на подкрепа по отношение на това дали са грантове, директно договаряне или с </w:t>
      </w:r>
      <w:r w:rsidR="00986DDC" w:rsidRPr="00B45B4F">
        <w:rPr>
          <w:rFonts w:ascii="Verdana" w:eastAsia="Times New Roman" w:hAnsi="Verdana"/>
          <w:bCs/>
          <w:color w:val="000000"/>
          <w:sz w:val="20"/>
          <w:szCs w:val="20"/>
          <w:lang w:val="bg-BG" w:eastAsia="bg-BG"/>
        </w:rPr>
        <w:t>някаква степен на съфинансиране и използване на финансови инструменти.</w:t>
      </w:r>
    </w:p>
    <w:p w:rsidR="00363CB9" w:rsidRPr="00B45B4F" w:rsidRDefault="00363CB9" w:rsidP="00FA776A">
      <w:pPr>
        <w:keepNext/>
        <w:pBdr>
          <w:bottom w:val="single" w:sz="4" w:space="1" w:color="0070C0"/>
        </w:pBdr>
        <w:spacing w:before="360" w:after="120"/>
        <w:jc w:val="both"/>
        <w:rPr>
          <w:rFonts w:ascii="Verdana" w:hAnsi="Verdana"/>
          <w:color w:val="0070C0"/>
          <w:sz w:val="20"/>
          <w:szCs w:val="20"/>
          <w:lang w:val="bg-BG" w:eastAsia="cs-CZ"/>
        </w:rPr>
      </w:pPr>
      <w:r w:rsidRPr="00B45B4F">
        <w:rPr>
          <w:rFonts w:ascii="Verdana" w:hAnsi="Verdana"/>
          <w:color w:val="0070C0"/>
          <w:sz w:val="20"/>
          <w:szCs w:val="20"/>
          <w:lang w:val="bg-BG" w:eastAsia="cs-CZ"/>
        </w:rPr>
        <w:t>Водещи принципи за избор на операции</w:t>
      </w:r>
    </w:p>
    <w:p w:rsidR="00363CB9" w:rsidRPr="00B45B4F" w:rsidRDefault="00363CB9" w:rsidP="009E5D12">
      <w:pPr>
        <w:widowControl w:val="0"/>
        <w:tabs>
          <w:tab w:val="left" w:pos="0"/>
          <w:tab w:val="right" w:pos="9214"/>
        </w:tabs>
        <w:spacing w:before="120" w:after="0"/>
        <w:jc w:val="both"/>
        <w:rPr>
          <w:rFonts w:ascii="Verdana" w:eastAsia="Times New Roman" w:hAnsi="Verdana"/>
          <w:bCs/>
          <w:color w:val="000000"/>
          <w:sz w:val="20"/>
          <w:szCs w:val="20"/>
          <w:lang w:val="bg-BG" w:eastAsia="bg-BG"/>
        </w:rPr>
      </w:pPr>
      <w:r w:rsidRPr="00B45B4F">
        <w:rPr>
          <w:rFonts w:ascii="Verdana" w:eastAsia="Times New Roman" w:hAnsi="Verdana"/>
          <w:bCs/>
          <w:color w:val="000000"/>
          <w:sz w:val="20"/>
          <w:szCs w:val="20"/>
          <w:lang w:val="bg-BG" w:eastAsia="bg-BG"/>
        </w:rPr>
        <w:t xml:space="preserve">Водещите принципи за избор на операции по отделните приоритетни оси и инвестиционни приоритети са представени </w:t>
      </w:r>
      <w:r w:rsidR="009E5D12" w:rsidRPr="00B45B4F">
        <w:rPr>
          <w:rFonts w:ascii="Verdana" w:eastAsia="Times New Roman" w:hAnsi="Verdana"/>
          <w:bCs/>
          <w:color w:val="000000"/>
          <w:sz w:val="20"/>
          <w:szCs w:val="20"/>
          <w:lang w:val="bg-BG" w:eastAsia="bg-BG"/>
        </w:rPr>
        <w:t xml:space="preserve"> и анализирани </w:t>
      </w:r>
      <w:r w:rsidRPr="00B45B4F">
        <w:rPr>
          <w:rFonts w:ascii="Verdana" w:eastAsia="Times New Roman" w:hAnsi="Verdana"/>
          <w:bCs/>
          <w:color w:val="000000"/>
          <w:sz w:val="20"/>
          <w:szCs w:val="20"/>
          <w:lang w:val="bg-BG" w:eastAsia="bg-BG"/>
        </w:rPr>
        <w:t>в следващ</w:t>
      </w:r>
      <w:r w:rsidR="009E5D12" w:rsidRPr="00B45B4F">
        <w:rPr>
          <w:rFonts w:ascii="Verdana" w:eastAsia="Times New Roman" w:hAnsi="Verdana"/>
          <w:bCs/>
          <w:color w:val="000000"/>
          <w:sz w:val="20"/>
          <w:szCs w:val="20"/>
          <w:lang w:val="bg-BG" w:eastAsia="bg-BG"/>
        </w:rPr>
        <w:t>и</w:t>
      </w:r>
      <w:r w:rsidRPr="00B45B4F">
        <w:rPr>
          <w:rFonts w:ascii="Verdana" w:eastAsia="Times New Roman" w:hAnsi="Verdana"/>
          <w:bCs/>
          <w:color w:val="000000"/>
          <w:sz w:val="20"/>
          <w:szCs w:val="20"/>
          <w:lang w:val="bg-BG" w:eastAsia="bg-BG"/>
        </w:rPr>
        <w:t>т</w:t>
      </w:r>
      <w:r w:rsidR="009E5D12" w:rsidRPr="00B45B4F">
        <w:rPr>
          <w:rFonts w:ascii="Verdana" w:eastAsia="Times New Roman" w:hAnsi="Verdana"/>
          <w:bCs/>
          <w:color w:val="000000"/>
          <w:sz w:val="20"/>
          <w:szCs w:val="20"/>
          <w:lang w:val="bg-BG" w:eastAsia="bg-BG"/>
        </w:rPr>
        <w:t>е</w:t>
      </w:r>
      <w:r w:rsidRPr="00B45B4F">
        <w:rPr>
          <w:rFonts w:ascii="Verdana" w:eastAsia="Times New Roman" w:hAnsi="Verdana"/>
          <w:bCs/>
          <w:color w:val="000000"/>
          <w:sz w:val="20"/>
          <w:szCs w:val="20"/>
          <w:lang w:val="bg-BG" w:eastAsia="bg-BG"/>
        </w:rPr>
        <w:t xml:space="preserve"> таблиц</w:t>
      </w:r>
      <w:r w:rsidR="009E5D12" w:rsidRPr="00B45B4F">
        <w:rPr>
          <w:rFonts w:ascii="Verdana" w:eastAsia="Times New Roman" w:hAnsi="Verdana"/>
          <w:bCs/>
          <w:color w:val="000000"/>
          <w:sz w:val="20"/>
          <w:szCs w:val="20"/>
          <w:lang w:val="bg-BG" w:eastAsia="bg-BG"/>
        </w:rPr>
        <w:t>и</w:t>
      </w:r>
      <w:r w:rsidRPr="00B45B4F">
        <w:rPr>
          <w:rFonts w:ascii="Verdana" w:eastAsia="Times New Roman" w:hAnsi="Verdana"/>
          <w:bCs/>
          <w:color w:val="000000"/>
          <w:sz w:val="20"/>
          <w:szCs w:val="20"/>
          <w:lang w:val="bg-BG" w:eastAsia="bg-BG"/>
        </w:rPr>
        <w:t>:</w:t>
      </w:r>
    </w:p>
    <w:p w:rsidR="00B06898" w:rsidRPr="00B45B4F" w:rsidRDefault="00B06898" w:rsidP="009E5D12">
      <w:pPr>
        <w:widowControl w:val="0"/>
        <w:tabs>
          <w:tab w:val="left" w:pos="0"/>
          <w:tab w:val="right" w:pos="9214"/>
        </w:tabs>
        <w:spacing w:before="120" w:after="0"/>
        <w:jc w:val="both"/>
        <w:rPr>
          <w:rFonts w:ascii="Verdana" w:eastAsia="Times New Roman" w:hAnsi="Verdana"/>
          <w:bCs/>
          <w:color w:val="000000"/>
          <w:sz w:val="20"/>
          <w:szCs w:val="20"/>
          <w:lang w:val="bg-BG" w:eastAsia="bg-BG"/>
        </w:rPr>
      </w:pPr>
    </w:p>
    <w:p w:rsidR="009E5D12" w:rsidRPr="00B45B4F" w:rsidRDefault="009E5D12" w:rsidP="006A27F9">
      <w:pPr>
        <w:pStyle w:val="Caption"/>
        <w:keepNext/>
        <w:spacing w:after="120"/>
        <w:rPr>
          <w:rFonts w:ascii="Verdana" w:hAnsi="Verdana"/>
          <w:color w:val="548DD4" w:themeColor="text2" w:themeTint="99"/>
        </w:rPr>
      </w:pPr>
      <w:bookmarkStart w:id="96" w:name="_Toc395612584"/>
      <w:r w:rsidRPr="00B45B4F">
        <w:rPr>
          <w:rFonts w:ascii="Verdana" w:hAnsi="Verdana"/>
          <w:color w:val="548DD4" w:themeColor="text2" w:themeTint="99"/>
        </w:rPr>
        <w:t xml:space="preserve">Таблица </w:t>
      </w:r>
      <w:r w:rsidR="00BF1936" w:rsidRPr="00B45B4F">
        <w:rPr>
          <w:rFonts w:ascii="Verdana" w:hAnsi="Verdana"/>
          <w:color w:val="548DD4" w:themeColor="text2" w:themeTint="99"/>
        </w:rPr>
        <w:fldChar w:fldCharType="begin"/>
      </w:r>
      <w:r w:rsidRPr="00B45B4F">
        <w:rPr>
          <w:rFonts w:ascii="Verdana" w:hAnsi="Verdana"/>
          <w:color w:val="548DD4" w:themeColor="text2" w:themeTint="99"/>
        </w:rPr>
        <w:instrText xml:space="preserve"> SEQ таблица \* ARABIC </w:instrText>
      </w:r>
      <w:r w:rsidR="00BF1936" w:rsidRPr="00B45B4F">
        <w:rPr>
          <w:rFonts w:ascii="Verdana" w:hAnsi="Verdana"/>
          <w:color w:val="548DD4" w:themeColor="text2" w:themeTint="99"/>
        </w:rPr>
        <w:fldChar w:fldCharType="separate"/>
      </w:r>
      <w:r w:rsidR="001361E0">
        <w:rPr>
          <w:rFonts w:ascii="Verdana" w:hAnsi="Verdana"/>
          <w:noProof/>
          <w:color w:val="548DD4" w:themeColor="text2" w:themeTint="99"/>
        </w:rPr>
        <w:t>28</w:t>
      </w:r>
      <w:r w:rsidR="00BF1936" w:rsidRPr="00B45B4F">
        <w:rPr>
          <w:rFonts w:ascii="Verdana" w:hAnsi="Verdana"/>
          <w:color w:val="548DD4" w:themeColor="text2" w:themeTint="99"/>
        </w:rPr>
        <w:fldChar w:fldCharType="end"/>
      </w:r>
      <w:r w:rsidRPr="00B45B4F">
        <w:rPr>
          <w:rFonts w:ascii="Verdana" w:hAnsi="Verdana"/>
          <w:color w:val="548DD4" w:themeColor="text2" w:themeTint="99"/>
        </w:rPr>
        <w:t>. Принципи, посочени като водещи при избора на операции</w:t>
      </w:r>
      <w:bookmarkEnd w:id="96"/>
    </w:p>
    <w:tbl>
      <w:tblPr>
        <w:tblW w:w="909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150"/>
        <w:gridCol w:w="720"/>
        <w:gridCol w:w="720"/>
        <w:gridCol w:w="720"/>
        <w:gridCol w:w="810"/>
        <w:gridCol w:w="810"/>
        <w:gridCol w:w="720"/>
        <w:gridCol w:w="720"/>
        <w:gridCol w:w="720"/>
      </w:tblGrid>
      <w:tr w:rsidR="009E5D12" w:rsidRPr="00B45B4F" w:rsidTr="00666C98">
        <w:tc>
          <w:tcPr>
            <w:tcW w:w="3150" w:type="dxa"/>
            <w:vMerge w:val="restart"/>
            <w:shd w:val="clear" w:color="auto" w:fill="548DD4" w:themeFill="text2" w:themeFillTint="99"/>
            <w:vAlign w:val="center"/>
            <w:hideMark/>
          </w:tcPr>
          <w:p w:rsidR="009E5D12" w:rsidRPr="00B45B4F" w:rsidRDefault="009E5D12" w:rsidP="00666C98">
            <w:pPr>
              <w:spacing w:after="0" w:line="240" w:lineRule="auto"/>
              <w:jc w:val="center"/>
              <w:rPr>
                <w:rFonts w:ascii="Verdana" w:eastAsia="Times New Roman" w:hAnsi="Verdana" w:cs="Calibri"/>
                <w:b/>
                <w:bCs/>
                <w:color w:val="FFFFFF"/>
                <w:sz w:val="18"/>
                <w:szCs w:val="18"/>
                <w:lang w:val="bg-BG" w:eastAsia="bg-BG"/>
              </w:rPr>
            </w:pPr>
            <w:r w:rsidRPr="00B45B4F">
              <w:rPr>
                <w:rFonts w:ascii="Verdana" w:eastAsia="Times New Roman" w:hAnsi="Verdana" w:cs="Calibri"/>
                <w:b/>
                <w:bCs/>
                <w:color w:val="FFFFFF"/>
                <w:sz w:val="18"/>
                <w:szCs w:val="18"/>
                <w:lang w:val="bg-BG" w:eastAsia="bg-BG"/>
              </w:rPr>
              <w:t xml:space="preserve">Водещи принципи за </w:t>
            </w:r>
            <w:r w:rsidRPr="00B45B4F">
              <w:rPr>
                <w:rFonts w:ascii="Verdana" w:eastAsia="Times New Roman" w:hAnsi="Verdana" w:cs="Calibri"/>
                <w:b/>
                <w:bCs/>
                <w:color w:val="FFFFFF"/>
                <w:sz w:val="18"/>
                <w:szCs w:val="18"/>
                <w:lang w:val="bg-BG" w:eastAsia="bg-BG"/>
              </w:rPr>
              <w:br/>
              <w:t>избор на операции</w:t>
            </w:r>
          </w:p>
        </w:tc>
        <w:tc>
          <w:tcPr>
            <w:tcW w:w="1440" w:type="dxa"/>
            <w:gridSpan w:val="2"/>
            <w:shd w:val="clear" w:color="auto" w:fill="548DD4" w:themeFill="text2" w:themeFillTint="99"/>
            <w:vAlign w:val="center"/>
            <w:hideMark/>
          </w:tcPr>
          <w:p w:rsidR="009E5D12" w:rsidRPr="00B45B4F" w:rsidRDefault="009E5D12" w:rsidP="00666C98">
            <w:pPr>
              <w:spacing w:after="0" w:line="240" w:lineRule="auto"/>
              <w:jc w:val="center"/>
              <w:rPr>
                <w:rFonts w:ascii="Verdana" w:eastAsia="Times New Roman" w:hAnsi="Verdana" w:cs="Calibri"/>
                <w:b/>
                <w:bCs/>
                <w:color w:val="FFFFFF"/>
                <w:sz w:val="18"/>
                <w:szCs w:val="18"/>
                <w:lang w:val="bg-BG" w:eastAsia="bg-BG"/>
              </w:rPr>
            </w:pPr>
            <w:r w:rsidRPr="00B45B4F">
              <w:rPr>
                <w:rFonts w:ascii="Verdana" w:eastAsia="Times New Roman" w:hAnsi="Verdana" w:cs="Calibri"/>
                <w:b/>
                <w:bCs/>
                <w:color w:val="FFFFFF"/>
                <w:sz w:val="18"/>
                <w:szCs w:val="18"/>
                <w:lang w:val="bg-BG" w:eastAsia="bg-BG"/>
              </w:rPr>
              <w:t>ПО 1</w:t>
            </w:r>
          </w:p>
        </w:tc>
        <w:tc>
          <w:tcPr>
            <w:tcW w:w="3060" w:type="dxa"/>
            <w:gridSpan w:val="4"/>
            <w:shd w:val="clear" w:color="auto" w:fill="548DD4" w:themeFill="text2" w:themeFillTint="99"/>
            <w:vAlign w:val="center"/>
            <w:hideMark/>
          </w:tcPr>
          <w:p w:rsidR="009E5D12" w:rsidRPr="00B45B4F" w:rsidRDefault="009E5D12" w:rsidP="00666C98">
            <w:pPr>
              <w:spacing w:after="0" w:line="240" w:lineRule="auto"/>
              <w:jc w:val="center"/>
              <w:rPr>
                <w:rFonts w:ascii="Verdana" w:eastAsia="Times New Roman" w:hAnsi="Verdana" w:cs="Calibri"/>
                <w:b/>
                <w:bCs/>
                <w:color w:val="FFFFFF"/>
                <w:sz w:val="18"/>
                <w:szCs w:val="18"/>
                <w:lang w:val="bg-BG" w:eastAsia="bg-BG"/>
              </w:rPr>
            </w:pPr>
            <w:r w:rsidRPr="00B45B4F">
              <w:rPr>
                <w:rFonts w:ascii="Verdana" w:eastAsia="Times New Roman" w:hAnsi="Verdana" w:cs="Calibri"/>
                <w:b/>
                <w:bCs/>
                <w:color w:val="FFFFFF"/>
                <w:sz w:val="18"/>
                <w:szCs w:val="18"/>
                <w:lang w:val="bg-BG" w:eastAsia="bg-BG"/>
              </w:rPr>
              <w:t>ПО 2</w:t>
            </w:r>
          </w:p>
        </w:tc>
        <w:tc>
          <w:tcPr>
            <w:tcW w:w="1440" w:type="dxa"/>
            <w:gridSpan w:val="2"/>
            <w:shd w:val="clear" w:color="auto" w:fill="548DD4" w:themeFill="text2" w:themeFillTint="99"/>
            <w:vAlign w:val="center"/>
            <w:hideMark/>
          </w:tcPr>
          <w:p w:rsidR="009E5D12" w:rsidRPr="00B45B4F" w:rsidRDefault="009E5D12" w:rsidP="00666C98">
            <w:pPr>
              <w:spacing w:after="0" w:line="240" w:lineRule="auto"/>
              <w:jc w:val="center"/>
              <w:rPr>
                <w:rFonts w:ascii="Verdana" w:eastAsia="Times New Roman" w:hAnsi="Verdana" w:cs="Calibri"/>
                <w:b/>
                <w:bCs/>
                <w:color w:val="FFFFFF"/>
                <w:sz w:val="18"/>
                <w:szCs w:val="18"/>
                <w:lang w:val="bg-BG" w:eastAsia="bg-BG"/>
              </w:rPr>
            </w:pPr>
            <w:r w:rsidRPr="00B45B4F">
              <w:rPr>
                <w:rFonts w:ascii="Verdana" w:eastAsia="Times New Roman" w:hAnsi="Verdana" w:cs="Calibri"/>
                <w:b/>
                <w:bCs/>
                <w:color w:val="FFFFFF"/>
                <w:sz w:val="18"/>
                <w:szCs w:val="18"/>
                <w:lang w:val="bg-BG" w:eastAsia="bg-BG"/>
              </w:rPr>
              <w:t>ПО 3</w:t>
            </w:r>
          </w:p>
        </w:tc>
      </w:tr>
      <w:tr w:rsidR="00D51B87" w:rsidRPr="00B45B4F" w:rsidTr="00666C98">
        <w:tc>
          <w:tcPr>
            <w:tcW w:w="3150" w:type="dxa"/>
            <w:vMerge/>
            <w:shd w:val="clear" w:color="auto" w:fill="548DD4" w:themeFill="text2" w:themeFillTint="99"/>
            <w:vAlign w:val="center"/>
            <w:hideMark/>
          </w:tcPr>
          <w:p w:rsidR="00E1528B" w:rsidRPr="00B45B4F" w:rsidRDefault="00E1528B" w:rsidP="00666C98">
            <w:pPr>
              <w:spacing w:after="0" w:line="240" w:lineRule="auto"/>
              <w:rPr>
                <w:rFonts w:ascii="Verdana" w:eastAsia="Times New Roman" w:hAnsi="Verdana" w:cs="Calibri"/>
                <w:b/>
                <w:bCs/>
                <w:color w:val="FFFFFF"/>
                <w:sz w:val="18"/>
                <w:szCs w:val="18"/>
                <w:lang w:val="bg-BG" w:eastAsia="bg-BG"/>
              </w:rPr>
            </w:pPr>
          </w:p>
        </w:tc>
        <w:tc>
          <w:tcPr>
            <w:tcW w:w="720" w:type="dxa"/>
            <w:shd w:val="clear" w:color="auto" w:fill="548DD4" w:themeFill="text2" w:themeFillTint="99"/>
            <w:vAlign w:val="center"/>
            <w:hideMark/>
          </w:tcPr>
          <w:p w:rsidR="00E1528B" w:rsidRPr="00B45B4F" w:rsidRDefault="00E1528B" w:rsidP="00666C98">
            <w:pPr>
              <w:spacing w:after="0" w:line="240" w:lineRule="auto"/>
              <w:jc w:val="center"/>
              <w:rPr>
                <w:rFonts w:ascii="Verdana" w:eastAsia="Times New Roman" w:hAnsi="Verdana" w:cs="Calibri"/>
                <w:b/>
                <w:bCs/>
                <w:color w:val="FFFFFF"/>
                <w:sz w:val="18"/>
                <w:szCs w:val="18"/>
                <w:lang w:val="bg-BG" w:eastAsia="bg-BG"/>
              </w:rPr>
            </w:pPr>
            <w:r w:rsidRPr="00B45B4F">
              <w:rPr>
                <w:rFonts w:ascii="Verdana" w:eastAsia="Times New Roman" w:hAnsi="Verdana" w:cs="Calibri"/>
                <w:b/>
                <w:bCs/>
                <w:color w:val="FFFFFF"/>
                <w:sz w:val="18"/>
                <w:szCs w:val="18"/>
                <w:lang w:val="bg-BG" w:eastAsia="bg-BG"/>
              </w:rPr>
              <w:t>ИП 1</w:t>
            </w:r>
          </w:p>
        </w:tc>
        <w:tc>
          <w:tcPr>
            <w:tcW w:w="720" w:type="dxa"/>
            <w:shd w:val="clear" w:color="auto" w:fill="548DD4" w:themeFill="text2" w:themeFillTint="99"/>
            <w:vAlign w:val="center"/>
            <w:hideMark/>
          </w:tcPr>
          <w:p w:rsidR="00E1528B" w:rsidRPr="00B45B4F" w:rsidRDefault="00E1528B" w:rsidP="00666C98">
            <w:pPr>
              <w:spacing w:after="0" w:line="240" w:lineRule="auto"/>
              <w:jc w:val="center"/>
              <w:rPr>
                <w:rFonts w:ascii="Verdana" w:eastAsia="Times New Roman" w:hAnsi="Verdana" w:cs="Calibri"/>
                <w:b/>
                <w:bCs/>
                <w:color w:val="FFFFFF"/>
                <w:sz w:val="18"/>
                <w:szCs w:val="18"/>
                <w:lang w:val="bg-BG" w:eastAsia="bg-BG"/>
              </w:rPr>
            </w:pPr>
            <w:r w:rsidRPr="00B45B4F">
              <w:rPr>
                <w:rFonts w:ascii="Verdana" w:eastAsia="Times New Roman" w:hAnsi="Verdana" w:cs="Calibri"/>
                <w:b/>
                <w:bCs/>
                <w:color w:val="FFFFFF"/>
                <w:sz w:val="18"/>
                <w:szCs w:val="18"/>
                <w:lang w:val="bg-BG" w:eastAsia="bg-BG"/>
              </w:rPr>
              <w:t>ИП 2</w:t>
            </w:r>
          </w:p>
        </w:tc>
        <w:tc>
          <w:tcPr>
            <w:tcW w:w="720" w:type="dxa"/>
            <w:shd w:val="clear" w:color="auto" w:fill="548DD4" w:themeFill="text2" w:themeFillTint="99"/>
            <w:vAlign w:val="center"/>
            <w:hideMark/>
          </w:tcPr>
          <w:p w:rsidR="00E1528B" w:rsidRPr="00B45B4F" w:rsidRDefault="00E1528B" w:rsidP="00666C98">
            <w:pPr>
              <w:spacing w:after="0" w:line="240" w:lineRule="auto"/>
              <w:jc w:val="center"/>
              <w:rPr>
                <w:rFonts w:ascii="Verdana" w:eastAsia="Times New Roman" w:hAnsi="Verdana" w:cs="Calibri"/>
                <w:b/>
                <w:bCs/>
                <w:color w:val="FFFFFF"/>
                <w:sz w:val="18"/>
                <w:szCs w:val="18"/>
                <w:lang w:val="bg-BG" w:eastAsia="bg-BG"/>
              </w:rPr>
            </w:pPr>
            <w:r w:rsidRPr="00B45B4F">
              <w:rPr>
                <w:rFonts w:ascii="Verdana" w:eastAsia="Times New Roman" w:hAnsi="Verdana" w:cs="Calibri"/>
                <w:b/>
                <w:bCs/>
                <w:color w:val="FFFFFF"/>
                <w:sz w:val="18"/>
                <w:szCs w:val="18"/>
                <w:lang w:val="bg-BG" w:eastAsia="bg-BG"/>
              </w:rPr>
              <w:t>ИП 1</w:t>
            </w:r>
          </w:p>
        </w:tc>
        <w:tc>
          <w:tcPr>
            <w:tcW w:w="810" w:type="dxa"/>
            <w:shd w:val="clear" w:color="auto" w:fill="548DD4" w:themeFill="text2" w:themeFillTint="99"/>
            <w:vAlign w:val="center"/>
            <w:hideMark/>
          </w:tcPr>
          <w:p w:rsidR="00E1528B" w:rsidRPr="00B45B4F" w:rsidRDefault="00E1528B" w:rsidP="00666C98">
            <w:pPr>
              <w:spacing w:after="0" w:line="240" w:lineRule="auto"/>
              <w:jc w:val="center"/>
              <w:rPr>
                <w:rFonts w:ascii="Verdana" w:eastAsia="Times New Roman" w:hAnsi="Verdana" w:cs="Calibri"/>
                <w:b/>
                <w:bCs/>
                <w:color w:val="FFFFFF"/>
                <w:sz w:val="18"/>
                <w:szCs w:val="18"/>
                <w:lang w:val="bg-BG" w:eastAsia="bg-BG"/>
              </w:rPr>
            </w:pPr>
            <w:r w:rsidRPr="00B45B4F">
              <w:rPr>
                <w:rFonts w:ascii="Verdana" w:eastAsia="Times New Roman" w:hAnsi="Verdana" w:cs="Calibri"/>
                <w:b/>
                <w:bCs/>
                <w:color w:val="FFFFFF"/>
                <w:sz w:val="18"/>
                <w:szCs w:val="18"/>
                <w:lang w:val="bg-BG" w:eastAsia="bg-BG"/>
              </w:rPr>
              <w:t>ИП 2</w:t>
            </w:r>
          </w:p>
        </w:tc>
        <w:tc>
          <w:tcPr>
            <w:tcW w:w="810" w:type="dxa"/>
            <w:shd w:val="clear" w:color="auto" w:fill="548DD4" w:themeFill="text2" w:themeFillTint="99"/>
            <w:vAlign w:val="center"/>
            <w:hideMark/>
          </w:tcPr>
          <w:p w:rsidR="00E1528B" w:rsidRPr="00B45B4F" w:rsidRDefault="00E1528B" w:rsidP="00666C98">
            <w:pPr>
              <w:spacing w:after="0" w:line="240" w:lineRule="auto"/>
              <w:jc w:val="center"/>
              <w:rPr>
                <w:rFonts w:ascii="Verdana" w:eastAsia="Times New Roman" w:hAnsi="Verdana" w:cs="Calibri"/>
                <w:b/>
                <w:bCs/>
                <w:color w:val="FFFFFF"/>
                <w:sz w:val="18"/>
                <w:szCs w:val="18"/>
                <w:lang w:val="bg-BG" w:eastAsia="bg-BG"/>
              </w:rPr>
            </w:pPr>
            <w:r w:rsidRPr="00B45B4F">
              <w:rPr>
                <w:rFonts w:ascii="Verdana" w:eastAsia="Times New Roman" w:hAnsi="Verdana" w:cs="Calibri"/>
                <w:b/>
                <w:bCs/>
                <w:color w:val="FFFFFF"/>
                <w:sz w:val="18"/>
                <w:szCs w:val="18"/>
                <w:lang w:val="bg-BG" w:eastAsia="bg-BG"/>
              </w:rPr>
              <w:t>ИП 3</w:t>
            </w:r>
          </w:p>
        </w:tc>
        <w:tc>
          <w:tcPr>
            <w:tcW w:w="720" w:type="dxa"/>
            <w:shd w:val="clear" w:color="auto" w:fill="548DD4" w:themeFill="text2" w:themeFillTint="99"/>
            <w:vAlign w:val="center"/>
          </w:tcPr>
          <w:p w:rsidR="00E1528B" w:rsidRPr="00B45B4F" w:rsidRDefault="00E1528B" w:rsidP="00666C98">
            <w:pPr>
              <w:spacing w:after="0" w:line="240" w:lineRule="auto"/>
              <w:jc w:val="center"/>
              <w:rPr>
                <w:rFonts w:ascii="Verdana" w:eastAsia="Times New Roman" w:hAnsi="Verdana" w:cs="Calibri"/>
                <w:b/>
                <w:bCs/>
                <w:color w:val="FFFFFF"/>
                <w:sz w:val="18"/>
                <w:szCs w:val="18"/>
                <w:lang w:val="bg-BG" w:eastAsia="bg-BG"/>
              </w:rPr>
            </w:pPr>
            <w:r w:rsidRPr="00B45B4F">
              <w:rPr>
                <w:rFonts w:ascii="Verdana" w:eastAsia="Times New Roman" w:hAnsi="Verdana" w:cs="Calibri"/>
                <w:b/>
                <w:bCs/>
                <w:color w:val="FFFFFF"/>
                <w:sz w:val="18"/>
                <w:szCs w:val="18"/>
                <w:lang w:val="bg-BG" w:eastAsia="bg-BG"/>
              </w:rPr>
              <w:t>ИП4</w:t>
            </w:r>
          </w:p>
        </w:tc>
        <w:tc>
          <w:tcPr>
            <w:tcW w:w="720" w:type="dxa"/>
            <w:shd w:val="clear" w:color="auto" w:fill="548DD4" w:themeFill="text2" w:themeFillTint="99"/>
            <w:vAlign w:val="center"/>
            <w:hideMark/>
          </w:tcPr>
          <w:p w:rsidR="00E1528B" w:rsidRPr="00B45B4F" w:rsidRDefault="00E1528B" w:rsidP="00666C98">
            <w:pPr>
              <w:spacing w:after="0" w:line="240" w:lineRule="auto"/>
              <w:jc w:val="center"/>
              <w:rPr>
                <w:rFonts w:ascii="Verdana" w:eastAsia="Times New Roman" w:hAnsi="Verdana" w:cs="Calibri"/>
                <w:b/>
                <w:bCs/>
                <w:color w:val="FFFFFF"/>
                <w:sz w:val="18"/>
                <w:szCs w:val="18"/>
                <w:lang w:val="bg-BG" w:eastAsia="bg-BG"/>
              </w:rPr>
            </w:pPr>
            <w:r w:rsidRPr="00B45B4F">
              <w:rPr>
                <w:rFonts w:ascii="Verdana" w:eastAsia="Times New Roman" w:hAnsi="Verdana" w:cs="Calibri"/>
                <w:b/>
                <w:bCs/>
                <w:color w:val="FFFFFF"/>
                <w:sz w:val="18"/>
                <w:szCs w:val="18"/>
                <w:lang w:val="bg-BG" w:eastAsia="bg-BG"/>
              </w:rPr>
              <w:t>ИП 1</w:t>
            </w:r>
          </w:p>
        </w:tc>
        <w:tc>
          <w:tcPr>
            <w:tcW w:w="720" w:type="dxa"/>
            <w:shd w:val="clear" w:color="auto" w:fill="548DD4" w:themeFill="text2" w:themeFillTint="99"/>
            <w:vAlign w:val="center"/>
            <w:hideMark/>
          </w:tcPr>
          <w:p w:rsidR="00E1528B" w:rsidRPr="00B45B4F" w:rsidRDefault="00E1528B" w:rsidP="00666C98">
            <w:pPr>
              <w:spacing w:after="0" w:line="240" w:lineRule="auto"/>
              <w:jc w:val="center"/>
              <w:rPr>
                <w:rFonts w:ascii="Verdana" w:eastAsia="Times New Roman" w:hAnsi="Verdana" w:cs="Calibri"/>
                <w:b/>
                <w:bCs/>
                <w:color w:val="FFFFFF"/>
                <w:sz w:val="18"/>
                <w:szCs w:val="18"/>
                <w:lang w:val="bg-BG" w:eastAsia="bg-BG"/>
              </w:rPr>
            </w:pPr>
            <w:r w:rsidRPr="00B45B4F">
              <w:rPr>
                <w:rFonts w:ascii="Verdana" w:eastAsia="Times New Roman" w:hAnsi="Verdana" w:cs="Calibri"/>
                <w:b/>
                <w:bCs/>
                <w:color w:val="FFFFFF"/>
                <w:sz w:val="18"/>
                <w:szCs w:val="18"/>
                <w:lang w:val="bg-BG" w:eastAsia="bg-BG"/>
              </w:rPr>
              <w:t>ИП 2</w:t>
            </w:r>
          </w:p>
        </w:tc>
      </w:tr>
      <w:tr w:rsidR="00382753" w:rsidRPr="00B45B4F" w:rsidTr="00666C98">
        <w:tc>
          <w:tcPr>
            <w:tcW w:w="3150" w:type="dxa"/>
            <w:shd w:val="clear" w:color="auto" w:fill="auto"/>
            <w:vAlign w:val="center"/>
            <w:hideMark/>
          </w:tcPr>
          <w:p w:rsidR="00382753" w:rsidRPr="00B45B4F" w:rsidRDefault="00382753" w:rsidP="00666C98">
            <w:pPr>
              <w:spacing w:after="0" w:line="240" w:lineRule="auto"/>
              <w:rPr>
                <w:rFonts w:ascii="Verdana" w:eastAsia="Times New Roman" w:hAnsi="Verdana" w:cs="Calibri"/>
                <w:color w:val="000000"/>
                <w:sz w:val="18"/>
                <w:szCs w:val="18"/>
                <w:lang w:val="bg-BG" w:eastAsia="bg-BG"/>
              </w:rPr>
            </w:pPr>
            <w:r w:rsidRPr="00B45B4F">
              <w:rPr>
                <w:rFonts w:ascii="Verdana" w:eastAsia="Times New Roman" w:hAnsi="Verdana" w:cs="Calibri"/>
                <w:color w:val="000000"/>
                <w:sz w:val="18"/>
                <w:szCs w:val="18"/>
                <w:lang w:val="bg-BG" w:eastAsia="bg-BG"/>
              </w:rPr>
              <w:t>Тематична концентрация</w:t>
            </w:r>
          </w:p>
        </w:tc>
        <w:tc>
          <w:tcPr>
            <w:tcW w:w="720" w:type="dxa"/>
            <w:shd w:val="clear" w:color="auto" w:fill="auto"/>
            <w:noWrap/>
            <w:vAlign w:val="center"/>
            <w:hideMark/>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c>
          <w:tcPr>
            <w:tcW w:w="720" w:type="dxa"/>
            <w:shd w:val="clear" w:color="auto" w:fill="auto"/>
            <w:noWrap/>
            <w:vAlign w:val="center"/>
            <w:hideMark/>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c>
          <w:tcPr>
            <w:tcW w:w="720" w:type="dxa"/>
            <w:shd w:val="clear" w:color="auto" w:fill="auto"/>
            <w:noWrap/>
            <w:vAlign w:val="center"/>
            <w:hideMark/>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c>
          <w:tcPr>
            <w:tcW w:w="810" w:type="dxa"/>
            <w:shd w:val="clear" w:color="auto" w:fill="auto"/>
            <w:noWrap/>
            <w:vAlign w:val="center"/>
            <w:hideMark/>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c>
          <w:tcPr>
            <w:tcW w:w="810" w:type="dxa"/>
            <w:shd w:val="clear" w:color="auto" w:fill="auto"/>
            <w:noWrap/>
            <w:vAlign w:val="center"/>
            <w:hideMark/>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c>
          <w:tcPr>
            <w:tcW w:w="720" w:type="dxa"/>
            <w:shd w:val="clear" w:color="auto" w:fill="auto"/>
            <w:vAlign w:val="center"/>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c>
          <w:tcPr>
            <w:tcW w:w="720" w:type="dxa"/>
            <w:shd w:val="clear" w:color="auto" w:fill="auto"/>
            <w:noWrap/>
            <w:vAlign w:val="center"/>
            <w:hideMark/>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c>
          <w:tcPr>
            <w:tcW w:w="720" w:type="dxa"/>
            <w:shd w:val="clear" w:color="auto" w:fill="auto"/>
            <w:noWrap/>
            <w:vAlign w:val="center"/>
            <w:hideMark/>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r>
      <w:tr w:rsidR="00382753" w:rsidRPr="00B45B4F" w:rsidTr="00666C98">
        <w:tc>
          <w:tcPr>
            <w:tcW w:w="3150" w:type="dxa"/>
            <w:shd w:val="clear" w:color="auto" w:fill="auto"/>
            <w:vAlign w:val="center"/>
            <w:hideMark/>
          </w:tcPr>
          <w:p w:rsidR="00382753" w:rsidRPr="00B45B4F" w:rsidRDefault="00382753" w:rsidP="00666C98">
            <w:pPr>
              <w:spacing w:after="0" w:line="240" w:lineRule="auto"/>
              <w:rPr>
                <w:rFonts w:ascii="Verdana" w:eastAsia="Times New Roman" w:hAnsi="Verdana" w:cs="Calibri"/>
                <w:color w:val="000000"/>
                <w:sz w:val="18"/>
                <w:szCs w:val="18"/>
                <w:lang w:val="bg-BG" w:eastAsia="bg-BG"/>
              </w:rPr>
            </w:pPr>
            <w:r w:rsidRPr="00B45B4F">
              <w:rPr>
                <w:rFonts w:ascii="Verdana" w:eastAsia="Times New Roman" w:hAnsi="Verdana" w:cs="Calibri"/>
                <w:color w:val="000000"/>
                <w:sz w:val="18"/>
                <w:szCs w:val="18"/>
                <w:lang w:val="bg-BG" w:eastAsia="bg-BG"/>
              </w:rPr>
              <w:t>Ефективност на инвестициите за максимално постигане на целите на ОП НОИР</w:t>
            </w:r>
          </w:p>
        </w:tc>
        <w:tc>
          <w:tcPr>
            <w:tcW w:w="720" w:type="dxa"/>
            <w:shd w:val="clear" w:color="auto" w:fill="auto"/>
            <w:noWrap/>
            <w:vAlign w:val="center"/>
            <w:hideMark/>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c>
          <w:tcPr>
            <w:tcW w:w="720" w:type="dxa"/>
            <w:shd w:val="clear" w:color="auto" w:fill="auto"/>
            <w:noWrap/>
            <w:vAlign w:val="center"/>
            <w:hideMark/>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c>
          <w:tcPr>
            <w:tcW w:w="720" w:type="dxa"/>
            <w:shd w:val="clear" w:color="auto" w:fill="auto"/>
            <w:noWrap/>
            <w:vAlign w:val="center"/>
            <w:hideMark/>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c>
          <w:tcPr>
            <w:tcW w:w="810" w:type="dxa"/>
            <w:shd w:val="clear" w:color="auto" w:fill="auto"/>
            <w:noWrap/>
            <w:vAlign w:val="center"/>
            <w:hideMark/>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c>
          <w:tcPr>
            <w:tcW w:w="810" w:type="dxa"/>
            <w:shd w:val="clear" w:color="auto" w:fill="auto"/>
            <w:noWrap/>
            <w:vAlign w:val="center"/>
            <w:hideMark/>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c>
          <w:tcPr>
            <w:tcW w:w="720" w:type="dxa"/>
            <w:shd w:val="clear" w:color="auto" w:fill="auto"/>
            <w:vAlign w:val="center"/>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c>
          <w:tcPr>
            <w:tcW w:w="720" w:type="dxa"/>
            <w:shd w:val="clear" w:color="auto" w:fill="auto"/>
            <w:noWrap/>
            <w:vAlign w:val="center"/>
            <w:hideMark/>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c>
          <w:tcPr>
            <w:tcW w:w="720" w:type="dxa"/>
            <w:shd w:val="clear" w:color="auto" w:fill="auto"/>
            <w:noWrap/>
            <w:vAlign w:val="center"/>
            <w:hideMark/>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r>
      <w:tr w:rsidR="00382753" w:rsidRPr="00B45B4F" w:rsidTr="00666C98">
        <w:tc>
          <w:tcPr>
            <w:tcW w:w="3150" w:type="dxa"/>
            <w:shd w:val="clear" w:color="auto" w:fill="auto"/>
            <w:vAlign w:val="center"/>
            <w:hideMark/>
          </w:tcPr>
          <w:p w:rsidR="00382753" w:rsidRPr="00B45B4F" w:rsidRDefault="00382753" w:rsidP="00666C98">
            <w:pPr>
              <w:spacing w:after="0" w:line="240" w:lineRule="auto"/>
              <w:rPr>
                <w:rFonts w:ascii="Verdana" w:eastAsia="Times New Roman" w:hAnsi="Verdana" w:cs="Calibri"/>
                <w:color w:val="000000"/>
                <w:sz w:val="18"/>
                <w:szCs w:val="18"/>
                <w:lang w:val="bg-BG" w:eastAsia="bg-BG"/>
              </w:rPr>
            </w:pPr>
            <w:proofErr w:type="spellStart"/>
            <w:r w:rsidRPr="00B45B4F">
              <w:rPr>
                <w:rFonts w:ascii="Verdana" w:eastAsia="Times New Roman" w:hAnsi="Verdana" w:cs="Calibri"/>
                <w:color w:val="000000"/>
                <w:sz w:val="18"/>
                <w:szCs w:val="18"/>
                <w:lang w:val="bg-BG" w:eastAsia="bg-BG"/>
              </w:rPr>
              <w:t>Допълняемост</w:t>
            </w:r>
            <w:proofErr w:type="spellEnd"/>
            <w:r w:rsidRPr="00B45B4F">
              <w:rPr>
                <w:rFonts w:ascii="Verdana" w:eastAsia="Times New Roman" w:hAnsi="Verdana" w:cs="Calibri"/>
                <w:color w:val="000000"/>
                <w:sz w:val="18"/>
                <w:szCs w:val="18"/>
                <w:lang w:val="bg-BG" w:eastAsia="bg-BG"/>
              </w:rPr>
              <w:t xml:space="preserve"> с други финансови източници</w:t>
            </w:r>
          </w:p>
        </w:tc>
        <w:tc>
          <w:tcPr>
            <w:tcW w:w="720" w:type="dxa"/>
            <w:shd w:val="clear" w:color="auto" w:fill="auto"/>
            <w:noWrap/>
            <w:vAlign w:val="center"/>
            <w:hideMark/>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c>
          <w:tcPr>
            <w:tcW w:w="720" w:type="dxa"/>
            <w:shd w:val="clear" w:color="auto" w:fill="auto"/>
            <w:noWrap/>
            <w:vAlign w:val="center"/>
            <w:hideMark/>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c>
          <w:tcPr>
            <w:tcW w:w="720" w:type="dxa"/>
            <w:shd w:val="clear" w:color="auto" w:fill="auto"/>
            <w:noWrap/>
            <w:vAlign w:val="center"/>
            <w:hideMark/>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c>
          <w:tcPr>
            <w:tcW w:w="810" w:type="dxa"/>
            <w:shd w:val="clear" w:color="auto" w:fill="auto"/>
            <w:noWrap/>
            <w:vAlign w:val="center"/>
            <w:hideMark/>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c>
          <w:tcPr>
            <w:tcW w:w="810" w:type="dxa"/>
            <w:shd w:val="clear" w:color="auto" w:fill="auto"/>
            <w:noWrap/>
            <w:vAlign w:val="center"/>
            <w:hideMark/>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c>
          <w:tcPr>
            <w:tcW w:w="720" w:type="dxa"/>
            <w:shd w:val="clear" w:color="auto" w:fill="auto"/>
            <w:vAlign w:val="center"/>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c>
          <w:tcPr>
            <w:tcW w:w="720" w:type="dxa"/>
            <w:shd w:val="clear" w:color="auto" w:fill="auto"/>
            <w:noWrap/>
            <w:vAlign w:val="center"/>
            <w:hideMark/>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c>
          <w:tcPr>
            <w:tcW w:w="720" w:type="dxa"/>
            <w:shd w:val="clear" w:color="auto" w:fill="auto"/>
            <w:noWrap/>
            <w:vAlign w:val="center"/>
            <w:hideMark/>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r>
      <w:tr w:rsidR="00382753" w:rsidRPr="00B45B4F" w:rsidTr="00666C98">
        <w:tc>
          <w:tcPr>
            <w:tcW w:w="3150" w:type="dxa"/>
            <w:shd w:val="clear" w:color="auto" w:fill="auto"/>
            <w:vAlign w:val="center"/>
            <w:hideMark/>
          </w:tcPr>
          <w:p w:rsidR="00382753" w:rsidRPr="00B45B4F" w:rsidRDefault="00382753" w:rsidP="00666C98">
            <w:pPr>
              <w:spacing w:after="0" w:line="240" w:lineRule="auto"/>
              <w:rPr>
                <w:rFonts w:ascii="Verdana" w:eastAsia="Times New Roman" w:hAnsi="Verdana" w:cs="Calibri"/>
                <w:color w:val="000000"/>
                <w:sz w:val="18"/>
                <w:szCs w:val="18"/>
                <w:lang w:val="bg-BG" w:eastAsia="bg-BG"/>
              </w:rPr>
            </w:pPr>
            <w:r w:rsidRPr="00B45B4F">
              <w:rPr>
                <w:rFonts w:ascii="Verdana" w:eastAsia="Times New Roman" w:hAnsi="Verdana" w:cs="Calibri"/>
                <w:color w:val="000000"/>
                <w:sz w:val="18"/>
                <w:szCs w:val="18"/>
                <w:lang w:val="bg-BG" w:eastAsia="bg-BG"/>
              </w:rPr>
              <w:t>Удовлетворяване на конкретните нужди на целевите групи</w:t>
            </w:r>
          </w:p>
        </w:tc>
        <w:tc>
          <w:tcPr>
            <w:tcW w:w="720" w:type="dxa"/>
            <w:shd w:val="clear" w:color="auto" w:fill="auto"/>
            <w:noWrap/>
            <w:vAlign w:val="center"/>
            <w:hideMark/>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c>
          <w:tcPr>
            <w:tcW w:w="720" w:type="dxa"/>
            <w:shd w:val="clear" w:color="auto" w:fill="auto"/>
            <w:noWrap/>
            <w:vAlign w:val="center"/>
            <w:hideMark/>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c>
          <w:tcPr>
            <w:tcW w:w="720" w:type="dxa"/>
            <w:shd w:val="clear" w:color="auto" w:fill="auto"/>
            <w:noWrap/>
            <w:vAlign w:val="center"/>
            <w:hideMark/>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c>
          <w:tcPr>
            <w:tcW w:w="810" w:type="dxa"/>
            <w:shd w:val="clear" w:color="auto" w:fill="auto"/>
            <w:noWrap/>
            <w:vAlign w:val="center"/>
            <w:hideMark/>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c>
          <w:tcPr>
            <w:tcW w:w="810" w:type="dxa"/>
            <w:shd w:val="clear" w:color="auto" w:fill="auto"/>
            <w:noWrap/>
            <w:vAlign w:val="center"/>
            <w:hideMark/>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c>
          <w:tcPr>
            <w:tcW w:w="720" w:type="dxa"/>
            <w:shd w:val="clear" w:color="auto" w:fill="auto"/>
            <w:vAlign w:val="center"/>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c>
          <w:tcPr>
            <w:tcW w:w="720" w:type="dxa"/>
            <w:shd w:val="clear" w:color="auto" w:fill="auto"/>
            <w:noWrap/>
            <w:vAlign w:val="center"/>
            <w:hideMark/>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c>
          <w:tcPr>
            <w:tcW w:w="720" w:type="dxa"/>
            <w:shd w:val="clear" w:color="auto" w:fill="auto"/>
            <w:noWrap/>
            <w:vAlign w:val="center"/>
            <w:hideMark/>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r>
      <w:tr w:rsidR="00382753" w:rsidRPr="00B45B4F" w:rsidTr="00666C98">
        <w:tc>
          <w:tcPr>
            <w:tcW w:w="3150" w:type="dxa"/>
            <w:shd w:val="clear" w:color="auto" w:fill="auto"/>
            <w:vAlign w:val="center"/>
            <w:hideMark/>
          </w:tcPr>
          <w:p w:rsidR="00382753" w:rsidRPr="00B45B4F" w:rsidRDefault="00382753" w:rsidP="00666C98">
            <w:pPr>
              <w:spacing w:after="0" w:line="240" w:lineRule="auto"/>
              <w:rPr>
                <w:rFonts w:ascii="Verdana" w:eastAsia="Times New Roman" w:hAnsi="Verdana" w:cs="Calibri"/>
                <w:color w:val="000000"/>
                <w:sz w:val="18"/>
                <w:szCs w:val="18"/>
                <w:lang w:val="bg-BG" w:eastAsia="bg-BG"/>
              </w:rPr>
            </w:pPr>
            <w:r w:rsidRPr="00B45B4F">
              <w:rPr>
                <w:rFonts w:ascii="Verdana" w:eastAsia="Times New Roman" w:hAnsi="Verdana" w:cs="Calibri"/>
                <w:color w:val="000000"/>
                <w:sz w:val="18"/>
                <w:szCs w:val="18"/>
                <w:lang w:val="bg-BG" w:eastAsia="bg-BG"/>
              </w:rPr>
              <w:t>Хоризонтални принципи</w:t>
            </w:r>
          </w:p>
        </w:tc>
        <w:tc>
          <w:tcPr>
            <w:tcW w:w="720" w:type="dxa"/>
            <w:shd w:val="clear" w:color="auto" w:fill="auto"/>
            <w:noWrap/>
            <w:vAlign w:val="center"/>
            <w:hideMark/>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c>
          <w:tcPr>
            <w:tcW w:w="720" w:type="dxa"/>
            <w:shd w:val="clear" w:color="auto" w:fill="auto"/>
            <w:noWrap/>
            <w:vAlign w:val="center"/>
            <w:hideMark/>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c>
          <w:tcPr>
            <w:tcW w:w="720" w:type="dxa"/>
            <w:shd w:val="clear" w:color="auto" w:fill="auto"/>
            <w:noWrap/>
            <w:vAlign w:val="center"/>
            <w:hideMark/>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c>
          <w:tcPr>
            <w:tcW w:w="810" w:type="dxa"/>
            <w:shd w:val="clear" w:color="auto" w:fill="auto"/>
            <w:noWrap/>
            <w:vAlign w:val="center"/>
            <w:hideMark/>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c>
          <w:tcPr>
            <w:tcW w:w="810" w:type="dxa"/>
            <w:shd w:val="clear" w:color="auto" w:fill="auto"/>
            <w:noWrap/>
            <w:vAlign w:val="center"/>
            <w:hideMark/>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c>
          <w:tcPr>
            <w:tcW w:w="720" w:type="dxa"/>
            <w:shd w:val="clear" w:color="auto" w:fill="auto"/>
            <w:vAlign w:val="center"/>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c>
          <w:tcPr>
            <w:tcW w:w="720" w:type="dxa"/>
            <w:shd w:val="clear" w:color="auto" w:fill="auto"/>
            <w:noWrap/>
            <w:vAlign w:val="center"/>
            <w:hideMark/>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c>
          <w:tcPr>
            <w:tcW w:w="720" w:type="dxa"/>
            <w:shd w:val="clear" w:color="auto" w:fill="auto"/>
            <w:noWrap/>
            <w:vAlign w:val="center"/>
            <w:hideMark/>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r>
      <w:tr w:rsidR="00382753" w:rsidRPr="00B45B4F" w:rsidTr="00666C98">
        <w:tc>
          <w:tcPr>
            <w:tcW w:w="3150" w:type="dxa"/>
            <w:shd w:val="clear" w:color="auto" w:fill="auto"/>
            <w:vAlign w:val="center"/>
            <w:hideMark/>
          </w:tcPr>
          <w:p w:rsidR="00382753" w:rsidRPr="00B45B4F" w:rsidRDefault="00382753" w:rsidP="00666C98">
            <w:pPr>
              <w:spacing w:after="0" w:line="240" w:lineRule="auto"/>
              <w:rPr>
                <w:rFonts w:ascii="Verdana" w:eastAsia="Times New Roman" w:hAnsi="Verdana" w:cs="Calibri"/>
                <w:color w:val="000000"/>
                <w:sz w:val="18"/>
                <w:szCs w:val="18"/>
                <w:lang w:val="bg-BG" w:eastAsia="bg-BG"/>
              </w:rPr>
            </w:pPr>
            <w:r w:rsidRPr="00B45B4F">
              <w:rPr>
                <w:rFonts w:ascii="Verdana" w:eastAsia="Times New Roman" w:hAnsi="Verdana" w:cs="Calibri"/>
                <w:color w:val="000000"/>
                <w:sz w:val="18"/>
                <w:szCs w:val="18"/>
                <w:lang w:val="bg-BG" w:eastAsia="bg-BG"/>
              </w:rPr>
              <w:t>Прозрачност, партньорство и обективност</w:t>
            </w:r>
          </w:p>
        </w:tc>
        <w:tc>
          <w:tcPr>
            <w:tcW w:w="720" w:type="dxa"/>
            <w:shd w:val="clear" w:color="auto" w:fill="auto"/>
            <w:noWrap/>
            <w:vAlign w:val="center"/>
            <w:hideMark/>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c>
          <w:tcPr>
            <w:tcW w:w="720" w:type="dxa"/>
            <w:shd w:val="clear" w:color="auto" w:fill="auto"/>
            <w:noWrap/>
            <w:vAlign w:val="center"/>
            <w:hideMark/>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c>
          <w:tcPr>
            <w:tcW w:w="720" w:type="dxa"/>
            <w:shd w:val="clear" w:color="auto" w:fill="auto"/>
            <w:noWrap/>
            <w:vAlign w:val="center"/>
            <w:hideMark/>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c>
          <w:tcPr>
            <w:tcW w:w="810" w:type="dxa"/>
            <w:shd w:val="clear" w:color="auto" w:fill="auto"/>
            <w:noWrap/>
            <w:vAlign w:val="center"/>
            <w:hideMark/>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c>
          <w:tcPr>
            <w:tcW w:w="810" w:type="dxa"/>
            <w:shd w:val="clear" w:color="auto" w:fill="auto"/>
            <w:noWrap/>
            <w:vAlign w:val="center"/>
            <w:hideMark/>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c>
          <w:tcPr>
            <w:tcW w:w="720" w:type="dxa"/>
            <w:shd w:val="clear" w:color="auto" w:fill="auto"/>
            <w:vAlign w:val="center"/>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c>
          <w:tcPr>
            <w:tcW w:w="720" w:type="dxa"/>
            <w:shd w:val="clear" w:color="auto" w:fill="auto"/>
            <w:noWrap/>
            <w:vAlign w:val="center"/>
            <w:hideMark/>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c>
          <w:tcPr>
            <w:tcW w:w="720" w:type="dxa"/>
            <w:shd w:val="clear" w:color="auto" w:fill="auto"/>
            <w:noWrap/>
            <w:vAlign w:val="center"/>
            <w:hideMark/>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r>
      <w:tr w:rsidR="00382753" w:rsidRPr="00B45B4F" w:rsidTr="00666C98">
        <w:tc>
          <w:tcPr>
            <w:tcW w:w="3150" w:type="dxa"/>
            <w:shd w:val="clear" w:color="auto" w:fill="auto"/>
            <w:vAlign w:val="center"/>
            <w:hideMark/>
          </w:tcPr>
          <w:p w:rsidR="00382753" w:rsidRPr="00B45B4F" w:rsidRDefault="00382753" w:rsidP="00666C98">
            <w:pPr>
              <w:spacing w:after="0" w:line="240" w:lineRule="auto"/>
              <w:rPr>
                <w:rFonts w:ascii="Verdana" w:eastAsia="Times New Roman" w:hAnsi="Verdana" w:cs="Calibri"/>
                <w:color w:val="000000"/>
                <w:sz w:val="18"/>
                <w:szCs w:val="18"/>
                <w:lang w:val="bg-BG" w:eastAsia="bg-BG"/>
              </w:rPr>
            </w:pPr>
            <w:r w:rsidRPr="00B45B4F">
              <w:rPr>
                <w:rFonts w:ascii="Verdana" w:eastAsia="Times New Roman" w:hAnsi="Verdana" w:cs="Calibri"/>
                <w:color w:val="000000"/>
                <w:sz w:val="18"/>
                <w:szCs w:val="18"/>
                <w:lang w:val="bg-BG" w:eastAsia="bg-BG"/>
              </w:rPr>
              <w:t>Интегриран подход</w:t>
            </w:r>
          </w:p>
        </w:tc>
        <w:tc>
          <w:tcPr>
            <w:tcW w:w="720" w:type="dxa"/>
            <w:shd w:val="clear" w:color="auto" w:fill="auto"/>
            <w:noWrap/>
            <w:vAlign w:val="center"/>
            <w:hideMark/>
          </w:tcPr>
          <w:p w:rsidR="00382753" w:rsidRPr="00B45B4F" w:rsidRDefault="00382753" w:rsidP="00666C98">
            <w:pPr>
              <w:spacing w:after="0" w:line="240" w:lineRule="auto"/>
              <w:jc w:val="center"/>
              <w:rPr>
                <w:rFonts w:ascii="Verdana" w:eastAsia="Times New Roman" w:hAnsi="Verdana" w:cs="Calibri"/>
                <w:sz w:val="18"/>
                <w:szCs w:val="18"/>
                <w:lang w:val="bg-BG" w:eastAsia="bg-BG"/>
              </w:rPr>
            </w:pPr>
          </w:p>
        </w:tc>
        <w:tc>
          <w:tcPr>
            <w:tcW w:w="720" w:type="dxa"/>
            <w:shd w:val="clear" w:color="auto" w:fill="auto"/>
            <w:noWrap/>
            <w:vAlign w:val="center"/>
            <w:hideMark/>
          </w:tcPr>
          <w:p w:rsidR="00382753" w:rsidRPr="00B45B4F" w:rsidRDefault="00382753" w:rsidP="00666C98">
            <w:pPr>
              <w:spacing w:after="0" w:line="240" w:lineRule="auto"/>
              <w:jc w:val="center"/>
              <w:rPr>
                <w:rFonts w:ascii="Verdana" w:eastAsia="Times New Roman" w:hAnsi="Verdana" w:cs="Calibri"/>
                <w:sz w:val="18"/>
                <w:szCs w:val="18"/>
                <w:lang w:val="bg-BG" w:eastAsia="bg-BG"/>
              </w:rPr>
            </w:pPr>
          </w:p>
        </w:tc>
        <w:tc>
          <w:tcPr>
            <w:tcW w:w="720" w:type="dxa"/>
            <w:shd w:val="clear" w:color="auto" w:fill="auto"/>
            <w:noWrap/>
            <w:vAlign w:val="center"/>
            <w:hideMark/>
          </w:tcPr>
          <w:p w:rsidR="00382753" w:rsidRPr="00B45B4F" w:rsidRDefault="00382753" w:rsidP="00666C98">
            <w:pPr>
              <w:spacing w:after="0" w:line="240" w:lineRule="auto"/>
              <w:jc w:val="center"/>
              <w:rPr>
                <w:rFonts w:ascii="Verdana" w:eastAsia="Times New Roman" w:hAnsi="Verdana" w:cs="Calibri"/>
                <w:sz w:val="18"/>
                <w:szCs w:val="18"/>
                <w:lang w:val="bg-BG" w:eastAsia="bg-BG"/>
              </w:rPr>
            </w:pPr>
          </w:p>
        </w:tc>
        <w:tc>
          <w:tcPr>
            <w:tcW w:w="810" w:type="dxa"/>
            <w:shd w:val="clear" w:color="auto" w:fill="auto"/>
            <w:noWrap/>
            <w:vAlign w:val="center"/>
            <w:hideMark/>
          </w:tcPr>
          <w:p w:rsidR="00382753" w:rsidRPr="00B45B4F" w:rsidRDefault="00382753" w:rsidP="00666C98">
            <w:pPr>
              <w:spacing w:after="0" w:line="240" w:lineRule="auto"/>
              <w:jc w:val="center"/>
              <w:rPr>
                <w:rFonts w:ascii="Verdana" w:eastAsia="Times New Roman" w:hAnsi="Verdana" w:cs="Calibri"/>
                <w:sz w:val="18"/>
                <w:szCs w:val="18"/>
                <w:lang w:val="bg-BG" w:eastAsia="bg-BG"/>
              </w:rPr>
            </w:pPr>
          </w:p>
        </w:tc>
        <w:tc>
          <w:tcPr>
            <w:tcW w:w="810" w:type="dxa"/>
            <w:shd w:val="clear" w:color="auto" w:fill="auto"/>
            <w:noWrap/>
            <w:vAlign w:val="center"/>
            <w:hideMark/>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c>
          <w:tcPr>
            <w:tcW w:w="720" w:type="dxa"/>
            <w:shd w:val="clear" w:color="auto" w:fill="auto"/>
            <w:vAlign w:val="center"/>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c>
          <w:tcPr>
            <w:tcW w:w="720" w:type="dxa"/>
            <w:shd w:val="clear" w:color="auto" w:fill="auto"/>
            <w:noWrap/>
            <w:vAlign w:val="center"/>
            <w:hideMark/>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c>
          <w:tcPr>
            <w:tcW w:w="720" w:type="dxa"/>
            <w:shd w:val="clear" w:color="auto" w:fill="auto"/>
            <w:noWrap/>
            <w:vAlign w:val="center"/>
            <w:hideMark/>
          </w:tcPr>
          <w:p w:rsidR="00382753" w:rsidRPr="00B45B4F" w:rsidRDefault="00382753" w:rsidP="00666C98">
            <w:pPr>
              <w:spacing w:after="0" w:line="240" w:lineRule="auto"/>
              <w:jc w:val="center"/>
              <w:rPr>
                <w:lang w:val="bg-BG"/>
              </w:rPr>
            </w:pPr>
            <w:r w:rsidRPr="00B45B4F">
              <w:rPr>
                <w:rFonts w:ascii="Wingdings 2" w:eastAsia="Times New Roman" w:hAnsi="Wingdings 2"/>
                <w:color w:val="0070C0"/>
                <w:sz w:val="26"/>
                <w:szCs w:val="26"/>
                <w:lang w:val="bg-BG"/>
              </w:rPr>
              <w:t></w:t>
            </w:r>
          </w:p>
        </w:tc>
      </w:tr>
    </w:tbl>
    <w:p w:rsidR="00BF28D4" w:rsidRPr="00B45B4F" w:rsidRDefault="00BF28D4" w:rsidP="006D28EA">
      <w:pPr>
        <w:spacing w:before="120" w:after="120"/>
        <w:jc w:val="both"/>
        <w:rPr>
          <w:rFonts w:ascii="Verdana" w:hAnsi="Verdana"/>
          <w:sz w:val="20"/>
          <w:szCs w:val="20"/>
          <w:lang w:val="bg-BG"/>
        </w:rPr>
      </w:pPr>
    </w:p>
    <w:p w:rsidR="00BF28D4" w:rsidRPr="00B45B4F" w:rsidRDefault="00BF28D4" w:rsidP="006D28EA">
      <w:pPr>
        <w:spacing w:before="120" w:after="120"/>
        <w:jc w:val="both"/>
        <w:rPr>
          <w:rFonts w:ascii="Verdana" w:hAnsi="Verdana"/>
          <w:sz w:val="20"/>
          <w:szCs w:val="20"/>
          <w:lang w:val="bg-BG"/>
        </w:rPr>
      </w:pPr>
    </w:p>
    <w:p w:rsidR="00BF28D4" w:rsidRPr="00B45B4F" w:rsidRDefault="00BF28D4" w:rsidP="006D28EA">
      <w:pPr>
        <w:spacing w:before="120" w:after="120"/>
        <w:jc w:val="both"/>
        <w:rPr>
          <w:rFonts w:ascii="Verdana" w:hAnsi="Verdana"/>
          <w:sz w:val="20"/>
          <w:szCs w:val="20"/>
          <w:lang w:val="bg-BG"/>
        </w:rPr>
        <w:sectPr w:rsidR="00BF28D4" w:rsidRPr="00B45B4F" w:rsidSect="00C826F7">
          <w:pgSz w:w="11907" w:h="16839" w:code="9"/>
          <w:pgMar w:top="2163" w:right="1377" w:bottom="1440" w:left="1440" w:header="720" w:footer="379" w:gutter="0"/>
          <w:cols w:space="720"/>
          <w:docGrid w:linePitch="360"/>
        </w:sectPr>
      </w:pPr>
    </w:p>
    <w:p w:rsidR="00BF28D4" w:rsidRPr="00B45B4F" w:rsidRDefault="00BF28D4" w:rsidP="000B26C2">
      <w:pPr>
        <w:pStyle w:val="Caption"/>
        <w:spacing w:after="120"/>
        <w:rPr>
          <w:rFonts w:ascii="Verdana" w:hAnsi="Verdana"/>
          <w:color w:val="548DD4" w:themeColor="text2" w:themeTint="99"/>
        </w:rPr>
      </w:pPr>
      <w:bookmarkStart w:id="97" w:name="_Toc373747274"/>
      <w:bookmarkStart w:id="98" w:name="_Toc381712213"/>
      <w:bookmarkStart w:id="99" w:name="_Toc395612585"/>
      <w:r w:rsidRPr="00B45B4F">
        <w:rPr>
          <w:rFonts w:ascii="Verdana" w:hAnsi="Verdana"/>
          <w:color w:val="548DD4" w:themeColor="text2" w:themeTint="99"/>
        </w:rPr>
        <w:lastRenderedPageBreak/>
        <w:t xml:space="preserve">Таблица </w:t>
      </w:r>
      <w:r w:rsidR="00BF1936" w:rsidRPr="00B45B4F">
        <w:rPr>
          <w:rFonts w:ascii="Verdana" w:hAnsi="Verdana"/>
          <w:color w:val="548DD4" w:themeColor="text2" w:themeTint="99"/>
        </w:rPr>
        <w:fldChar w:fldCharType="begin"/>
      </w:r>
      <w:r w:rsidRPr="00B45B4F">
        <w:rPr>
          <w:rFonts w:ascii="Verdana" w:hAnsi="Verdana"/>
          <w:color w:val="548DD4" w:themeColor="text2" w:themeTint="99"/>
        </w:rPr>
        <w:instrText xml:space="preserve"> SEQ таблица \* ARABIC </w:instrText>
      </w:r>
      <w:r w:rsidR="00BF1936" w:rsidRPr="00B45B4F">
        <w:rPr>
          <w:rFonts w:ascii="Verdana" w:hAnsi="Verdana"/>
          <w:color w:val="548DD4" w:themeColor="text2" w:themeTint="99"/>
        </w:rPr>
        <w:fldChar w:fldCharType="separate"/>
      </w:r>
      <w:r w:rsidR="001361E0">
        <w:rPr>
          <w:rFonts w:ascii="Verdana" w:hAnsi="Verdana"/>
          <w:noProof/>
          <w:color w:val="548DD4" w:themeColor="text2" w:themeTint="99"/>
        </w:rPr>
        <w:t>29</w:t>
      </w:r>
      <w:r w:rsidR="00BF1936" w:rsidRPr="00B45B4F">
        <w:rPr>
          <w:rFonts w:ascii="Verdana" w:hAnsi="Verdana"/>
          <w:color w:val="548DD4" w:themeColor="text2" w:themeTint="99"/>
        </w:rPr>
        <w:fldChar w:fldCharType="end"/>
      </w:r>
      <w:r w:rsidRPr="00B45B4F">
        <w:rPr>
          <w:rFonts w:ascii="Verdana" w:hAnsi="Verdana"/>
          <w:color w:val="548DD4" w:themeColor="text2" w:themeTint="99"/>
        </w:rPr>
        <w:t>. Анализ на принципите, посочени като водещи при избора на операции</w:t>
      </w:r>
      <w:bookmarkEnd w:id="97"/>
      <w:bookmarkEnd w:id="98"/>
      <w:bookmarkEnd w:id="99"/>
    </w:p>
    <w:tbl>
      <w:tblPr>
        <w:tblStyle w:val="MediumShading1-Accent11"/>
        <w:tblW w:w="14459" w:type="dxa"/>
        <w:tblInd w:w="108" w:type="dxa"/>
        <w:tblBorders>
          <w:top w:val="single" w:sz="8" w:space="0" w:color="17365D"/>
          <w:left w:val="single" w:sz="8" w:space="0" w:color="17365D"/>
          <w:bottom w:val="single" w:sz="8" w:space="0" w:color="17365D"/>
          <w:right w:val="single" w:sz="8" w:space="0" w:color="17365D"/>
          <w:insideH w:val="single" w:sz="8" w:space="0" w:color="17365D"/>
          <w:insideV w:val="single" w:sz="8" w:space="0" w:color="17365D"/>
        </w:tblBorders>
        <w:tblLayout w:type="fixed"/>
        <w:tblLook w:val="04A0" w:firstRow="1" w:lastRow="0" w:firstColumn="1" w:lastColumn="0" w:noHBand="0" w:noVBand="1"/>
      </w:tblPr>
      <w:tblGrid>
        <w:gridCol w:w="2790"/>
        <w:gridCol w:w="8460"/>
        <w:gridCol w:w="3209"/>
      </w:tblGrid>
      <w:tr w:rsidR="00BF28D4" w:rsidRPr="00B45B4F" w:rsidTr="003954E5">
        <w:trPr>
          <w:cnfStyle w:val="100000000000" w:firstRow="1" w:lastRow="0" w:firstColumn="0" w:lastColumn="0" w:oddVBand="0" w:evenVBand="0" w:oddHBand="0" w:evenHBand="0" w:firstRowFirstColumn="0" w:firstRowLastColumn="0" w:lastRowFirstColumn="0" w:lastRowLastColumn="0"/>
          <w:trHeight w:val="637"/>
        </w:trPr>
        <w:tc>
          <w:tcPr>
            <w:cnfStyle w:val="001000000000" w:firstRow="0" w:lastRow="0" w:firstColumn="1" w:lastColumn="0" w:oddVBand="0" w:evenVBand="0" w:oddHBand="0" w:evenHBand="0" w:firstRowFirstColumn="0" w:firstRowLastColumn="0" w:lastRowFirstColumn="0" w:lastRowLastColumn="0"/>
            <w:tcW w:w="2790" w:type="dxa"/>
            <w:vAlign w:val="center"/>
          </w:tcPr>
          <w:p w:rsidR="00BF28D4" w:rsidRPr="00B45B4F" w:rsidRDefault="00BF28D4" w:rsidP="003954E5">
            <w:pPr>
              <w:spacing w:before="120" w:after="120"/>
              <w:ind w:left="-18" w:right="-108"/>
              <w:jc w:val="center"/>
              <w:rPr>
                <w:rFonts w:ascii="Verdana" w:hAnsi="Verdana"/>
                <w:sz w:val="20"/>
                <w:szCs w:val="20"/>
                <w:lang w:val="bg-BG"/>
              </w:rPr>
            </w:pPr>
            <w:r w:rsidRPr="00B45B4F">
              <w:rPr>
                <w:rFonts w:ascii="Verdana" w:hAnsi="Verdana"/>
                <w:sz w:val="20"/>
                <w:szCs w:val="20"/>
                <w:lang w:val="bg-BG"/>
              </w:rPr>
              <w:t>Принцип и приоритетна ос</w:t>
            </w:r>
          </w:p>
        </w:tc>
        <w:tc>
          <w:tcPr>
            <w:tcW w:w="8460" w:type="dxa"/>
            <w:vAlign w:val="center"/>
          </w:tcPr>
          <w:p w:rsidR="00BF28D4" w:rsidRPr="00B45B4F" w:rsidRDefault="00BF28D4" w:rsidP="003954E5">
            <w:pPr>
              <w:spacing w:before="120" w:after="120"/>
              <w:jc w:val="center"/>
              <w:cnfStyle w:val="100000000000" w:firstRow="1" w:lastRow="0" w:firstColumn="0" w:lastColumn="0" w:oddVBand="0" w:evenVBand="0" w:oddHBand="0" w:evenHBand="0" w:firstRowFirstColumn="0" w:firstRowLastColumn="0" w:lastRowFirstColumn="0" w:lastRowLastColumn="0"/>
              <w:rPr>
                <w:rFonts w:ascii="Verdana" w:hAnsi="Verdana"/>
                <w:sz w:val="20"/>
                <w:szCs w:val="20"/>
                <w:lang w:val="bg-BG"/>
              </w:rPr>
            </w:pPr>
            <w:proofErr w:type="spellStart"/>
            <w:r w:rsidRPr="00B45B4F">
              <w:rPr>
                <w:rFonts w:ascii="Verdana" w:hAnsi="Verdana"/>
                <w:sz w:val="20"/>
                <w:szCs w:val="20"/>
                <w:lang w:val="bg-BG"/>
              </w:rPr>
              <w:t>Удачност</w:t>
            </w:r>
            <w:proofErr w:type="spellEnd"/>
          </w:p>
        </w:tc>
        <w:tc>
          <w:tcPr>
            <w:tcW w:w="3209" w:type="dxa"/>
            <w:vAlign w:val="center"/>
          </w:tcPr>
          <w:p w:rsidR="00BF28D4" w:rsidRPr="00B45B4F" w:rsidRDefault="00BF28D4" w:rsidP="003954E5">
            <w:pPr>
              <w:spacing w:before="120" w:after="120"/>
              <w:jc w:val="center"/>
              <w:cnfStyle w:val="100000000000" w:firstRow="1" w:lastRow="0" w:firstColumn="0" w:lastColumn="0" w:oddVBand="0" w:evenVBand="0" w:oddHBand="0" w:evenHBand="0" w:firstRowFirstColumn="0" w:firstRowLastColumn="0" w:lastRowFirstColumn="0" w:lastRowLastColumn="0"/>
              <w:rPr>
                <w:rFonts w:ascii="Verdana" w:hAnsi="Verdana"/>
                <w:sz w:val="20"/>
                <w:szCs w:val="20"/>
                <w:lang w:val="bg-BG"/>
              </w:rPr>
            </w:pPr>
            <w:r w:rsidRPr="00B45B4F">
              <w:rPr>
                <w:rFonts w:ascii="Verdana" w:hAnsi="Verdana"/>
                <w:sz w:val="20"/>
                <w:szCs w:val="20"/>
                <w:lang w:val="bg-BG"/>
              </w:rPr>
              <w:t>Препоръка</w:t>
            </w:r>
          </w:p>
        </w:tc>
      </w:tr>
      <w:tr w:rsidR="009E5D12" w:rsidRPr="00B45B4F" w:rsidTr="003954E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90" w:type="dxa"/>
            <w:shd w:val="clear" w:color="auto" w:fill="auto"/>
            <w:vAlign w:val="center"/>
          </w:tcPr>
          <w:p w:rsidR="009E5D12" w:rsidRPr="00B45B4F" w:rsidRDefault="009E5D12" w:rsidP="003B078D">
            <w:pPr>
              <w:spacing w:after="0"/>
              <w:rPr>
                <w:rFonts w:ascii="Verdana" w:eastAsia="Times New Roman" w:hAnsi="Verdana" w:cs="Calibri"/>
                <w:color w:val="000000"/>
                <w:sz w:val="20"/>
                <w:szCs w:val="20"/>
                <w:lang w:val="bg-BG" w:eastAsia="bg-BG"/>
              </w:rPr>
            </w:pPr>
            <w:r w:rsidRPr="00B45B4F">
              <w:rPr>
                <w:rFonts w:ascii="Verdana" w:eastAsia="Times New Roman" w:hAnsi="Verdana" w:cs="Calibri"/>
                <w:color w:val="000000"/>
                <w:sz w:val="20"/>
                <w:szCs w:val="20"/>
                <w:lang w:val="bg-BG" w:eastAsia="bg-BG"/>
              </w:rPr>
              <w:t>Тематична концентрация</w:t>
            </w:r>
          </w:p>
        </w:tc>
        <w:tc>
          <w:tcPr>
            <w:tcW w:w="8460" w:type="dxa"/>
            <w:shd w:val="clear" w:color="auto" w:fill="auto"/>
          </w:tcPr>
          <w:p w:rsidR="009E5D12" w:rsidRPr="00B45B4F" w:rsidRDefault="009E5D12" w:rsidP="003B078D">
            <w:pPr>
              <w:spacing w:after="0"/>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bg-BG"/>
              </w:rPr>
            </w:pPr>
            <w:r w:rsidRPr="00B45B4F">
              <w:rPr>
                <w:rFonts w:ascii="Verdana" w:hAnsi="Verdana"/>
                <w:sz w:val="20"/>
                <w:szCs w:val="20"/>
                <w:lang w:val="bg-BG"/>
              </w:rPr>
              <w:t>Принципът е един и същ за всички инвестиционни приоритети и посочва, че предвидените дейности и финансиране са концентрирани в изпълнение</w:t>
            </w:r>
            <w:r w:rsidR="007764A9" w:rsidRPr="00B45B4F">
              <w:rPr>
                <w:rFonts w:ascii="Verdana" w:hAnsi="Verdana"/>
                <w:sz w:val="20"/>
                <w:szCs w:val="20"/>
                <w:lang w:val="bg-BG"/>
              </w:rPr>
              <w:t>то</w:t>
            </w:r>
            <w:r w:rsidRPr="00B45B4F">
              <w:rPr>
                <w:rFonts w:ascii="Verdana" w:hAnsi="Verdana"/>
                <w:sz w:val="20"/>
                <w:szCs w:val="20"/>
                <w:lang w:val="bg-BG"/>
              </w:rPr>
              <w:t xml:space="preserve"> на Тематични цели 1 и </w:t>
            </w:r>
            <w:r w:rsidR="000E3F15" w:rsidRPr="00B45B4F">
              <w:rPr>
                <w:rFonts w:ascii="Verdana" w:hAnsi="Verdana"/>
                <w:sz w:val="20"/>
                <w:szCs w:val="20"/>
                <w:lang w:val="bg-BG"/>
              </w:rPr>
              <w:t>10</w:t>
            </w:r>
            <w:r w:rsidRPr="00B45B4F">
              <w:rPr>
                <w:rFonts w:ascii="Verdana" w:hAnsi="Verdana"/>
                <w:sz w:val="20"/>
                <w:szCs w:val="20"/>
                <w:lang w:val="bg-BG"/>
              </w:rPr>
              <w:t xml:space="preserve"> на общия регламент.</w:t>
            </w:r>
          </w:p>
          <w:p w:rsidR="009E5D12" w:rsidRPr="00B45B4F" w:rsidRDefault="009E5D12" w:rsidP="003B078D">
            <w:pPr>
              <w:spacing w:after="0"/>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bg-BG"/>
              </w:rPr>
            </w:pPr>
            <w:r w:rsidRPr="00B45B4F">
              <w:rPr>
                <w:rFonts w:ascii="Verdana" w:hAnsi="Verdana"/>
                <w:sz w:val="20"/>
                <w:szCs w:val="20"/>
                <w:lang w:val="bg-BG"/>
              </w:rPr>
              <w:t xml:space="preserve">Принципът има информативен характер </w:t>
            </w:r>
            <w:r w:rsidR="000E3F15" w:rsidRPr="00B45B4F">
              <w:rPr>
                <w:rFonts w:ascii="Verdana" w:hAnsi="Verdana"/>
                <w:sz w:val="20"/>
                <w:szCs w:val="20"/>
                <w:lang w:val="bg-BG"/>
              </w:rPr>
              <w:t>и не може да бъде приложен при подбора на операции</w:t>
            </w:r>
            <w:r w:rsidR="0014708D" w:rsidRPr="00B45B4F">
              <w:rPr>
                <w:rFonts w:ascii="Verdana" w:hAnsi="Verdana"/>
                <w:sz w:val="20"/>
                <w:szCs w:val="20"/>
                <w:lang w:val="bg-BG"/>
              </w:rPr>
              <w:t>, тъй като подбраните вече ИП като цяло попадат в обхвата на тематичните цели.</w:t>
            </w:r>
          </w:p>
        </w:tc>
        <w:tc>
          <w:tcPr>
            <w:tcW w:w="3209" w:type="dxa"/>
            <w:shd w:val="clear" w:color="auto" w:fill="auto"/>
          </w:tcPr>
          <w:p w:rsidR="009E5D12" w:rsidRPr="00B45B4F" w:rsidRDefault="00D7684F" w:rsidP="003B078D">
            <w:pPr>
              <w:spacing w:after="0"/>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bg-BG"/>
              </w:rPr>
            </w:pPr>
            <w:r w:rsidRPr="00B45B4F">
              <w:rPr>
                <w:rFonts w:ascii="Verdana" w:hAnsi="Verdana"/>
                <w:sz w:val="20"/>
                <w:szCs w:val="20"/>
                <w:lang w:val="bg-BG"/>
              </w:rPr>
              <w:t>Препоръчително е п</w:t>
            </w:r>
            <w:r w:rsidR="00E1528B" w:rsidRPr="00B45B4F">
              <w:rPr>
                <w:rFonts w:ascii="Verdana" w:hAnsi="Verdana"/>
                <w:sz w:val="20"/>
                <w:szCs w:val="20"/>
                <w:lang w:val="bg-BG"/>
              </w:rPr>
              <w:t>ринципът да отпадне</w:t>
            </w:r>
          </w:p>
        </w:tc>
      </w:tr>
      <w:tr w:rsidR="009E5D12" w:rsidRPr="00B45B4F" w:rsidTr="003954E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90" w:type="dxa"/>
            <w:shd w:val="clear" w:color="auto" w:fill="auto"/>
            <w:vAlign w:val="center"/>
          </w:tcPr>
          <w:p w:rsidR="009E5D12" w:rsidRPr="00B45B4F" w:rsidRDefault="009E5D12" w:rsidP="003B078D">
            <w:pPr>
              <w:spacing w:after="0"/>
              <w:rPr>
                <w:rFonts w:ascii="Verdana" w:eastAsia="Times New Roman" w:hAnsi="Verdana" w:cs="Calibri"/>
                <w:color w:val="000000"/>
                <w:sz w:val="20"/>
                <w:szCs w:val="20"/>
                <w:lang w:val="bg-BG" w:eastAsia="bg-BG"/>
              </w:rPr>
            </w:pPr>
            <w:r w:rsidRPr="00B45B4F">
              <w:rPr>
                <w:rFonts w:ascii="Verdana" w:eastAsia="Times New Roman" w:hAnsi="Verdana" w:cs="Calibri"/>
                <w:color w:val="000000"/>
                <w:sz w:val="20"/>
                <w:szCs w:val="20"/>
                <w:lang w:val="bg-BG" w:eastAsia="bg-BG"/>
              </w:rPr>
              <w:t>Ефективност на инвестициите за максимално постигане на целите на ОП НОИР</w:t>
            </w:r>
          </w:p>
        </w:tc>
        <w:tc>
          <w:tcPr>
            <w:tcW w:w="8460" w:type="dxa"/>
            <w:shd w:val="clear" w:color="auto" w:fill="auto"/>
          </w:tcPr>
          <w:p w:rsidR="009E5D12" w:rsidRPr="00B45B4F" w:rsidRDefault="0014708D" w:rsidP="003B078D">
            <w:pPr>
              <w:spacing w:after="0"/>
              <w:cnfStyle w:val="000000010000" w:firstRow="0" w:lastRow="0" w:firstColumn="0" w:lastColumn="0" w:oddVBand="0" w:evenVBand="0" w:oddHBand="0" w:evenHBand="1" w:firstRowFirstColumn="0" w:firstRowLastColumn="0" w:lastRowFirstColumn="0" w:lastRowLastColumn="0"/>
              <w:rPr>
                <w:rFonts w:ascii="Verdana" w:hAnsi="Verdana"/>
                <w:sz w:val="20"/>
                <w:szCs w:val="20"/>
                <w:lang w:val="bg-BG"/>
              </w:rPr>
            </w:pPr>
            <w:r w:rsidRPr="00B45B4F">
              <w:rPr>
                <w:rFonts w:ascii="Verdana" w:hAnsi="Verdana"/>
                <w:sz w:val="20"/>
                <w:szCs w:val="20"/>
                <w:lang w:val="bg-BG"/>
              </w:rPr>
              <w:t>Принципът е един и същ за всички инвестиционни приоритети и посочва, че мерките трябва да допринасят за изпълнението на целите на програмата и че ще се подбират най-подходящите начини за предоставяне на безвъзмездна финансова помощ и облекчаване на административната тежест за бенефициентите.</w:t>
            </w:r>
          </w:p>
          <w:p w:rsidR="0014708D" w:rsidRPr="00B45B4F" w:rsidRDefault="0014708D" w:rsidP="003B078D">
            <w:pPr>
              <w:spacing w:after="0"/>
              <w:cnfStyle w:val="000000010000" w:firstRow="0" w:lastRow="0" w:firstColumn="0" w:lastColumn="0" w:oddVBand="0" w:evenVBand="0" w:oddHBand="0" w:evenHBand="1" w:firstRowFirstColumn="0" w:firstRowLastColumn="0" w:lastRowFirstColumn="0" w:lastRowLastColumn="0"/>
              <w:rPr>
                <w:rFonts w:ascii="Verdana" w:hAnsi="Verdana"/>
                <w:sz w:val="20"/>
                <w:szCs w:val="20"/>
                <w:lang w:val="bg-BG"/>
              </w:rPr>
            </w:pPr>
            <w:r w:rsidRPr="00B45B4F">
              <w:rPr>
                <w:rFonts w:ascii="Verdana" w:hAnsi="Verdana"/>
                <w:sz w:val="20"/>
                <w:szCs w:val="20"/>
                <w:lang w:val="bg-BG"/>
              </w:rPr>
              <w:t>Принципът е удачен и възможен за прилагане на практика.</w:t>
            </w:r>
          </w:p>
        </w:tc>
        <w:tc>
          <w:tcPr>
            <w:tcW w:w="3209" w:type="dxa"/>
            <w:shd w:val="clear" w:color="auto" w:fill="auto"/>
          </w:tcPr>
          <w:p w:rsidR="009E5D12" w:rsidRPr="00B45B4F" w:rsidRDefault="0014708D" w:rsidP="003B078D">
            <w:pPr>
              <w:spacing w:after="0"/>
              <w:cnfStyle w:val="000000010000" w:firstRow="0" w:lastRow="0" w:firstColumn="0" w:lastColumn="0" w:oddVBand="0" w:evenVBand="0" w:oddHBand="0" w:evenHBand="1" w:firstRowFirstColumn="0" w:firstRowLastColumn="0" w:lastRowFirstColumn="0" w:lastRowLastColumn="0"/>
              <w:rPr>
                <w:rFonts w:ascii="Verdana" w:hAnsi="Verdana"/>
                <w:sz w:val="20"/>
                <w:szCs w:val="20"/>
                <w:lang w:val="bg-BG"/>
              </w:rPr>
            </w:pPr>
            <w:r w:rsidRPr="00B45B4F">
              <w:rPr>
                <w:rFonts w:ascii="Verdana" w:hAnsi="Verdana"/>
                <w:sz w:val="20"/>
                <w:szCs w:val="20"/>
                <w:lang w:val="bg-BG"/>
              </w:rPr>
              <w:t>Няма</w:t>
            </w:r>
          </w:p>
        </w:tc>
      </w:tr>
      <w:tr w:rsidR="009E5D12" w:rsidRPr="00B45B4F" w:rsidTr="003954E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90" w:type="dxa"/>
            <w:shd w:val="clear" w:color="auto" w:fill="auto"/>
            <w:vAlign w:val="center"/>
          </w:tcPr>
          <w:p w:rsidR="009E5D12" w:rsidRPr="00B45B4F" w:rsidRDefault="009E5D12" w:rsidP="003B078D">
            <w:pPr>
              <w:spacing w:after="0"/>
              <w:rPr>
                <w:rFonts w:ascii="Verdana" w:eastAsia="Times New Roman" w:hAnsi="Verdana" w:cs="Calibri"/>
                <w:color w:val="000000"/>
                <w:sz w:val="20"/>
                <w:szCs w:val="20"/>
                <w:lang w:val="bg-BG" w:eastAsia="bg-BG"/>
              </w:rPr>
            </w:pPr>
            <w:proofErr w:type="spellStart"/>
            <w:r w:rsidRPr="00B45B4F">
              <w:rPr>
                <w:rFonts w:ascii="Verdana" w:eastAsia="Times New Roman" w:hAnsi="Verdana" w:cs="Calibri"/>
                <w:color w:val="000000"/>
                <w:sz w:val="20"/>
                <w:szCs w:val="20"/>
                <w:lang w:val="bg-BG" w:eastAsia="bg-BG"/>
              </w:rPr>
              <w:t>Допълняемост</w:t>
            </w:r>
            <w:proofErr w:type="spellEnd"/>
            <w:r w:rsidRPr="00B45B4F">
              <w:rPr>
                <w:rFonts w:ascii="Verdana" w:eastAsia="Times New Roman" w:hAnsi="Verdana" w:cs="Calibri"/>
                <w:color w:val="000000"/>
                <w:sz w:val="20"/>
                <w:szCs w:val="20"/>
                <w:lang w:val="bg-BG" w:eastAsia="bg-BG"/>
              </w:rPr>
              <w:t xml:space="preserve"> с други финансови източници</w:t>
            </w:r>
          </w:p>
        </w:tc>
        <w:tc>
          <w:tcPr>
            <w:tcW w:w="8460" w:type="dxa"/>
            <w:shd w:val="clear" w:color="auto" w:fill="auto"/>
          </w:tcPr>
          <w:p w:rsidR="009E5D12" w:rsidRPr="00B45B4F" w:rsidRDefault="0014708D" w:rsidP="003B078D">
            <w:pPr>
              <w:spacing w:after="0"/>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bg-BG"/>
              </w:rPr>
            </w:pPr>
            <w:r w:rsidRPr="00B45B4F">
              <w:rPr>
                <w:rFonts w:ascii="Verdana" w:hAnsi="Verdana"/>
                <w:sz w:val="20"/>
                <w:szCs w:val="20"/>
                <w:lang w:val="bg-BG"/>
              </w:rPr>
              <w:t xml:space="preserve">Принципът е един и същ за всички инвестиционни приоритети и посочва, че  за постигане на максимална ефективност на предложените за финансиране мерки ще бъде търсена </w:t>
            </w:r>
            <w:proofErr w:type="spellStart"/>
            <w:r w:rsidRPr="00B45B4F">
              <w:rPr>
                <w:rFonts w:ascii="Verdana" w:hAnsi="Verdana"/>
                <w:sz w:val="20"/>
                <w:szCs w:val="20"/>
                <w:lang w:val="bg-BG"/>
              </w:rPr>
              <w:t>допълняемост</w:t>
            </w:r>
            <w:proofErr w:type="spellEnd"/>
            <w:r w:rsidRPr="00B45B4F">
              <w:rPr>
                <w:rFonts w:ascii="Verdana" w:hAnsi="Verdana"/>
                <w:sz w:val="20"/>
                <w:szCs w:val="20"/>
                <w:lang w:val="bg-BG"/>
              </w:rPr>
              <w:t xml:space="preserve"> с други програми, финансирани със средства от ЕС и държавния бюджет.</w:t>
            </w:r>
          </w:p>
          <w:p w:rsidR="0014708D" w:rsidRPr="00B45B4F" w:rsidRDefault="0014708D" w:rsidP="003B078D">
            <w:pPr>
              <w:spacing w:after="0"/>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bg-BG"/>
              </w:rPr>
            </w:pPr>
            <w:r w:rsidRPr="00B45B4F">
              <w:rPr>
                <w:rFonts w:ascii="Verdana" w:hAnsi="Verdana"/>
                <w:sz w:val="20"/>
                <w:szCs w:val="20"/>
                <w:lang w:val="bg-BG"/>
              </w:rPr>
              <w:t>Принципът е удачен и възможен за прилагане на практика.</w:t>
            </w:r>
          </w:p>
        </w:tc>
        <w:tc>
          <w:tcPr>
            <w:tcW w:w="3209" w:type="dxa"/>
            <w:shd w:val="clear" w:color="auto" w:fill="auto"/>
          </w:tcPr>
          <w:p w:rsidR="009E5D12" w:rsidRPr="00B45B4F" w:rsidRDefault="0014708D" w:rsidP="003B078D">
            <w:pPr>
              <w:spacing w:after="0"/>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bg-BG"/>
              </w:rPr>
            </w:pPr>
            <w:r w:rsidRPr="00B45B4F">
              <w:rPr>
                <w:rFonts w:ascii="Verdana" w:hAnsi="Verdana"/>
                <w:sz w:val="20"/>
                <w:szCs w:val="20"/>
                <w:lang w:val="bg-BG"/>
              </w:rPr>
              <w:t>Няма</w:t>
            </w:r>
          </w:p>
        </w:tc>
      </w:tr>
      <w:tr w:rsidR="009E5D12" w:rsidRPr="00B45B4F" w:rsidTr="003954E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90" w:type="dxa"/>
            <w:shd w:val="clear" w:color="auto" w:fill="auto"/>
            <w:vAlign w:val="center"/>
          </w:tcPr>
          <w:p w:rsidR="009E5D12" w:rsidRPr="00B45B4F" w:rsidRDefault="009E5D12" w:rsidP="003B078D">
            <w:pPr>
              <w:spacing w:after="0"/>
              <w:rPr>
                <w:rFonts w:ascii="Verdana" w:eastAsia="Times New Roman" w:hAnsi="Verdana" w:cs="Calibri"/>
                <w:color w:val="000000"/>
                <w:sz w:val="20"/>
                <w:szCs w:val="20"/>
                <w:lang w:val="bg-BG" w:eastAsia="bg-BG"/>
              </w:rPr>
            </w:pPr>
            <w:r w:rsidRPr="00B45B4F">
              <w:rPr>
                <w:rFonts w:ascii="Verdana" w:eastAsia="Times New Roman" w:hAnsi="Verdana" w:cs="Calibri"/>
                <w:color w:val="000000"/>
                <w:sz w:val="20"/>
                <w:szCs w:val="20"/>
                <w:lang w:val="bg-BG" w:eastAsia="bg-BG"/>
              </w:rPr>
              <w:t>Удовлетворяване на конкретните нужди на целевите групи</w:t>
            </w:r>
          </w:p>
        </w:tc>
        <w:tc>
          <w:tcPr>
            <w:tcW w:w="8460" w:type="dxa"/>
            <w:shd w:val="clear" w:color="auto" w:fill="auto"/>
          </w:tcPr>
          <w:p w:rsidR="009E5D12" w:rsidRPr="00B45B4F" w:rsidRDefault="00895FAB" w:rsidP="003B078D">
            <w:pPr>
              <w:spacing w:after="0"/>
              <w:cnfStyle w:val="000000010000" w:firstRow="0" w:lastRow="0" w:firstColumn="0" w:lastColumn="0" w:oddVBand="0" w:evenVBand="0" w:oddHBand="0" w:evenHBand="1" w:firstRowFirstColumn="0" w:firstRowLastColumn="0" w:lastRowFirstColumn="0" w:lastRowLastColumn="0"/>
              <w:rPr>
                <w:rFonts w:ascii="Verdana" w:hAnsi="Verdana"/>
                <w:sz w:val="20"/>
                <w:szCs w:val="20"/>
                <w:lang w:val="bg-BG"/>
              </w:rPr>
            </w:pPr>
            <w:r w:rsidRPr="00B45B4F">
              <w:rPr>
                <w:rFonts w:ascii="Verdana" w:hAnsi="Verdana"/>
                <w:sz w:val="20"/>
                <w:szCs w:val="20"/>
                <w:lang w:val="bg-BG"/>
              </w:rPr>
              <w:t>Принципът посочва, че осигуряването на финансиране по конкретните мерки ще става само на базата на идентифицираните потребности на целевите групи в стратегически и аналитич</w:t>
            </w:r>
            <w:r w:rsidR="007764A9" w:rsidRPr="00B45B4F">
              <w:rPr>
                <w:rFonts w:ascii="Verdana" w:hAnsi="Verdana"/>
                <w:sz w:val="20"/>
                <w:szCs w:val="20"/>
                <w:lang w:val="bg-BG"/>
              </w:rPr>
              <w:t>ни документи. Той е един и същ з</w:t>
            </w:r>
            <w:r w:rsidRPr="00B45B4F">
              <w:rPr>
                <w:rFonts w:ascii="Verdana" w:hAnsi="Verdana"/>
                <w:sz w:val="20"/>
                <w:szCs w:val="20"/>
                <w:lang w:val="bg-BG"/>
              </w:rPr>
              <w:t xml:space="preserve">а всички инвестиционни приоритети с изключение на ИП на ПО1 и ПО2, където е разширен с посочване на ограничения при финансиране на научни изследвания само в областта на приоритетни на Националната стратегия за </w:t>
            </w:r>
            <w:r w:rsidRPr="00B45B4F">
              <w:rPr>
                <w:rFonts w:ascii="Verdana" w:hAnsi="Verdana"/>
                <w:sz w:val="20"/>
                <w:szCs w:val="20"/>
                <w:lang w:val="bg-BG"/>
              </w:rPr>
              <w:lastRenderedPageBreak/>
              <w:t>научни изследвания или Иновационната стратегия. Последното</w:t>
            </w:r>
            <w:r w:rsidR="00F224CD">
              <w:rPr>
                <w:rFonts w:ascii="Verdana" w:hAnsi="Verdana"/>
                <w:sz w:val="20"/>
                <w:szCs w:val="20"/>
                <w:lang w:val="bg-BG"/>
              </w:rPr>
              <w:t xml:space="preserve"> </w:t>
            </w:r>
            <w:r w:rsidRPr="00B45B4F">
              <w:rPr>
                <w:rFonts w:ascii="Verdana" w:hAnsi="Verdana"/>
                <w:sz w:val="20"/>
                <w:szCs w:val="20"/>
                <w:lang w:val="bg-BG"/>
              </w:rPr>
              <w:t>ограничение не е удачно за инвестиционните приоритети на ПО2.</w:t>
            </w:r>
          </w:p>
        </w:tc>
        <w:tc>
          <w:tcPr>
            <w:tcW w:w="3209" w:type="dxa"/>
            <w:shd w:val="clear" w:color="auto" w:fill="auto"/>
          </w:tcPr>
          <w:p w:rsidR="009E5D12" w:rsidRPr="00B45B4F" w:rsidRDefault="00D7684F" w:rsidP="003B078D">
            <w:pPr>
              <w:spacing w:after="0"/>
              <w:cnfStyle w:val="000000010000" w:firstRow="0" w:lastRow="0" w:firstColumn="0" w:lastColumn="0" w:oddVBand="0" w:evenVBand="0" w:oddHBand="0" w:evenHBand="1" w:firstRowFirstColumn="0" w:firstRowLastColumn="0" w:lastRowFirstColumn="0" w:lastRowLastColumn="0"/>
              <w:rPr>
                <w:rFonts w:ascii="Verdana" w:hAnsi="Verdana"/>
                <w:sz w:val="20"/>
                <w:szCs w:val="20"/>
                <w:lang w:val="bg-BG"/>
              </w:rPr>
            </w:pPr>
            <w:r w:rsidRPr="00B45B4F">
              <w:rPr>
                <w:rFonts w:ascii="Verdana" w:hAnsi="Verdana"/>
                <w:sz w:val="20"/>
                <w:szCs w:val="20"/>
                <w:lang w:val="bg-BG"/>
              </w:rPr>
              <w:lastRenderedPageBreak/>
              <w:t>Препоръчително е д</w:t>
            </w:r>
            <w:r w:rsidR="00895FAB" w:rsidRPr="00B45B4F">
              <w:rPr>
                <w:rFonts w:ascii="Verdana" w:hAnsi="Verdana"/>
                <w:sz w:val="20"/>
                <w:szCs w:val="20"/>
                <w:lang w:val="bg-BG"/>
              </w:rPr>
              <w:t>а отпадне уточнението</w:t>
            </w:r>
            <w:r w:rsidR="00825EAE">
              <w:rPr>
                <w:rFonts w:ascii="Verdana" w:hAnsi="Verdana"/>
                <w:sz w:val="20"/>
                <w:szCs w:val="20"/>
                <w:lang w:val="bg-BG"/>
              </w:rPr>
              <w:t>,</w:t>
            </w:r>
            <w:r w:rsidR="00F224CD">
              <w:rPr>
                <w:rFonts w:ascii="Verdana" w:hAnsi="Verdana"/>
                <w:sz w:val="20"/>
                <w:szCs w:val="20"/>
                <w:lang w:val="bg-BG"/>
              </w:rPr>
              <w:t xml:space="preserve"> </w:t>
            </w:r>
            <w:r w:rsidR="00015D39" w:rsidRPr="00B45B4F">
              <w:rPr>
                <w:rFonts w:ascii="Verdana" w:hAnsi="Verdana"/>
                <w:sz w:val="20"/>
                <w:szCs w:val="20"/>
                <w:lang w:val="bg-BG"/>
              </w:rPr>
              <w:t>отнасящо се до</w:t>
            </w:r>
            <w:r w:rsidR="00895FAB" w:rsidRPr="00B45B4F">
              <w:rPr>
                <w:rFonts w:ascii="Verdana" w:hAnsi="Verdana"/>
                <w:sz w:val="20"/>
                <w:szCs w:val="20"/>
                <w:lang w:val="bg-BG"/>
              </w:rPr>
              <w:t xml:space="preserve"> научните изследвания за инвестиционните приоритети на ПО2.</w:t>
            </w:r>
          </w:p>
        </w:tc>
      </w:tr>
      <w:tr w:rsidR="009E5D12" w:rsidRPr="00B45B4F" w:rsidTr="003954E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90" w:type="dxa"/>
            <w:shd w:val="clear" w:color="auto" w:fill="auto"/>
            <w:vAlign w:val="center"/>
          </w:tcPr>
          <w:p w:rsidR="009E5D12" w:rsidRPr="00B45B4F" w:rsidRDefault="009E5D12" w:rsidP="003B078D">
            <w:pPr>
              <w:spacing w:after="0"/>
              <w:rPr>
                <w:rFonts w:ascii="Verdana" w:eastAsia="Times New Roman" w:hAnsi="Verdana" w:cs="Calibri"/>
                <w:color w:val="000000"/>
                <w:sz w:val="20"/>
                <w:szCs w:val="20"/>
                <w:lang w:val="bg-BG" w:eastAsia="bg-BG"/>
              </w:rPr>
            </w:pPr>
            <w:r w:rsidRPr="00B45B4F">
              <w:rPr>
                <w:rFonts w:ascii="Verdana" w:eastAsia="Times New Roman" w:hAnsi="Verdana" w:cs="Calibri"/>
                <w:color w:val="000000"/>
                <w:sz w:val="20"/>
                <w:szCs w:val="20"/>
                <w:lang w:val="bg-BG" w:eastAsia="bg-BG"/>
              </w:rPr>
              <w:lastRenderedPageBreak/>
              <w:t>Хоризонтални принципи</w:t>
            </w:r>
          </w:p>
        </w:tc>
        <w:tc>
          <w:tcPr>
            <w:tcW w:w="8460" w:type="dxa"/>
            <w:shd w:val="clear" w:color="auto" w:fill="auto"/>
          </w:tcPr>
          <w:p w:rsidR="009E5D12" w:rsidRPr="00B45B4F" w:rsidRDefault="00895FAB" w:rsidP="003B078D">
            <w:pPr>
              <w:spacing w:after="0"/>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bg-BG"/>
              </w:rPr>
            </w:pPr>
            <w:r w:rsidRPr="00B45B4F">
              <w:rPr>
                <w:rFonts w:ascii="Verdana" w:hAnsi="Verdana"/>
                <w:sz w:val="20"/>
                <w:szCs w:val="20"/>
                <w:lang w:val="bg-BG"/>
              </w:rPr>
              <w:t xml:space="preserve">Принципът е един и същ за всички инвестиционни приоритети и посочва, че ще се отдели особено внимание на осигуряването на спазване на принципите за устойчиво развитие, равенство на възможностите и </w:t>
            </w:r>
            <w:proofErr w:type="spellStart"/>
            <w:r w:rsidRPr="00B45B4F">
              <w:rPr>
                <w:rFonts w:ascii="Verdana" w:hAnsi="Verdana"/>
                <w:sz w:val="20"/>
                <w:szCs w:val="20"/>
                <w:lang w:val="bg-BG"/>
              </w:rPr>
              <w:t>недискриминация</w:t>
            </w:r>
            <w:proofErr w:type="spellEnd"/>
            <w:r w:rsidRPr="00B45B4F">
              <w:rPr>
                <w:rFonts w:ascii="Verdana" w:hAnsi="Verdana"/>
                <w:sz w:val="20"/>
                <w:szCs w:val="20"/>
                <w:lang w:val="bg-BG"/>
              </w:rPr>
              <w:t xml:space="preserve"> и равенство между половете. Спазването на хоризонталните принципи е необходимо и задължително условие и в този смисъл въвеждането на този принцип при избора на операции няма да има добавена стойност. </w:t>
            </w:r>
          </w:p>
        </w:tc>
        <w:tc>
          <w:tcPr>
            <w:tcW w:w="3209" w:type="dxa"/>
            <w:shd w:val="clear" w:color="auto" w:fill="auto"/>
          </w:tcPr>
          <w:p w:rsidR="009E5D12" w:rsidRPr="00B45B4F" w:rsidRDefault="00D7684F" w:rsidP="003B078D">
            <w:pPr>
              <w:spacing w:after="0"/>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bg-BG"/>
              </w:rPr>
            </w:pPr>
            <w:r w:rsidRPr="00B45B4F">
              <w:rPr>
                <w:rFonts w:ascii="Verdana" w:hAnsi="Verdana"/>
                <w:sz w:val="20"/>
                <w:szCs w:val="20"/>
                <w:lang w:val="bg-BG"/>
              </w:rPr>
              <w:t>Препоръчително е п</w:t>
            </w:r>
            <w:r w:rsidR="00E1528B" w:rsidRPr="00B45B4F">
              <w:rPr>
                <w:rFonts w:ascii="Verdana" w:hAnsi="Verdana"/>
                <w:sz w:val="20"/>
                <w:szCs w:val="20"/>
                <w:lang w:val="bg-BG"/>
              </w:rPr>
              <w:t xml:space="preserve">ринципът да </w:t>
            </w:r>
            <w:r w:rsidR="00895FAB" w:rsidRPr="00B45B4F">
              <w:rPr>
                <w:rFonts w:ascii="Verdana" w:hAnsi="Verdana"/>
                <w:sz w:val="20"/>
                <w:szCs w:val="20"/>
                <w:lang w:val="bg-BG"/>
              </w:rPr>
              <w:t>отпадне</w:t>
            </w:r>
          </w:p>
        </w:tc>
      </w:tr>
      <w:tr w:rsidR="009E5D12" w:rsidRPr="00B45B4F" w:rsidTr="003954E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90" w:type="dxa"/>
            <w:shd w:val="clear" w:color="auto" w:fill="auto"/>
            <w:vAlign w:val="center"/>
          </w:tcPr>
          <w:p w:rsidR="009E5D12" w:rsidRPr="00B45B4F" w:rsidRDefault="009E5D12" w:rsidP="003B078D">
            <w:pPr>
              <w:spacing w:after="0"/>
              <w:rPr>
                <w:rFonts w:ascii="Verdana" w:eastAsia="Times New Roman" w:hAnsi="Verdana" w:cs="Calibri"/>
                <w:color w:val="000000"/>
                <w:sz w:val="20"/>
                <w:szCs w:val="20"/>
                <w:lang w:val="bg-BG" w:eastAsia="bg-BG"/>
              </w:rPr>
            </w:pPr>
            <w:r w:rsidRPr="00B45B4F">
              <w:rPr>
                <w:rFonts w:ascii="Verdana" w:eastAsia="Times New Roman" w:hAnsi="Verdana" w:cs="Calibri"/>
                <w:color w:val="000000"/>
                <w:sz w:val="20"/>
                <w:szCs w:val="20"/>
                <w:lang w:val="bg-BG" w:eastAsia="bg-BG"/>
              </w:rPr>
              <w:t>Прозрачност, партньорство и обективност</w:t>
            </w:r>
          </w:p>
        </w:tc>
        <w:tc>
          <w:tcPr>
            <w:tcW w:w="8460" w:type="dxa"/>
            <w:shd w:val="clear" w:color="auto" w:fill="auto"/>
          </w:tcPr>
          <w:p w:rsidR="009E5D12" w:rsidRPr="00B45B4F" w:rsidRDefault="00895FAB" w:rsidP="003B078D">
            <w:pPr>
              <w:spacing w:after="0"/>
              <w:cnfStyle w:val="000000010000" w:firstRow="0" w:lastRow="0" w:firstColumn="0" w:lastColumn="0" w:oddVBand="0" w:evenVBand="0" w:oddHBand="0" w:evenHBand="1" w:firstRowFirstColumn="0" w:firstRowLastColumn="0" w:lastRowFirstColumn="0" w:lastRowLastColumn="0"/>
              <w:rPr>
                <w:rFonts w:ascii="Verdana" w:hAnsi="Verdana"/>
                <w:sz w:val="20"/>
                <w:szCs w:val="20"/>
                <w:lang w:val="bg-BG"/>
              </w:rPr>
            </w:pPr>
            <w:r w:rsidRPr="00B45B4F">
              <w:rPr>
                <w:rFonts w:ascii="Verdana" w:hAnsi="Verdana"/>
                <w:sz w:val="20"/>
                <w:szCs w:val="20"/>
                <w:lang w:val="bg-BG"/>
              </w:rPr>
              <w:t xml:space="preserve">Принципът е един и същ </w:t>
            </w:r>
            <w:r w:rsidR="00D15686" w:rsidRPr="00B45B4F">
              <w:rPr>
                <w:rFonts w:ascii="Verdana" w:hAnsi="Verdana"/>
                <w:sz w:val="20"/>
                <w:szCs w:val="20"/>
                <w:lang w:val="bg-BG"/>
              </w:rPr>
              <w:t>з</w:t>
            </w:r>
            <w:r w:rsidRPr="00B45B4F">
              <w:rPr>
                <w:rFonts w:ascii="Verdana" w:hAnsi="Verdana"/>
                <w:sz w:val="20"/>
                <w:szCs w:val="20"/>
                <w:lang w:val="bg-BG"/>
              </w:rPr>
              <w:t>а всички инвестиционни приоритети и посочва, че ще се осигури максимална прозрачност и обективност при подбора на операции и ще се търси партньорството и представителството на всички заинтересовани страни при програмиране на операциите.</w:t>
            </w:r>
          </w:p>
          <w:p w:rsidR="00895FAB" w:rsidRPr="00B45B4F" w:rsidRDefault="00895FAB" w:rsidP="003B078D">
            <w:pPr>
              <w:spacing w:after="0"/>
              <w:cnfStyle w:val="000000010000" w:firstRow="0" w:lastRow="0" w:firstColumn="0" w:lastColumn="0" w:oddVBand="0" w:evenVBand="0" w:oddHBand="0" w:evenHBand="1" w:firstRowFirstColumn="0" w:firstRowLastColumn="0" w:lastRowFirstColumn="0" w:lastRowLastColumn="0"/>
              <w:rPr>
                <w:rFonts w:ascii="Verdana" w:hAnsi="Verdana"/>
                <w:sz w:val="20"/>
                <w:szCs w:val="20"/>
                <w:lang w:val="bg-BG"/>
              </w:rPr>
            </w:pPr>
            <w:r w:rsidRPr="00B45B4F">
              <w:rPr>
                <w:rFonts w:ascii="Verdana" w:hAnsi="Verdana"/>
                <w:sz w:val="20"/>
                <w:szCs w:val="20"/>
                <w:lang w:val="bg-BG"/>
              </w:rPr>
              <w:t>Принципът е удачен и може да се приложи на практика. Ще доведе до подобряване на качеството на програми</w:t>
            </w:r>
            <w:r w:rsidR="00F24DCB" w:rsidRPr="00B45B4F">
              <w:rPr>
                <w:rFonts w:ascii="Verdana" w:hAnsi="Verdana"/>
                <w:sz w:val="20"/>
                <w:szCs w:val="20"/>
                <w:lang w:val="bg-BG"/>
              </w:rPr>
              <w:t>ране.</w:t>
            </w:r>
          </w:p>
        </w:tc>
        <w:tc>
          <w:tcPr>
            <w:tcW w:w="3209" w:type="dxa"/>
            <w:shd w:val="clear" w:color="auto" w:fill="auto"/>
          </w:tcPr>
          <w:p w:rsidR="009E5D12" w:rsidRPr="00B45B4F" w:rsidRDefault="00F24DCB" w:rsidP="003B078D">
            <w:pPr>
              <w:spacing w:after="0"/>
              <w:cnfStyle w:val="000000010000" w:firstRow="0" w:lastRow="0" w:firstColumn="0" w:lastColumn="0" w:oddVBand="0" w:evenVBand="0" w:oddHBand="0" w:evenHBand="1" w:firstRowFirstColumn="0" w:firstRowLastColumn="0" w:lastRowFirstColumn="0" w:lastRowLastColumn="0"/>
              <w:rPr>
                <w:rFonts w:ascii="Verdana" w:hAnsi="Verdana"/>
                <w:sz w:val="20"/>
                <w:szCs w:val="20"/>
                <w:lang w:val="bg-BG"/>
              </w:rPr>
            </w:pPr>
            <w:r w:rsidRPr="00B45B4F">
              <w:rPr>
                <w:rFonts w:ascii="Verdana" w:hAnsi="Verdana"/>
                <w:sz w:val="20"/>
                <w:szCs w:val="20"/>
                <w:lang w:val="bg-BG"/>
              </w:rPr>
              <w:t>Няма</w:t>
            </w:r>
          </w:p>
        </w:tc>
      </w:tr>
      <w:tr w:rsidR="009E5D12" w:rsidRPr="00B45B4F" w:rsidTr="003954E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90" w:type="dxa"/>
            <w:shd w:val="clear" w:color="auto" w:fill="auto"/>
            <w:vAlign w:val="center"/>
          </w:tcPr>
          <w:p w:rsidR="009E5D12" w:rsidRPr="00B45B4F" w:rsidRDefault="009E5D12" w:rsidP="003B078D">
            <w:pPr>
              <w:spacing w:after="0"/>
              <w:rPr>
                <w:rFonts w:ascii="Verdana" w:eastAsia="Times New Roman" w:hAnsi="Verdana" w:cs="Calibri"/>
                <w:color w:val="000000"/>
                <w:sz w:val="20"/>
                <w:szCs w:val="20"/>
                <w:lang w:val="bg-BG" w:eastAsia="bg-BG"/>
              </w:rPr>
            </w:pPr>
            <w:r w:rsidRPr="00B45B4F">
              <w:rPr>
                <w:rFonts w:ascii="Verdana" w:eastAsia="Times New Roman" w:hAnsi="Verdana" w:cs="Calibri"/>
                <w:color w:val="000000"/>
                <w:sz w:val="20"/>
                <w:szCs w:val="20"/>
                <w:lang w:val="bg-BG" w:eastAsia="bg-BG"/>
              </w:rPr>
              <w:t>Интегриран подход</w:t>
            </w:r>
          </w:p>
        </w:tc>
        <w:tc>
          <w:tcPr>
            <w:tcW w:w="8460" w:type="dxa"/>
            <w:shd w:val="clear" w:color="auto" w:fill="auto"/>
          </w:tcPr>
          <w:p w:rsidR="009E5D12" w:rsidRPr="00B45B4F" w:rsidRDefault="00F24DCB" w:rsidP="003B078D">
            <w:pPr>
              <w:spacing w:after="0"/>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bg-BG"/>
              </w:rPr>
            </w:pPr>
            <w:r w:rsidRPr="00B45B4F">
              <w:rPr>
                <w:rFonts w:ascii="Verdana" w:hAnsi="Verdana"/>
                <w:sz w:val="20"/>
                <w:szCs w:val="20"/>
                <w:lang w:val="bg-BG"/>
              </w:rPr>
              <w:t xml:space="preserve">Принципът е заложен само за ИП3 на ПО2 и за инвестиционните приоритети на ПО3. Смисълът е че ще се търсят интегрирани операции в определени направления за постигане на </w:t>
            </w:r>
            <w:proofErr w:type="spellStart"/>
            <w:r w:rsidRPr="00B45B4F">
              <w:rPr>
                <w:rFonts w:ascii="Verdana" w:hAnsi="Verdana"/>
                <w:sz w:val="20"/>
                <w:szCs w:val="20"/>
                <w:lang w:val="bg-BG"/>
              </w:rPr>
              <w:t>синергичен</w:t>
            </w:r>
            <w:proofErr w:type="spellEnd"/>
            <w:r w:rsidRPr="00B45B4F">
              <w:rPr>
                <w:rFonts w:ascii="Verdana" w:hAnsi="Verdana"/>
                <w:sz w:val="20"/>
                <w:szCs w:val="20"/>
                <w:lang w:val="bg-BG"/>
              </w:rPr>
              <w:t xml:space="preserve"> ефект. Това са: кариерно ориентиране в системата на образованието (ОПНОИР) и извън него (ОПРЧР) за ИП3 на ПО2; подкрепа за деца изведени от институции съвместно с ОПРЧР за ИП1 на ПО3 и интегрирани проекти за ромското население отново съвместно с ОПРЧР за ИП2 на ПО3.</w:t>
            </w:r>
          </w:p>
          <w:p w:rsidR="00F24DCB" w:rsidRPr="00B45B4F" w:rsidRDefault="00F24DCB" w:rsidP="003B078D">
            <w:pPr>
              <w:spacing w:after="0"/>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bg-BG"/>
              </w:rPr>
            </w:pPr>
            <w:r w:rsidRPr="00B45B4F">
              <w:rPr>
                <w:rFonts w:ascii="Verdana" w:hAnsi="Verdana"/>
                <w:sz w:val="20"/>
                <w:szCs w:val="20"/>
                <w:lang w:val="bg-BG"/>
              </w:rPr>
              <w:t>Принципът е удачен и може да бъде приложен на практика. Ще доведе до постигане на по-голям ефект от операциите.</w:t>
            </w:r>
          </w:p>
        </w:tc>
        <w:tc>
          <w:tcPr>
            <w:tcW w:w="3209" w:type="dxa"/>
            <w:shd w:val="clear" w:color="auto" w:fill="auto"/>
          </w:tcPr>
          <w:p w:rsidR="009E5D12" w:rsidRPr="00B45B4F" w:rsidRDefault="00F24DCB" w:rsidP="003B078D">
            <w:pPr>
              <w:spacing w:after="0"/>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bg-BG"/>
              </w:rPr>
            </w:pPr>
            <w:r w:rsidRPr="00B45B4F">
              <w:rPr>
                <w:rFonts w:ascii="Verdana" w:hAnsi="Verdana"/>
                <w:sz w:val="20"/>
                <w:szCs w:val="20"/>
                <w:lang w:val="bg-BG"/>
              </w:rPr>
              <w:t>Няма</w:t>
            </w:r>
          </w:p>
        </w:tc>
      </w:tr>
    </w:tbl>
    <w:p w:rsidR="00BF28D4" w:rsidRPr="00B45B4F" w:rsidRDefault="00BF28D4" w:rsidP="006D28EA">
      <w:pPr>
        <w:spacing w:before="120" w:after="120"/>
        <w:jc w:val="both"/>
        <w:rPr>
          <w:rFonts w:ascii="Verdana" w:hAnsi="Verdana"/>
          <w:sz w:val="20"/>
          <w:szCs w:val="20"/>
          <w:lang w:val="bg-BG"/>
        </w:rPr>
      </w:pPr>
    </w:p>
    <w:p w:rsidR="00BF28D4" w:rsidRPr="00B45B4F" w:rsidRDefault="00BF28D4" w:rsidP="006D28EA">
      <w:pPr>
        <w:spacing w:before="120" w:after="120"/>
        <w:jc w:val="both"/>
        <w:rPr>
          <w:rFonts w:ascii="Verdana" w:hAnsi="Verdana"/>
          <w:sz w:val="20"/>
          <w:szCs w:val="20"/>
          <w:lang w:val="bg-BG"/>
        </w:rPr>
      </w:pPr>
    </w:p>
    <w:p w:rsidR="00BF28D4" w:rsidRPr="00B45B4F" w:rsidRDefault="00BF28D4" w:rsidP="006D28EA">
      <w:pPr>
        <w:spacing w:before="120" w:after="120"/>
        <w:jc w:val="both"/>
        <w:rPr>
          <w:rFonts w:ascii="Verdana" w:hAnsi="Verdana"/>
          <w:sz w:val="20"/>
          <w:szCs w:val="20"/>
          <w:lang w:val="bg-BG"/>
        </w:rPr>
        <w:sectPr w:rsidR="00BF28D4" w:rsidRPr="00B45B4F" w:rsidSect="0088514D">
          <w:headerReference w:type="default" r:id="rId41"/>
          <w:pgSz w:w="16839" w:h="11907" w:orient="landscape" w:code="9"/>
          <w:pgMar w:top="1440" w:right="1440" w:bottom="1440" w:left="1440" w:header="720" w:footer="726" w:gutter="0"/>
          <w:cols w:space="720"/>
          <w:docGrid w:linePitch="360"/>
        </w:sectPr>
      </w:pPr>
    </w:p>
    <w:p w:rsidR="00BF28D4" w:rsidRPr="00B45B4F" w:rsidRDefault="00BF28D4" w:rsidP="00FA776A">
      <w:pPr>
        <w:keepNext/>
        <w:pBdr>
          <w:bottom w:val="single" w:sz="4" w:space="1" w:color="0070C0"/>
        </w:pBdr>
        <w:spacing w:before="360" w:after="120"/>
        <w:jc w:val="both"/>
        <w:rPr>
          <w:rFonts w:ascii="Verdana" w:hAnsi="Verdana"/>
          <w:color w:val="0070C0"/>
          <w:sz w:val="20"/>
          <w:szCs w:val="20"/>
          <w:lang w:val="bg-BG" w:eastAsia="cs-CZ"/>
        </w:rPr>
      </w:pPr>
      <w:r w:rsidRPr="00B45B4F">
        <w:rPr>
          <w:rFonts w:ascii="Verdana" w:hAnsi="Verdana"/>
          <w:color w:val="0070C0"/>
          <w:sz w:val="20"/>
          <w:szCs w:val="20"/>
          <w:lang w:val="bg-BG" w:eastAsia="cs-CZ"/>
        </w:rPr>
        <w:lastRenderedPageBreak/>
        <w:t>Форми на финансиране</w:t>
      </w:r>
      <w:r w:rsidR="00986DDC" w:rsidRPr="00B45B4F">
        <w:rPr>
          <w:rFonts w:ascii="Verdana" w:hAnsi="Verdana"/>
          <w:color w:val="0070C0"/>
          <w:sz w:val="20"/>
          <w:szCs w:val="20"/>
          <w:lang w:val="bg-BG" w:eastAsia="cs-CZ"/>
        </w:rPr>
        <w:t xml:space="preserve"> и финансови инструменти</w:t>
      </w:r>
    </w:p>
    <w:p w:rsidR="00416243" w:rsidRPr="00B45B4F" w:rsidRDefault="00986DDC" w:rsidP="006D28EA">
      <w:pPr>
        <w:spacing w:before="120" w:after="120"/>
        <w:jc w:val="both"/>
        <w:rPr>
          <w:rFonts w:ascii="Verdana" w:hAnsi="Verdana"/>
          <w:sz w:val="20"/>
          <w:szCs w:val="20"/>
          <w:lang w:val="bg-BG"/>
        </w:rPr>
      </w:pPr>
      <w:r w:rsidRPr="00B45B4F">
        <w:rPr>
          <w:rFonts w:ascii="Verdana" w:hAnsi="Verdana"/>
          <w:sz w:val="20"/>
          <w:szCs w:val="20"/>
          <w:lang w:val="bg-BG"/>
        </w:rPr>
        <w:t>Текстът на програмата не дава информация относно формите на финансиране. Предвид на заложените мерки се очаква една част от подкрепата да бъде предоставена на конкурентен принцип, но също така е възможно директно предоставяне на подкрепа за вече определени приоритетни инвестиции или интервенции.</w:t>
      </w:r>
    </w:p>
    <w:p w:rsidR="00E655E4" w:rsidRPr="00B45B4F" w:rsidRDefault="00E655E4" w:rsidP="006D28EA">
      <w:pPr>
        <w:spacing w:before="120" w:after="120"/>
        <w:jc w:val="both"/>
        <w:rPr>
          <w:rFonts w:ascii="Verdana" w:hAnsi="Verdana"/>
          <w:color w:val="006CB6"/>
          <w:lang w:val="bg-BG"/>
        </w:rPr>
      </w:pPr>
      <w:r w:rsidRPr="00B45B4F">
        <w:rPr>
          <w:rFonts w:ascii="Verdana" w:hAnsi="Verdana"/>
          <w:sz w:val="20"/>
          <w:szCs w:val="20"/>
          <w:lang w:val="bg-BG"/>
        </w:rPr>
        <w:t>Това са и очакванията на по-голямата част от респонде</w:t>
      </w:r>
      <w:r w:rsidR="00937B75">
        <w:rPr>
          <w:rFonts w:ascii="Verdana" w:hAnsi="Verdana"/>
          <w:sz w:val="20"/>
          <w:szCs w:val="20"/>
          <w:lang w:val="bg-BG"/>
        </w:rPr>
        <w:t xml:space="preserve">нтите на онлайн проучването (Фигура </w:t>
      </w:r>
      <w:r w:rsidR="00E054C6">
        <w:rPr>
          <w:rFonts w:ascii="Verdana" w:hAnsi="Verdana"/>
          <w:sz w:val="20"/>
          <w:szCs w:val="20"/>
          <w:lang w:val="bg-BG"/>
        </w:rPr>
        <w:t>3</w:t>
      </w:r>
      <w:r w:rsidRPr="00B45B4F">
        <w:rPr>
          <w:rFonts w:ascii="Verdana" w:hAnsi="Verdana"/>
          <w:sz w:val="20"/>
          <w:szCs w:val="20"/>
          <w:lang w:val="bg-BG"/>
        </w:rPr>
        <w:t>)</w:t>
      </w:r>
      <w:r w:rsidR="00D81A47" w:rsidRPr="00B45B4F">
        <w:rPr>
          <w:rFonts w:ascii="Verdana" w:hAnsi="Verdana"/>
          <w:sz w:val="20"/>
          <w:szCs w:val="20"/>
          <w:lang w:val="bg-BG"/>
        </w:rPr>
        <w:t>.</w:t>
      </w:r>
    </w:p>
    <w:p w:rsidR="00E655E4" w:rsidRPr="00B45B4F" w:rsidRDefault="00E655E4" w:rsidP="006D28EA">
      <w:pPr>
        <w:spacing w:before="120" w:after="120"/>
        <w:jc w:val="both"/>
        <w:rPr>
          <w:rFonts w:ascii="Verdana" w:hAnsi="Verdana"/>
          <w:sz w:val="20"/>
          <w:szCs w:val="20"/>
          <w:lang w:val="bg-BG"/>
        </w:rPr>
      </w:pPr>
    </w:p>
    <w:p w:rsidR="00E655E4" w:rsidRPr="00B45B4F" w:rsidRDefault="00AD2C4F" w:rsidP="006D28EA">
      <w:pPr>
        <w:spacing w:before="120" w:after="120"/>
        <w:jc w:val="both"/>
        <w:rPr>
          <w:rFonts w:ascii="Verdana" w:hAnsi="Verdana"/>
          <w:sz w:val="20"/>
          <w:szCs w:val="20"/>
          <w:lang w:val="bg-BG"/>
        </w:rPr>
      </w:pPr>
      <w:r>
        <w:rPr>
          <w:noProof/>
          <w:lang w:val="bg-BG" w:eastAsia="bg-BG"/>
        </w:rPr>
        <w:drawing>
          <wp:inline distT="0" distB="0" distL="0" distR="0" wp14:anchorId="3B3D09EF" wp14:editId="2FB2F8E1">
            <wp:extent cx="5772150" cy="2571750"/>
            <wp:effectExtent l="0" t="0" r="0" b="0"/>
            <wp:docPr id="31" name="New picture"/>
            <wp:cNvGraphicFramePr/>
            <a:graphic xmlns:a="http://schemas.openxmlformats.org/drawingml/2006/main">
              <a:graphicData uri="http://schemas.openxmlformats.org/drawingml/2006/picture">
                <pic:pic xmlns:pic="http://schemas.openxmlformats.org/drawingml/2006/picture">
                  <pic:nvPicPr>
                    <pic:cNvPr id="2" name="New picture"/>
                    <pic:cNvPicPr/>
                  </pic:nvPicPr>
                  <pic:blipFill>
                    <a:blip r:embed="rId42"/>
                    <a:srcRect/>
                    <a:stretch>
                      <a:fillRect/>
                    </a:stretch>
                  </pic:blipFill>
                  <pic:spPr>
                    <a:xfrm>
                      <a:off x="0" y="0"/>
                      <a:ext cx="5772150" cy="2571750"/>
                    </a:xfrm>
                    <a:prstGeom prst="rect">
                      <a:avLst/>
                    </a:prstGeom>
                    <a:ln>
                      <a:noFill/>
                    </a:ln>
                  </pic:spPr>
                </pic:pic>
              </a:graphicData>
            </a:graphic>
          </wp:inline>
        </w:drawing>
      </w:r>
    </w:p>
    <w:p w:rsidR="003B078D" w:rsidRPr="00937B75" w:rsidRDefault="003B078D" w:rsidP="00B84582">
      <w:pPr>
        <w:jc w:val="both"/>
        <w:rPr>
          <w:rFonts w:ascii="Verdana" w:hAnsi="Verdana"/>
          <w:i/>
          <w:sz w:val="16"/>
          <w:szCs w:val="16"/>
          <w:lang w:val="bg-BG" w:eastAsia="bg-BG"/>
        </w:rPr>
      </w:pPr>
      <w:bookmarkStart w:id="100" w:name="_Ref384995491"/>
      <w:r w:rsidRPr="00937B75">
        <w:rPr>
          <w:rFonts w:ascii="Verdana" w:hAnsi="Verdana"/>
          <w:i/>
          <w:sz w:val="16"/>
          <w:szCs w:val="16"/>
          <w:lang w:val="bg-BG" w:eastAsia="bg-BG"/>
        </w:rPr>
        <w:t xml:space="preserve">Източник: Онлайн проучване сред потенциални бенефициенти на програмата, членове на работната група за подготовка на програмата и експерти от УО. </w:t>
      </w:r>
    </w:p>
    <w:p w:rsidR="00E655E4" w:rsidRPr="00B45B4F" w:rsidRDefault="00E655E4" w:rsidP="00E655E4">
      <w:pPr>
        <w:pStyle w:val="Caption"/>
        <w:jc w:val="center"/>
        <w:rPr>
          <w:rFonts w:ascii="Verdana" w:hAnsi="Verdana"/>
          <w:color w:val="006CB6"/>
        </w:rPr>
      </w:pPr>
      <w:bookmarkStart w:id="101" w:name="_Toc395609457"/>
      <w:r w:rsidRPr="00B45B4F">
        <w:rPr>
          <w:rFonts w:ascii="Verdana" w:hAnsi="Verdana"/>
          <w:color w:val="006CB6"/>
        </w:rPr>
        <w:t xml:space="preserve">Фигура </w:t>
      </w:r>
      <w:r w:rsidR="00BF1936" w:rsidRPr="00B45B4F">
        <w:rPr>
          <w:rFonts w:ascii="Verdana" w:hAnsi="Verdana"/>
          <w:color w:val="006CB6"/>
        </w:rPr>
        <w:fldChar w:fldCharType="begin"/>
      </w:r>
      <w:r w:rsidRPr="00B45B4F">
        <w:rPr>
          <w:rFonts w:ascii="Verdana" w:hAnsi="Verdana"/>
          <w:color w:val="006CB6"/>
        </w:rPr>
        <w:instrText xml:space="preserve"> SEQ Фигура \* ARABIC </w:instrText>
      </w:r>
      <w:r w:rsidR="00BF1936" w:rsidRPr="00B45B4F">
        <w:rPr>
          <w:rFonts w:ascii="Verdana" w:hAnsi="Verdana"/>
          <w:color w:val="006CB6"/>
        </w:rPr>
        <w:fldChar w:fldCharType="separate"/>
      </w:r>
      <w:r w:rsidR="001361E0">
        <w:rPr>
          <w:rFonts w:ascii="Verdana" w:hAnsi="Verdana"/>
          <w:noProof/>
          <w:color w:val="006CB6"/>
        </w:rPr>
        <w:t>3</w:t>
      </w:r>
      <w:r w:rsidR="00BF1936" w:rsidRPr="00B45B4F">
        <w:rPr>
          <w:rFonts w:ascii="Verdana" w:hAnsi="Verdana"/>
          <w:color w:val="006CB6"/>
        </w:rPr>
        <w:fldChar w:fldCharType="end"/>
      </w:r>
      <w:bookmarkEnd w:id="100"/>
      <w:r w:rsidRPr="00B45B4F">
        <w:rPr>
          <w:rFonts w:ascii="Verdana" w:hAnsi="Verdana"/>
          <w:color w:val="006CB6"/>
        </w:rPr>
        <w:t xml:space="preserve">: </w:t>
      </w:r>
      <w:r w:rsidR="00D81A47" w:rsidRPr="00B45B4F">
        <w:rPr>
          <w:rFonts w:ascii="Verdana" w:hAnsi="Verdana"/>
          <w:color w:val="006CB6"/>
        </w:rPr>
        <w:t>П</w:t>
      </w:r>
      <w:r w:rsidRPr="00B45B4F">
        <w:rPr>
          <w:rFonts w:ascii="Verdana" w:hAnsi="Verdana"/>
          <w:color w:val="006CB6"/>
        </w:rPr>
        <w:t>одходи за предоставяне на средствата по програмата</w:t>
      </w:r>
      <w:bookmarkEnd w:id="101"/>
    </w:p>
    <w:p w:rsidR="003B078D" w:rsidRPr="00B45B4F" w:rsidRDefault="003B078D" w:rsidP="006D28EA">
      <w:pPr>
        <w:spacing w:before="120" w:after="120"/>
        <w:jc w:val="both"/>
        <w:rPr>
          <w:rFonts w:ascii="Verdana" w:hAnsi="Verdana"/>
          <w:sz w:val="20"/>
          <w:szCs w:val="20"/>
          <w:lang w:val="bg-BG"/>
        </w:rPr>
      </w:pPr>
    </w:p>
    <w:p w:rsidR="00986DDC" w:rsidRPr="00B45B4F" w:rsidRDefault="00986DDC" w:rsidP="006D28EA">
      <w:pPr>
        <w:spacing w:before="120" w:after="120"/>
        <w:jc w:val="both"/>
        <w:rPr>
          <w:rFonts w:ascii="Verdana" w:hAnsi="Verdana"/>
          <w:sz w:val="20"/>
          <w:szCs w:val="20"/>
          <w:lang w:val="bg-BG"/>
        </w:rPr>
      </w:pPr>
      <w:r w:rsidRPr="00B45B4F">
        <w:rPr>
          <w:rFonts w:ascii="Verdana" w:hAnsi="Verdana"/>
          <w:sz w:val="20"/>
          <w:szCs w:val="20"/>
          <w:lang w:val="bg-BG"/>
        </w:rPr>
        <w:t xml:space="preserve">Във варианта на програмата от </w:t>
      </w:r>
      <w:r w:rsidR="001D1BFE">
        <w:rPr>
          <w:rFonts w:ascii="Verdana" w:hAnsi="Verdana"/>
          <w:sz w:val="20"/>
          <w:szCs w:val="20"/>
          <w:lang w:val="bg-BG"/>
        </w:rPr>
        <w:t>май</w:t>
      </w:r>
      <w:r w:rsidRPr="00B45B4F">
        <w:rPr>
          <w:rFonts w:ascii="Verdana" w:hAnsi="Verdana"/>
          <w:sz w:val="20"/>
          <w:szCs w:val="20"/>
          <w:lang w:val="bg-BG"/>
        </w:rPr>
        <w:t xml:space="preserve"> 2014 не се предвижда използването на финансови инструменти. Пре</w:t>
      </w:r>
      <w:r w:rsidR="00140AAE" w:rsidRPr="00B45B4F">
        <w:rPr>
          <w:rFonts w:ascii="Verdana" w:hAnsi="Verdana"/>
          <w:sz w:val="20"/>
          <w:szCs w:val="20"/>
          <w:lang w:val="bg-BG"/>
        </w:rPr>
        <w:t>двид на заложените дейности за кредитиране на висшето образование както и възможностите за съвместни ин</w:t>
      </w:r>
      <w:r w:rsidR="007764A9" w:rsidRPr="00B45B4F">
        <w:rPr>
          <w:rFonts w:ascii="Verdana" w:hAnsi="Verdana"/>
          <w:sz w:val="20"/>
          <w:szCs w:val="20"/>
          <w:lang w:val="bg-BG"/>
        </w:rPr>
        <w:t xml:space="preserve">ициативи бизнес –наука и бизнес – </w:t>
      </w:r>
      <w:r w:rsidR="00140AAE" w:rsidRPr="00B45B4F">
        <w:rPr>
          <w:rFonts w:ascii="Verdana" w:hAnsi="Verdana"/>
          <w:sz w:val="20"/>
          <w:szCs w:val="20"/>
          <w:lang w:val="bg-BG"/>
        </w:rPr>
        <w:t>висше образование е препоръчително да се анализират възможностите и предимствата от използване на финансови инструменти.</w:t>
      </w:r>
    </w:p>
    <w:p w:rsidR="00585B3D" w:rsidRPr="00B45B4F" w:rsidRDefault="00585B3D" w:rsidP="006D28EA">
      <w:pPr>
        <w:spacing w:before="120" w:after="120"/>
        <w:jc w:val="both"/>
        <w:rPr>
          <w:rFonts w:ascii="Verdana" w:hAnsi="Verdana"/>
          <w:i/>
          <w:sz w:val="18"/>
          <w:szCs w:val="18"/>
          <w:lang w:val="bg-BG" w:eastAsia="bg-BG"/>
        </w:rPr>
      </w:pPr>
      <w:r w:rsidRPr="00B45B4F">
        <w:rPr>
          <w:rFonts w:ascii="Verdana" w:hAnsi="Verdana"/>
          <w:sz w:val="20"/>
          <w:szCs w:val="20"/>
          <w:lang w:val="bg-BG"/>
        </w:rPr>
        <w:t>Респондентите на онлайн проучването считат</w:t>
      </w:r>
      <w:r w:rsidR="00825EAE">
        <w:rPr>
          <w:rFonts w:ascii="Verdana" w:hAnsi="Verdana"/>
          <w:sz w:val="20"/>
          <w:szCs w:val="20"/>
          <w:lang w:val="bg-BG"/>
        </w:rPr>
        <w:t>,</w:t>
      </w:r>
      <w:r w:rsidRPr="00B45B4F">
        <w:rPr>
          <w:rFonts w:ascii="Verdana" w:hAnsi="Verdana"/>
          <w:sz w:val="20"/>
          <w:szCs w:val="20"/>
          <w:lang w:val="bg-BG"/>
        </w:rPr>
        <w:t xml:space="preserve"> че прилагането на финансови инструменти е подходящо при предоставяне на кредити за студенти и докторанти, инвестиции в приложни изследвания</w:t>
      </w:r>
      <w:r w:rsidR="00825EAE">
        <w:rPr>
          <w:rFonts w:ascii="Verdana" w:hAnsi="Verdana"/>
          <w:sz w:val="20"/>
          <w:szCs w:val="20"/>
          <w:lang w:val="bg-BG"/>
        </w:rPr>
        <w:t>,</w:t>
      </w:r>
      <w:r w:rsidRPr="00B45B4F">
        <w:rPr>
          <w:rFonts w:ascii="Verdana" w:hAnsi="Verdana"/>
          <w:sz w:val="20"/>
          <w:szCs w:val="20"/>
          <w:lang w:val="bg-BG"/>
        </w:rPr>
        <w:t xml:space="preserve"> включително насърчаване на връзките между висши училища и бизнеса, техническо и технологично оборудване на висши училища, модернизация на учебния процес и въвеждане на дистанционни и ел</w:t>
      </w:r>
      <w:r w:rsidR="00937B75">
        <w:rPr>
          <w:rFonts w:ascii="Verdana" w:hAnsi="Verdana"/>
          <w:sz w:val="20"/>
          <w:szCs w:val="20"/>
          <w:lang w:val="bg-BG"/>
        </w:rPr>
        <w:t>ектронни модели на обучение (</w:t>
      </w:r>
      <w:r w:rsidR="00154907">
        <w:rPr>
          <w:rFonts w:ascii="Verdana" w:hAnsi="Verdana"/>
          <w:sz w:val="20"/>
          <w:szCs w:val="20"/>
          <w:lang w:val="bg-BG"/>
        </w:rPr>
        <w:t xml:space="preserve">Фигура </w:t>
      </w:r>
      <w:r w:rsidR="00E054C6">
        <w:rPr>
          <w:rFonts w:ascii="Verdana" w:hAnsi="Verdana"/>
          <w:sz w:val="20"/>
          <w:szCs w:val="20"/>
          <w:lang w:val="bg-BG"/>
        </w:rPr>
        <w:t>4</w:t>
      </w:r>
      <w:r w:rsidR="00D81A47" w:rsidRPr="00B45B4F">
        <w:rPr>
          <w:rFonts w:ascii="Verdana" w:hAnsi="Verdana"/>
          <w:sz w:val="20"/>
          <w:szCs w:val="20"/>
          <w:lang w:val="bg-BG"/>
        </w:rPr>
        <w:t>).</w:t>
      </w:r>
    </w:p>
    <w:p w:rsidR="00585B3D" w:rsidRPr="00B45B4F" w:rsidRDefault="00585B3D" w:rsidP="006D28EA">
      <w:pPr>
        <w:spacing w:before="120" w:after="120"/>
        <w:jc w:val="both"/>
        <w:rPr>
          <w:rFonts w:ascii="Verdana" w:hAnsi="Verdana"/>
          <w:sz w:val="20"/>
          <w:szCs w:val="20"/>
          <w:lang w:val="bg-BG"/>
        </w:rPr>
      </w:pPr>
    </w:p>
    <w:p w:rsidR="00585B3D" w:rsidRPr="00B45B4F" w:rsidRDefault="00AD2C4F" w:rsidP="006D28EA">
      <w:pPr>
        <w:spacing w:before="120" w:after="120"/>
        <w:jc w:val="both"/>
        <w:rPr>
          <w:rFonts w:ascii="Verdana" w:hAnsi="Verdana"/>
          <w:sz w:val="20"/>
          <w:szCs w:val="20"/>
          <w:lang w:val="bg-BG"/>
        </w:rPr>
      </w:pPr>
      <w:r w:rsidRPr="00AD2C4F">
        <w:rPr>
          <w:rFonts w:ascii="Verdana" w:hAnsi="Verdana"/>
          <w:noProof/>
          <w:sz w:val="20"/>
          <w:szCs w:val="20"/>
          <w:lang w:val="bg-BG" w:eastAsia="bg-BG"/>
        </w:rPr>
        <w:lastRenderedPageBreak/>
        <w:drawing>
          <wp:inline distT="0" distB="0" distL="0" distR="0" wp14:anchorId="0002AE87" wp14:editId="01EE1BE8">
            <wp:extent cx="5772150" cy="2894965"/>
            <wp:effectExtent l="0" t="0" r="0" b="635"/>
            <wp:docPr id="8" name="New picture"/>
            <wp:cNvGraphicFramePr/>
            <a:graphic xmlns:a="http://schemas.openxmlformats.org/drawingml/2006/main">
              <a:graphicData uri="http://schemas.openxmlformats.org/drawingml/2006/picture">
                <pic:pic xmlns:pic="http://schemas.openxmlformats.org/drawingml/2006/picture">
                  <pic:nvPicPr>
                    <pic:cNvPr id="2" name="New picture"/>
                    <pic:cNvPicPr/>
                  </pic:nvPicPr>
                  <pic:blipFill>
                    <a:blip r:embed="rId43"/>
                    <a:srcRect/>
                    <a:stretch>
                      <a:fillRect/>
                    </a:stretch>
                  </pic:blipFill>
                  <pic:spPr>
                    <a:xfrm>
                      <a:off x="0" y="0"/>
                      <a:ext cx="5772150" cy="2894965"/>
                    </a:xfrm>
                    <a:prstGeom prst="rect">
                      <a:avLst/>
                    </a:prstGeom>
                    <a:ln>
                      <a:noFill/>
                    </a:ln>
                  </pic:spPr>
                </pic:pic>
              </a:graphicData>
            </a:graphic>
          </wp:inline>
        </w:drawing>
      </w:r>
    </w:p>
    <w:p w:rsidR="003B078D" w:rsidRPr="00937B75" w:rsidRDefault="003B078D" w:rsidP="000B26C2">
      <w:pPr>
        <w:jc w:val="both"/>
        <w:rPr>
          <w:rFonts w:ascii="Verdana" w:hAnsi="Verdana"/>
          <w:color w:val="006CB6"/>
          <w:sz w:val="16"/>
          <w:szCs w:val="16"/>
          <w:lang w:val="bg-BG"/>
        </w:rPr>
      </w:pPr>
      <w:bookmarkStart w:id="102" w:name="_Ref384996137"/>
      <w:r w:rsidRPr="00937B75">
        <w:rPr>
          <w:rFonts w:ascii="Verdana" w:hAnsi="Verdana"/>
          <w:i/>
          <w:sz w:val="16"/>
          <w:szCs w:val="16"/>
          <w:lang w:val="bg-BG" w:eastAsia="bg-BG"/>
        </w:rPr>
        <w:t>Източник: Онлайн проучване сред потенциални бенефициенти на програмата, членове на работната група за подготовка на програмата и експерти от УО.</w:t>
      </w:r>
    </w:p>
    <w:p w:rsidR="00D81A47" w:rsidRPr="00B45B4F" w:rsidRDefault="00D81A47" w:rsidP="00D81A47">
      <w:pPr>
        <w:pStyle w:val="Caption"/>
        <w:jc w:val="center"/>
        <w:rPr>
          <w:rFonts w:ascii="Verdana" w:hAnsi="Verdana"/>
          <w:color w:val="006CB6"/>
        </w:rPr>
      </w:pPr>
      <w:bookmarkStart w:id="103" w:name="_Toc395609458"/>
      <w:r w:rsidRPr="00B45B4F">
        <w:rPr>
          <w:rFonts w:ascii="Verdana" w:hAnsi="Verdana"/>
          <w:color w:val="006CB6"/>
        </w:rPr>
        <w:t xml:space="preserve">Фигура </w:t>
      </w:r>
      <w:r w:rsidR="00BF1936" w:rsidRPr="00B45B4F">
        <w:rPr>
          <w:rFonts w:ascii="Verdana" w:hAnsi="Verdana"/>
          <w:color w:val="006CB6"/>
        </w:rPr>
        <w:fldChar w:fldCharType="begin"/>
      </w:r>
      <w:r w:rsidRPr="00B45B4F">
        <w:rPr>
          <w:rFonts w:ascii="Verdana" w:hAnsi="Verdana"/>
          <w:color w:val="006CB6"/>
        </w:rPr>
        <w:instrText xml:space="preserve"> SEQ Фигура \* ARABIC </w:instrText>
      </w:r>
      <w:r w:rsidR="00BF1936" w:rsidRPr="00B45B4F">
        <w:rPr>
          <w:rFonts w:ascii="Verdana" w:hAnsi="Verdana"/>
          <w:color w:val="006CB6"/>
        </w:rPr>
        <w:fldChar w:fldCharType="separate"/>
      </w:r>
      <w:r w:rsidR="001361E0">
        <w:rPr>
          <w:rFonts w:ascii="Verdana" w:hAnsi="Verdana"/>
          <w:noProof/>
          <w:color w:val="006CB6"/>
        </w:rPr>
        <w:t>4</w:t>
      </w:r>
      <w:r w:rsidR="00BF1936" w:rsidRPr="00B45B4F">
        <w:rPr>
          <w:rFonts w:ascii="Verdana" w:hAnsi="Verdana"/>
          <w:color w:val="006CB6"/>
        </w:rPr>
        <w:fldChar w:fldCharType="end"/>
      </w:r>
      <w:bookmarkEnd w:id="102"/>
      <w:r w:rsidRPr="00B45B4F">
        <w:rPr>
          <w:rFonts w:ascii="Verdana" w:hAnsi="Verdana"/>
          <w:color w:val="006CB6"/>
        </w:rPr>
        <w:t>: Възможни области на прилагане на финансови инструменти</w:t>
      </w:r>
      <w:bookmarkEnd w:id="103"/>
    </w:p>
    <w:p w:rsidR="003B078D" w:rsidRPr="00B45B4F" w:rsidRDefault="003B078D" w:rsidP="00E655E4">
      <w:pPr>
        <w:spacing w:before="120" w:after="120"/>
        <w:jc w:val="both"/>
        <w:rPr>
          <w:rFonts w:ascii="Verdana" w:hAnsi="Verdana"/>
          <w:sz w:val="20"/>
          <w:szCs w:val="20"/>
          <w:lang w:val="bg-BG"/>
        </w:rPr>
      </w:pPr>
    </w:p>
    <w:p w:rsidR="00E655E4" w:rsidRPr="00B45B4F" w:rsidRDefault="00E655E4" w:rsidP="00E655E4">
      <w:pPr>
        <w:spacing w:before="120" w:after="120"/>
        <w:jc w:val="both"/>
        <w:rPr>
          <w:rFonts w:ascii="Verdana" w:hAnsi="Verdana"/>
          <w:sz w:val="20"/>
          <w:szCs w:val="20"/>
          <w:lang w:val="bg-BG"/>
        </w:rPr>
      </w:pPr>
      <w:r w:rsidRPr="00B45B4F">
        <w:rPr>
          <w:rFonts w:ascii="Verdana" w:hAnsi="Verdana"/>
          <w:sz w:val="20"/>
          <w:szCs w:val="20"/>
          <w:lang w:val="bg-BG"/>
        </w:rPr>
        <w:t>Въпреки, че не са заложени нито в текущия вариант на ОПНОИР, нито в техническото задание на поръчката за „</w:t>
      </w:r>
      <w:r w:rsidRPr="00B45B4F">
        <w:rPr>
          <w:rFonts w:ascii="Verdana" w:hAnsi="Verdana"/>
          <w:i/>
          <w:sz w:val="20"/>
          <w:szCs w:val="20"/>
          <w:lang w:val="bg-BG"/>
        </w:rPr>
        <w:t xml:space="preserve">Изготвяне на предварителна оценка за прилагане на финансови инструменти  по националните оперативни програми през програмния период </w:t>
      </w:r>
      <w:r w:rsidR="005106CE" w:rsidRPr="00B45B4F">
        <w:rPr>
          <w:rFonts w:ascii="Verdana" w:hAnsi="Verdana"/>
          <w:i/>
          <w:sz w:val="20"/>
          <w:szCs w:val="20"/>
          <w:lang w:val="bg-BG"/>
        </w:rPr>
        <w:t>2014–2020</w:t>
      </w:r>
      <w:r w:rsidRPr="00B45B4F">
        <w:rPr>
          <w:rFonts w:ascii="Verdana" w:hAnsi="Verdana"/>
          <w:i/>
          <w:sz w:val="20"/>
          <w:szCs w:val="20"/>
          <w:lang w:val="bg-BG"/>
        </w:rPr>
        <w:t xml:space="preserve"> г.“</w:t>
      </w:r>
      <w:r w:rsidRPr="00B45B4F">
        <w:rPr>
          <w:rFonts w:ascii="Verdana" w:hAnsi="Verdana"/>
          <w:sz w:val="20"/>
          <w:szCs w:val="20"/>
          <w:lang w:val="bg-BG"/>
        </w:rPr>
        <w:t xml:space="preserve"> на Министерство на финансите, в сферата на образованието и науката биха могли да се използват и финансови инструменти. По-долу</w:t>
      </w:r>
      <w:r w:rsidR="00FA4A7D" w:rsidRPr="00B45B4F">
        <w:rPr>
          <w:rFonts w:ascii="Verdana" w:hAnsi="Verdana"/>
          <w:sz w:val="20"/>
          <w:szCs w:val="20"/>
          <w:lang w:val="bg-BG"/>
        </w:rPr>
        <w:t>,</w:t>
      </w:r>
      <w:r w:rsidRPr="00B45B4F">
        <w:rPr>
          <w:rFonts w:ascii="Verdana" w:hAnsi="Verdana"/>
          <w:sz w:val="20"/>
          <w:szCs w:val="20"/>
          <w:lang w:val="bg-BG"/>
        </w:rPr>
        <w:t xml:space="preserve"> с информационна цел</w:t>
      </w:r>
      <w:r w:rsidR="00FA4A7D" w:rsidRPr="00B45B4F">
        <w:rPr>
          <w:rFonts w:ascii="Verdana" w:hAnsi="Verdana"/>
          <w:sz w:val="20"/>
          <w:szCs w:val="20"/>
          <w:lang w:val="bg-BG"/>
        </w:rPr>
        <w:t>,</w:t>
      </w:r>
      <w:r w:rsidRPr="00B45B4F">
        <w:rPr>
          <w:rFonts w:ascii="Verdana" w:hAnsi="Verdana"/>
          <w:sz w:val="20"/>
          <w:szCs w:val="20"/>
          <w:lang w:val="bg-BG"/>
        </w:rPr>
        <w:t xml:space="preserve"> са изброени няколко </w:t>
      </w:r>
      <w:r w:rsidR="00FA4A7D" w:rsidRPr="00B45B4F">
        <w:rPr>
          <w:rFonts w:ascii="Verdana" w:hAnsi="Verdana"/>
          <w:sz w:val="20"/>
          <w:szCs w:val="20"/>
          <w:lang w:val="bg-BG"/>
        </w:rPr>
        <w:t>примерни</w:t>
      </w:r>
      <w:r w:rsidRPr="00B45B4F">
        <w:rPr>
          <w:rFonts w:ascii="Verdana" w:hAnsi="Verdana"/>
          <w:sz w:val="20"/>
          <w:szCs w:val="20"/>
          <w:lang w:val="bg-BG"/>
        </w:rPr>
        <w:t xml:space="preserve"> схеми за </w:t>
      </w:r>
      <w:r w:rsidR="00FA4A7D" w:rsidRPr="00B45B4F">
        <w:rPr>
          <w:rFonts w:ascii="Verdana" w:hAnsi="Verdana"/>
          <w:sz w:val="20"/>
          <w:szCs w:val="20"/>
          <w:lang w:val="bg-BG"/>
        </w:rPr>
        <w:t xml:space="preserve">предоставяне на </w:t>
      </w:r>
      <w:r w:rsidRPr="00B45B4F">
        <w:rPr>
          <w:rFonts w:ascii="Verdana" w:hAnsi="Verdana"/>
          <w:sz w:val="20"/>
          <w:szCs w:val="20"/>
          <w:lang w:val="bg-BG"/>
        </w:rPr>
        <w:t xml:space="preserve">финансиране, които са успешно използвани през </w:t>
      </w:r>
      <w:r w:rsidR="00FA4A7D" w:rsidRPr="00B45B4F">
        <w:rPr>
          <w:rFonts w:ascii="Verdana" w:hAnsi="Verdana"/>
          <w:sz w:val="20"/>
          <w:szCs w:val="20"/>
          <w:lang w:val="bg-BG"/>
        </w:rPr>
        <w:t xml:space="preserve">периода </w:t>
      </w:r>
      <w:r w:rsidR="005106CE" w:rsidRPr="00B45B4F">
        <w:rPr>
          <w:rFonts w:ascii="Verdana" w:hAnsi="Verdana"/>
          <w:sz w:val="20"/>
          <w:szCs w:val="20"/>
          <w:lang w:val="bg-BG"/>
        </w:rPr>
        <w:t>2007–2013</w:t>
      </w:r>
      <w:r w:rsidRPr="00B45B4F">
        <w:rPr>
          <w:rFonts w:ascii="Verdana" w:hAnsi="Verdana"/>
          <w:sz w:val="20"/>
          <w:szCs w:val="20"/>
          <w:lang w:val="bg-BG"/>
        </w:rPr>
        <w:t xml:space="preserve"> г. в ЕС и на основата на които биха могли да бъдат изградени и национални финансови инструменти, например за финансиране на научна дейност в университети или за осигуряване на студентски кредити.</w:t>
      </w:r>
    </w:p>
    <w:p w:rsidR="000103C8" w:rsidRPr="00B45B4F" w:rsidRDefault="000103C8" w:rsidP="00AA14AB">
      <w:pPr>
        <w:pStyle w:val="Caption"/>
        <w:spacing w:after="120"/>
        <w:rPr>
          <w:rFonts w:ascii="Verdana" w:hAnsi="Verdana"/>
          <w:color w:val="548DD4" w:themeColor="text2" w:themeTint="99"/>
        </w:rPr>
      </w:pPr>
      <w:bookmarkStart w:id="104" w:name="_Toc395612586"/>
      <w:r w:rsidRPr="00B45B4F">
        <w:rPr>
          <w:rFonts w:ascii="Verdana" w:hAnsi="Verdana"/>
          <w:color w:val="548DD4" w:themeColor="text2" w:themeTint="99"/>
        </w:rPr>
        <w:t xml:space="preserve">Таблица </w:t>
      </w:r>
      <w:r w:rsidR="00BF1936" w:rsidRPr="00B45B4F">
        <w:rPr>
          <w:rFonts w:ascii="Verdana" w:hAnsi="Verdana"/>
          <w:color w:val="548DD4" w:themeColor="text2" w:themeTint="99"/>
        </w:rPr>
        <w:fldChar w:fldCharType="begin"/>
      </w:r>
      <w:r w:rsidRPr="00B45B4F">
        <w:rPr>
          <w:rFonts w:ascii="Verdana" w:hAnsi="Verdana"/>
          <w:color w:val="548DD4" w:themeColor="text2" w:themeTint="99"/>
        </w:rPr>
        <w:instrText xml:space="preserve"> SEQ таблица \* ARABIC </w:instrText>
      </w:r>
      <w:r w:rsidR="00BF1936" w:rsidRPr="00B45B4F">
        <w:rPr>
          <w:rFonts w:ascii="Verdana" w:hAnsi="Verdana"/>
          <w:color w:val="548DD4" w:themeColor="text2" w:themeTint="99"/>
        </w:rPr>
        <w:fldChar w:fldCharType="separate"/>
      </w:r>
      <w:r w:rsidR="001361E0">
        <w:rPr>
          <w:rFonts w:ascii="Verdana" w:hAnsi="Verdana"/>
          <w:noProof/>
          <w:color w:val="548DD4" w:themeColor="text2" w:themeTint="99"/>
        </w:rPr>
        <w:t>30</w:t>
      </w:r>
      <w:r w:rsidR="00BF1936" w:rsidRPr="00B45B4F">
        <w:rPr>
          <w:rFonts w:ascii="Verdana" w:hAnsi="Verdana"/>
          <w:color w:val="548DD4" w:themeColor="text2" w:themeTint="99"/>
        </w:rPr>
        <w:fldChar w:fldCharType="end"/>
      </w:r>
      <w:r w:rsidRPr="00B45B4F">
        <w:rPr>
          <w:rFonts w:ascii="Verdana" w:hAnsi="Verdana"/>
          <w:color w:val="548DD4" w:themeColor="text2" w:themeTint="99"/>
        </w:rPr>
        <w:t>. Примери за финансови инструменти в областта на науката и образованието</w:t>
      </w:r>
      <w:bookmarkEnd w:id="104"/>
    </w:p>
    <w:tbl>
      <w:tblPr>
        <w:tblStyle w:val="Ikastyle"/>
        <w:tblW w:w="9090" w:type="dxa"/>
        <w:tblInd w:w="108" w:type="dxa"/>
        <w:tblBorders>
          <w:top w:val="single" w:sz="8" w:space="0" w:color="17365D"/>
          <w:left w:val="single" w:sz="8" w:space="0" w:color="17365D"/>
          <w:bottom w:val="single" w:sz="8" w:space="0" w:color="17365D"/>
          <w:right w:val="single" w:sz="8" w:space="0" w:color="17365D"/>
          <w:insideH w:val="single" w:sz="8" w:space="0" w:color="17365D"/>
          <w:insideV w:val="single" w:sz="8" w:space="0" w:color="17365D"/>
        </w:tblBorders>
        <w:tblLayout w:type="fixed"/>
        <w:tblLook w:val="04A0" w:firstRow="1" w:lastRow="0" w:firstColumn="1" w:lastColumn="0" w:noHBand="0" w:noVBand="1"/>
      </w:tblPr>
      <w:tblGrid>
        <w:gridCol w:w="1560"/>
        <w:gridCol w:w="1417"/>
        <w:gridCol w:w="2063"/>
        <w:gridCol w:w="2757"/>
        <w:gridCol w:w="1293"/>
      </w:tblGrid>
      <w:tr w:rsidR="00E655E4" w:rsidRPr="00937B75" w:rsidTr="003954E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0" w:type="dxa"/>
            <w:shd w:val="clear" w:color="auto" w:fill="548DD4" w:themeFill="text2" w:themeFillTint="99"/>
          </w:tcPr>
          <w:p w:rsidR="00E655E4" w:rsidRPr="00937B75" w:rsidRDefault="00E655E4" w:rsidP="007070F0">
            <w:pPr>
              <w:spacing w:after="60" w:line="240" w:lineRule="auto"/>
              <w:ind w:left="-108" w:right="-108"/>
              <w:rPr>
                <w:rFonts w:ascii="Verdana" w:hAnsi="Verdana"/>
                <w:sz w:val="18"/>
                <w:szCs w:val="18"/>
                <w:lang w:val="bg-BG"/>
              </w:rPr>
            </w:pPr>
            <w:r w:rsidRPr="00937B75">
              <w:rPr>
                <w:rFonts w:ascii="Verdana" w:hAnsi="Verdana"/>
                <w:sz w:val="18"/>
                <w:szCs w:val="18"/>
                <w:lang w:val="bg-BG"/>
              </w:rPr>
              <w:t>Финансов инструмент</w:t>
            </w:r>
          </w:p>
        </w:tc>
        <w:tc>
          <w:tcPr>
            <w:tcW w:w="1417" w:type="dxa"/>
            <w:shd w:val="clear" w:color="auto" w:fill="548DD4" w:themeFill="text2" w:themeFillTint="99"/>
          </w:tcPr>
          <w:p w:rsidR="00E655E4" w:rsidRPr="00937B75" w:rsidRDefault="00E655E4" w:rsidP="0048685C">
            <w:pPr>
              <w:spacing w:after="60" w:line="240" w:lineRule="auto"/>
              <w:ind w:left="-108" w:right="-108"/>
              <w:cnfStyle w:val="100000000000" w:firstRow="1" w:lastRow="0" w:firstColumn="0" w:lastColumn="0" w:oddVBand="0" w:evenVBand="0" w:oddHBand="0" w:evenHBand="0" w:firstRowFirstColumn="0" w:firstRowLastColumn="0" w:lastRowFirstColumn="0" w:lastRowLastColumn="0"/>
              <w:rPr>
                <w:rFonts w:ascii="Verdana" w:hAnsi="Verdana"/>
                <w:sz w:val="18"/>
                <w:szCs w:val="18"/>
                <w:lang w:val="bg-BG"/>
              </w:rPr>
            </w:pPr>
            <w:r w:rsidRPr="00937B75">
              <w:rPr>
                <w:rFonts w:ascii="Verdana" w:hAnsi="Verdana"/>
                <w:sz w:val="18"/>
                <w:szCs w:val="18"/>
                <w:lang w:val="bg-BG"/>
              </w:rPr>
              <w:t>Период на прилагане</w:t>
            </w:r>
          </w:p>
        </w:tc>
        <w:tc>
          <w:tcPr>
            <w:tcW w:w="2063" w:type="dxa"/>
            <w:shd w:val="clear" w:color="auto" w:fill="548DD4" w:themeFill="text2" w:themeFillTint="99"/>
          </w:tcPr>
          <w:p w:rsidR="00E655E4" w:rsidRPr="00937B75" w:rsidRDefault="00E655E4" w:rsidP="007070F0">
            <w:pPr>
              <w:spacing w:after="60" w:line="240" w:lineRule="auto"/>
              <w:ind w:left="-108" w:right="-108"/>
              <w:cnfStyle w:val="100000000000" w:firstRow="1" w:lastRow="0" w:firstColumn="0" w:lastColumn="0" w:oddVBand="0" w:evenVBand="0" w:oddHBand="0" w:evenHBand="0" w:firstRowFirstColumn="0" w:firstRowLastColumn="0" w:lastRowFirstColumn="0" w:lastRowLastColumn="0"/>
              <w:rPr>
                <w:rFonts w:ascii="Verdana" w:hAnsi="Verdana"/>
                <w:sz w:val="18"/>
                <w:szCs w:val="18"/>
                <w:lang w:val="bg-BG"/>
              </w:rPr>
            </w:pPr>
            <w:r w:rsidRPr="00937B75">
              <w:rPr>
                <w:rFonts w:ascii="Verdana" w:hAnsi="Verdana"/>
                <w:sz w:val="18"/>
                <w:szCs w:val="18"/>
                <w:lang w:val="bg-BG"/>
              </w:rPr>
              <w:t>Вид на инструмента, имащ отношение към дейностите по ОПНОИР</w:t>
            </w:r>
          </w:p>
        </w:tc>
        <w:tc>
          <w:tcPr>
            <w:tcW w:w="2757" w:type="dxa"/>
            <w:shd w:val="clear" w:color="auto" w:fill="548DD4" w:themeFill="text2" w:themeFillTint="99"/>
          </w:tcPr>
          <w:p w:rsidR="00E655E4" w:rsidRPr="00937B75" w:rsidRDefault="00E655E4" w:rsidP="007070F0">
            <w:pPr>
              <w:spacing w:after="60" w:line="240" w:lineRule="auto"/>
              <w:ind w:left="-108" w:right="-108"/>
              <w:cnfStyle w:val="100000000000" w:firstRow="1" w:lastRow="0" w:firstColumn="0" w:lastColumn="0" w:oddVBand="0" w:evenVBand="0" w:oddHBand="0" w:evenHBand="0" w:firstRowFirstColumn="0" w:firstRowLastColumn="0" w:lastRowFirstColumn="0" w:lastRowLastColumn="0"/>
              <w:rPr>
                <w:rFonts w:ascii="Verdana" w:hAnsi="Verdana"/>
                <w:sz w:val="18"/>
                <w:szCs w:val="18"/>
                <w:lang w:val="bg-BG"/>
              </w:rPr>
            </w:pPr>
            <w:r w:rsidRPr="00937B75">
              <w:rPr>
                <w:rFonts w:ascii="Verdana" w:hAnsi="Verdana"/>
                <w:sz w:val="18"/>
                <w:szCs w:val="18"/>
                <w:lang w:val="bg-BG"/>
              </w:rPr>
              <w:t>Описание</w:t>
            </w:r>
          </w:p>
        </w:tc>
        <w:tc>
          <w:tcPr>
            <w:tcW w:w="1293" w:type="dxa"/>
            <w:shd w:val="clear" w:color="auto" w:fill="548DD4" w:themeFill="text2" w:themeFillTint="99"/>
          </w:tcPr>
          <w:p w:rsidR="00E655E4" w:rsidRPr="00937B75" w:rsidRDefault="00E655E4" w:rsidP="007070F0">
            <w:pPr>
              <w:spacing w:after="60" w:line="240" w:lineRule="auto"/>
              <w:ind w:left="-108" w:right="-108"/>
              <w:cnfStyle w:val="100000000000" w:firstRow="1" w:lastRow="0" w:firstColumn="0" w:lastColumn="0" w:oddVBand="0" w:evenVBand="0" w:oddHBand="0" w:evenHBand="0" w:firstRowFirstColumn="0" w:firstRowLastColumn="0" w:lastRowFirstColumn="0" w:lastRowLastColumn="0"/>
              <w:rPr>
                <w:rFonts w:ascii="Verdana" w:hAnsi="Verdana"/>
                <w:sz w:val="18"/>
                <w:szCs w:val="18"/>
                <w:lang w:val="bg-BG"/>
              </w:rPr>
            </w:pPr>
            <w:r w:rsidRPr="00937B75">
              <w:rPr>
                <w:rFonts w:ascii="Verdana" w:hAnsi="Verdana"/>
                <w:sz w:val="18"/>
                <w:szCs w:val="18"/>
                <w:lang w:val="bg-BG"/>
              </w:rPr>
              <w:t>Бюджет</w:t>
            </w:r>
          </w:p>
        </w:tc>
      </w:tr>
      <w:tr w:rsidR="00E655E4" w:rsidRPr="00937B75" w:rsidTr="003954E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0" w:type="dxa"/>
            <w:shd w:val="clear" w:color="auto" w:fill="auto"/>
          </w:tcPr>
          <w:p w:rsidR="00E655E4" w:rsidRPr="00937B75" w:rsidRDefault="00E655E4" w:rsidP="00E655E4">
            <w:pPr>
              <w:spacing w:after="60" w:line="240" w:lineRule="auto"/>
              <w:jc w:val="both"/>
              <w:rPr>
                <w:rFonts w:ascii="Verdana" w:hAnsi="Verdana"/>
                <w:sz w:val="18"/>
                <w:szCs w:val="18"/>
                <w:lang w:val="bg-BG"/>
              </w:rPr>
            </w:pPr>
            <w:r w:rsidRPr="00937B75">
              <w:rPr>
                <w:rFonts w:ascii="Verdana" w:hAnsi="Verdana"/>
                <w:sz w:val="18"/>
                <w:szCs w:val="18"/>
                <w:lang w:val="bg-BG"/>
              </w:rPr>
              <w:t>Пилотен проект за трансфер на технологии</w:t>
            </w:r>
          </w:p>
        </w:tc>
        <w:tc>
          <w:tcPr>
            <w:tcW w:w="1417" w:type="dxa"/>
            <w:shd w:val="clear" w:color="auto" w:fill="auto"/>
          </w:tcPr>
          <w:p w:rsidR="00E655E4" w:rsidRPr="00937B75" w:rsidRDefault="005106CE" w:rsidP="0048685C">
            <w:pPr>
              <w:spacing w:after="60"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sz w:val="18"/>
                <w:szCs w:val="18"/>
                <w:lang w:val="bg-BG"/>
              </w:rPr>
            </w:pPr>
            <w:r w:rsidRPr="00937B75">
              <w:rPr>
                <w:rFonts w:ascii="Verdana" w:hAnsi="Verdana"/>
                <w:sz w:val="18"/>
                <w:szCs w:val="18"/>
                <w:lang w:val="bg-BG"/>
              </w:rPr>
              <w:t>2007–2013</w:t>
            </w:r>
          </w:p>
        </w:tc>
        <w:tc>
          <w:tcPr>
            <w:tcW w:w="2063" w:type="dxa"/>
            <w:shd w:val="clear" w:color="auto" w:fill="auto"/>
          </w:tcPr>
          <w:p w:rsidR="00E655E4" w:rsidRPr="00937B75" w:rsidRDefault="00E655E4" w:rsidP="00E655E4">
            <w:pPr>
              <w:spacing w:after="60" w:line="240" w:lineRule="auto"/>
              <w:jc w:val="both"/>
              <w:cnfStyle w:val="000000100000" w:firstRow="0" w:lastRow="0" w:firstColumn="0" w:lastColumn="0" w:oddVBand="0" w:evenVBand="0" w:oddHBand="1" w:evenHBand="0" w:firstRowFirstColumn="0" w:firstRowLastColumn="0" w:lastRowFirstColumn="0" w:lastRowLastColumn="0"/>
              <w:rPr>
                <w:rFonts w:ascii="Verdana" w:hAnsi="Verdana"/>
                <w:sz w:val="18"/>
                <w:szCs w:val="18"/>
                <w:lang w:val="bg-BG"/>
              </w:rPr>
            </w:pPr>
            <w:r w:rsidRPr="00937B75">
              <w:rPr>
                <w:rFonts w:ascii="Verdana" w:hAnsi="Verdana"/>
                <w:sz w:val="18"/>
                <w:szCs w:val="18"/>
                <w:lang w:val="bg-BG"/>
              </w:rPr>
              <w:t>Инвестиции в рисков капитал и други инвестиционни варианти</w:t>
            </w:r>
          </w:p>
        </w:tc>
        <w:tc>
          <w:tcPr>
            <w:tcW w:w="2757" w:type="dxa"/>
            <w:shd w:val="clear" w:color="auto" w:fill="auto"/>
          </w:tcPr>
          <w:p w:rsidR="00E655E4" w:rsidRPr="00937B75" w:rsidRDefault="00E655E4" w:rsidP="00E655E4">
            <w:pPr>
              <w:spacing w:after="60" w:line="240" w:lineRule="auto"/>
              <w:jc w:val="both"/>
              <w:cnfStyle w:val="000000100000" w:firstRow="0" w:lastRow="0" w:firstColumn="0" w:lastColumn="0" w:oddVBand="0" w:evenVBand="0" w:oddHBand="1" w:evenHBand="0" w:firstRowFirstColumn="0" w:firstRowLastColumn="0" w:lastRowFirstColumn="0" w:lastRowLastColumn="0"/>
              <w:rPr>
                <w:rFonts w:ascii="Verdana" w:hAnsi="Verdana"/>
                <w:sz w:val="18"/>
                <w:szCs w:val="18"/>
                <w:lang w:val="bg-BG"/>
              </w:rPr>
            </w:pPr>
            <w:r w:rsidRPr="00937B75">
              <w:rPr>
                <w:rFonts w:ascii="Verdana" w:hAnsi="Verdana"/>
                <w:sz w:val="18"/>
                <w:szCs w:val="18"/>
                <w:lang w:val="bg-BG"/>
              </w:rPr>
              <w:t xml:space="preserve">Финансира дейности, свързани с трансфер на технологии в университети, изследователски организации или МСП чрез ЕИФ. Фокусът на интервенциите е върху комерсиализиране на </w:t>
            </w:r>
            <w:r w:rsidRPr="00937B75">
              <w:rPr>
                <w:rFonts w:ascii="Verdana" w:hAnsi="Verdana"/>
                <w:sz w:val="18"/>
                <w:szCs w:val="18"/>
                <w:lang w:val="bg-BG"/>
              </w:rPr>
              <w:lastRenderedPageBreak/>
              <w:t>интелектуална собственост.</w:t>
            </w:r>
          </w:p>
        </w:tc>
        <w:tc>
          <w:tcPr>
            <w:tcW w:w="1293" w:type="dxa"/>
            <w:shd w:val="clear" w:color="auto" w:fill="auto"/>
          </w:tcPr>
          <w:p w:rsidR="00E655E4" w:rsidRPr="00937B75" w:rsidRDefault="00E655E4" w:rsidP="00E655E4">
            <w:pPr>
              <w:spacing w:after="60" w:line="240" w:lineRule="auto"/>
              <w:jc w:val="both"/>
              <w:cnfStyle w:val="000000100000" w:firstRow="0" w:lastRow="0" w:firstColumn="0" w:lastColumn="0" w:oddVBand="0" w:evenVBand="0" w:oddHBand="1" w:evenHBand="0" w:firstRowFirstColumn="0" w:firstRowLastColumn="0" w:lastRowFirstColumn="0" w:lastRowLastColumn="0"/>
              <w:rPr>
                <w:rFonts w:ascii="Verdana" w:hAnsi="Verdana"/>
                <w:sz w:val="18"/>
                <w:szCs w:val="18"/>
                <w:lang w:val="bg-BG"/>
              </w:rPr>
            </w:pPr>
            <w:r w:rsidRPr="00937B75">
              <w:rPr>
                <w:rFonts w:ascii="Verdana" w:hAnsi="Verdana"/>
                <w:sz w:val="18"/>
                <w:szCs w:val="18"/>
                <w:lang w:val="bg-BG"/>
              </w:rPr>
              <w:lastRenderedPageBreak/>
              <w:t>2 млн. евро (годишно)</w:t>
            </w:r>
          </w:p>
        </w:tc>
      </w:tr>
      <w:tr w:rsidR="00E655E4" w:rsidRPr="00937B75" w:rsidTr="003954E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0" w:type="dxa"/>
            <w:shd w:val="clear" w:color="auto" w:fill="auto"/>
          </w:tcPr>
          <w:p w:rsidR="00E655E4" w:rsidRPr="00937B75" w:rsidRDefault="00E655E4" w:rsidP="00E655E4">
            <w:pPr>
              <w:spacing w:after="60" w:line="240" w:lineRule="auto"/>
              <w:jc w:val="both"/>
              <w:rPr>
                <w:rFonts w:ascii="Verdana" w:hAnsi="Verdana"/>
                <w:sz w:val="18"/>
                <w:szCs w:val="18"/>
                <w:lang w:val="bg-BG"/>
              </w:rPr>
            </w:pPr>
            <w:r w:rsidRPr="00937B75">
              <w:rPr>
                <w:rFonts w:ascii="Verdana" w:hAnsi="Verdana"/>
                <w:sz w:val="18"/>
                <w:szCs w:val="18"/>
                <w:lang w:val="bg-BG"/>
              </w:rPr>
              <w:lastRenderedPageBreak/>
              <w:t>Еразъм за всички (</w:t>
            </w:r>
            <w:proofErr w:type="spellStart"/>
            <w:r w:rsidRPr="00937B75">
              <w:rPr>
                <w:rFonts w:ascii="Verdana" w:hAnsi="Verdana"/>
                <w:sz w:val="18"/>
                <w:szCs w:val="18"/>
                <w:lang w:val="bg-BG"/>
              </w:rPr>
              <w:t>Erasmus</w:t>
            </w:r>
            <w:proofErr w:type="spellEnd"/>
            <w:r w:rsidRPr="00937B75">
              <w:rPr>
                <w:rFonts w:ascii="Verdana" w:hAnsi="Verdana"/>
                <w:sz w:val="18"/>
                <w:szCs w:val="18"/>
                <w:lang w:val="bg-BG"/>
              </w:rPr>
              <w:t xml:space="preserve"> </w:t>
            </w:r>
            <w:proofErr w:type="spellStart"/>
            <w:r w:rsidRPr="00937B75">
              <w:rPr>
                <w:rFonts w:ascii="Verdana" w:hAnsi="Verdana"/>
                <w:sz w:val="18"/>
                <w:szCs w:val="18"/>
                <w:lang w:val="bg-BG"/>
              </w:rPr>
              <w:t>for</w:t>
            </w:r>
            <w:proofErr w:type="spellEnd"/>
            <w:r w:rsidRPr="00937B75">
              <w:rPr>
                <w:rFonts w:ascii="Verdana" w:hAnsi="Verdana"/>
                <w:sz w:val="18"/>
                <w:szCs w:val="18"/>
                <w:lang w:val="bg-BG"/>
              </w:rPr>
              <w:t xml:space="preserve"> </w:t>
            </w:r>
            <w:proofErr w:type="spellStart"/>
            <w:r w:rsidRPr="00937B75">
              <w:rPr>
                <w:rFonts w:ascii="Verdana" w:hAnsi="Verdana"/>
                <w:sz w:val="18"/>
                <w:szCs w:val="18"/>
                <w:lang w:val="bg-BG"/>
              </w:rPr>
              <w:t>all</w:t>
            </w:r>
            <w:proofErr w:type="spellEnd"/>
            <w:r w:rsidRPr="00937B75">
              <w:rPr>
                <w:rFonts w:ascii="Verdana" w:hAnsi="Verdana"/>
                <w:sz w:val="18"/>
                <w:szCs w:val="18"/>
                <w:lang w:val="bg-BG"/>
              </w:rPr>
              <w:t>)</w:t>
            </w:r>
          </w:p>
        </w:tc>
        <w:tc>
          <w:tcPr>
            <w:tcW w:w="1417" w:type="dxa"/>
            <w:shd w:val="clear" w:color="auto" w:fill="auto"/>
          </w:tcPr>
          <w:p w:rsidR="00E655E4" w:rsidRPr="00937B75" w:rsidRDefault="005106CE" w:rsidP="0048685C">
            <w:pPr>
              <w:spacing w:after="60" w:line="240" w:lineRule="auto"/>
              <w:jc w:val="center"/>
              <w:cnfStyle w:val="000000010000" w:firstRow="0" w:lastRow="0" w:firstColumn="0" w:lastColumn="0" w:oddVBand="0" w:evenVBand="0" w:oddHBand="0" w:evenHBand="1" w:firstRowFirstColumn="0" w:firstRowLastColumn="0" w:lastRowFirstColumn="0" w:lastRowLastColumn="0"/>
              <w:rPr>
                <w:rFonts w:ascii="Verdana" w:hAnsi="Verdana"/>
                <w:sz w:val="18"/>
                <w:szCs w:val="18"/>
                <w:lang w:val="bg-BG"/>
              </w:rPr>
            </w:pPr>
            <w:r w:rsidRPr="00937B75">
              <w:rPr>
                <w:rFonts w:ascii="Verdana" w:hAnsi="Verdana"/>
                <w:sz w:val="18"/>
                <w:szCs w:val="18"/>
                <w:lang w:val="bg-BG"/>
              </w:rPr>
              <w:t>2014–2020</w:t>
            </w:r>
          </w:p>
        </w:tc>
        <w:tc>
          <w:tcPr>
            <w:tcW w:w="2063" w:type="dxa"/>
            <w:shd w:val="clear" w:color="auto" w:fill="auto"/>
          </w:tcPr>
          <w:p w:rsidR="00E655E4" w:rsidRPr="00937B75" w:rsidRDefault="00E655E4" w:rsidP="00E655E4">
            <w:pPr>
              <w:spacing w:after="60" w:line="240" w:lineRule="auto"/>
              <w:jc w:val="both"/>
              <w:cnfStyle w:val="000000010000" w:firstRow="0" w:lastRow="0" w:firstColumn="0" w:lastColumn="0" w:oddVBand="0" w:evenVBand="0" w:oddHBand="0" w:evenHBand="1" w:firstRowFirstColumn="0" w:firstRowLastColumn="0" w:lastRowFirstColumn="0" w:lastRowLastColumn="0"/>
              <w:rPr>
                <w:rFonts w:ascii="Verdana" w:hAnsi="Verdana"/>
                <w:sz w:val="18"/>
                <w:szCs w:val="18"/>
                <w:lang w:val="bg-BG"/>
              </w:rPr>
            </w:pPr>
            <w:r w:rsidRPr="00937B75">
              <w:rPr>
                <w:rFonts w:ascii="Verdana" w:hAnsi="Verdana"/>
                <w:sz w:val="18"/>
                <w:szCs w:val="18"/>
                <w:lang w:val="bg-BG"/>
              </w:rPr>
              <w:t>Заеми</w:t>
            </w:r>
          </w:p>
        </w:tc>
        <w:tc>
          <w:tcPr>
            <w:tcW w:w="2757" w:type="dxa"/>
            <w:shd w:val="clear" w:color="auto" w:fill="auto"/>
          </w:tcPr>
          <w:p w:rsidR="00E655E4" w:rsidRPr="00937B75" w:rsidRDefault="00E655E4" w:rsidP="00E655E4">
            <w:pPr>
              <w:spacing w:after="60" w:line="240" w:lineRule="auto"/>
              <w:jc w:val="both"/>
              <w:cnfStyle w:val="000000010000" w:firstRow="0" w:lastRow="0" w:firstColumn="0" w:lastColumn="0" w:oddVBand="0" w:evenVBand="0" w:oddHBand="0" w:evenHBand="1" w:firstRowFirstColumn="0" w:firstRowLastColumn="0" w:lastRowFirstColumn="0" w:lastRowLastColumn="0"/>
              <w:rPr>
                <w:rFonts w:ascii="Verdana" w:hAnsi="Verdana"/>
                <w:sz w:val="18"/>
                <w:szCs w:val="18"/>
                <w:lang w:val="bg-BG"/>
              </w:rPr>
            </w:pPr>
            <w:r w:rsidRPr="00937B75">
              <w:rPr>
                <w:rFonts w:ascii="Verdana" w:hAnsi="Verdana"/>
                <w:sz w:val="18"/>
                <w:szCs w:val="18"/>
                <w:lang w:val="bg-BG"/>
              </w:rPr>
              <w:t xml:space="preserve">По тази програма е предвидена подкрепа за студентите в магистърски програми, за </w:t>
            </w:r>
            <w:proofErr w:type="spellStart"/>
            <w:r w:rsidRPr="00937B75">
              <w:rPr>
                <w:rFonts w:ascii="Verdana" w:hAnsi="Verdana"/>
                <w:sz w:val="18"/>
                <w:szCs w:val="18"/>
                <w:lang w:val="bg-BG"/>
              </w:rPr>
              <w:t>дафинансират</w:t>
            </w:r>
            <w:proofErr w:type="spellEnd"/>
            <w:r w:rsidRPr="00937B75">
              <w:rPr>
                <w:rFonts w:ascii="Verdana" w:hAnsi="Verdana"/>
                <w:sz w:val="18"/>
                <w:szCs w:val="18"/>
                <w:lang w:val="bg-BG"/>
              </w:rPr>
              <w:t xml:space="preserve"> обучението си в чужбина чрез евтини заеми.</w:t>
            </w:r>
          </w:p>
        </w:tc>
        <w:tc>
          <w:tcPr>
            <w:tcW w:w="1293" w:type="dxa"/>
            <w:shd w:val="clear" w:color="auto" w:fill="auto"/>
          </w:tcPr>
          <w:p w:rsidR="00E655E4" w:rsidRPr="00937B75" w:rsidRDefault="00E655E4" w:rsidP="00E655E4">
            <w:pPr>
              <w:spacing w:after="60" w:line="240" w:lineRule="auto"/>
              <w:jc w:val="both"/>
              <w:cnfStyle w:val="000000010000" w:firstRow="0" w:lastRow="0" w:firstColumn="0" w:lastColumn="0" w:oddVBand="0" w:evenVBand="0" w:oddHBand="0" w:evenHBand="1" w:firstRowFirstColumn="0" w:firstRowLastColumn="0" w:lastRowFirstColumn="0" w:lastRowLastColumn="0"/>
              <w:rPr>
                <w:rFonts w:ascii="Verdana" w:hAnsi="Verdana"/>
                <w:sz w:val="18"/>
                <w:szCs w:val="18"/>
                <w:lang w:val="bg-BG"/>
              </w:rPr>
            </w:pPr>
            <w:r w:rsidRPr="00937B75">
              <w:rPr>
                <w:rFonts w:ascii="Verdana" w:hAnsi="Verdana"/>
                <w:sz w:val="18"/>
                <w:szCs w:val="18"/>
                <w:lang w:val="bg-BG"/>
              </w:rPr>
              <w:t>Планиран бюджет от 880 млн. евро</w:t>
            </w:r>
          </w:p>
        </w:tc>
      </w:tr>
      <w:tr w:rsidR="00E655E4" w:rsidRPr="00937B75" w:rsidTr="003954E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0" w:type="dxa"/>
            <w:shd w:val="clear" w:color="auto" w:fill="auto"/>
          </w:tcPr>
          <w:p w:rsidR="00E655E4" w:rsidRPr="00937B75" w:rsidRDefault="005106CE" w:rsidP="00E655E4">
            <w:pPr>
              <w:spacing w:after="60" w:line="240" w:lineRule="auto"/>
              <w:jc w:val="both"/>
              <w:rPr>
                <w:rFonts w:ascii="Verdana" w:hAnsi="Verdana"/>
                <w:sz w:val="18"/>
                <w:szCs w:val="18"/>
                <w:lang w:val="bg-BG"/>
              </w:rPr>
            </w:pPr>
            <w:r w:rsidRPr="00937B75">
              <w:rPr>
                <w:rFonts w:ascii="Verdana" w:hAnsi="Verdana"/>
                <w:sz w:val="18"/>
                <w:szCs w:val="18"/>
                <w:lang w:val="bg-BG"/>
              </w:rPr>
              <w:t>„Хоризонт 2020“</w:t>
            </w:r>
          </w:p>
        </w:tc>
        <w:tc>
          <w:tcPr>
            <w:tcW w:w="1417" w:type="dxa"/>
            <w:shd w:val="clear" w:color="auto" w:fill="auto"/>
          </w:tcPr>
          <w:p w:rsidR="00E655E4" w:rsidRPr="00937B75" w:rsidRDefault="005106CE" w:rsidP="0048685C">
            <w:pPr>
              <w:spacing w:after="60"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sz w:val="18"/>
                <w:szCs w:val="18"/>
                <w:lang w:val="bg-BG"/>
              </w:rPr>
            </w:pPr>
            <w:r w:rsidRPr="00937B75">
              <w:rPr>
                <w:rFonts w:ascii="Verdana" w:hAnsi="Verdana"/>
                <w:sz w:val="18"/>
                <w:szCs w:val="18"/>
                <w:lang w:val="bg-BG"/>
              </w:rPr>
              <w:t>2014–2020</w:t>
            </w:r>
          </w:p>
        </w:tc>
        <w:tc>
          <w:tcPr>
            <w:tcW w:w="2063" w:type="dxa"/>
            <w:shd w:val="clear" w:color="auto" w:fill="auto"/>
          </w:tcPr>
          <w:p w:rsidR="00E655E4" w:rsidRPr="00937B75" w:rsidRDefault="00FA4A7D" w:rsidP="00E655E4">
            <w:pPr>
              <w:spacing w:after="60" w:line="240" w:lineRule="auto"/>
              <w:jc w:val="both"/>
              <w:cnfStyle w:val="000000100000" w:firstRow="0" w:lastRow="0" w:firstColumn="0" w:lastColumn="0" w:oddVBand="0" w:evenVBand="0" w:oddHBand="1" w:evenHBand="0" w:firstRowFirstColumn="0" w:firstRowLastColumn="0" w:lastRowFirstColumn="0" w:lastRowLastColumn="0"/>
              <w:rPr>
                <w:rFonts w:ascii="Verdana" w:hAnsi="Verdana"/>
                <w:sz w:val="18"/>
                <w:szCs w:val="18"/>
                <w:lang w:val="bg-BG"/>
              </w:rPr>
            </w:pPr>
            <w:r w:rsidRPr="00937B75">
              <w:rPr>
                <w:rFonts w:ascii="Verdana" w:hAnsi="Verdana"/>
                <w:sz w:val="18"/>
                <w:szCs w:val="18"/>
                <w:lang w:val="bg-BG"/>
              </w:rPr>
              <w:t xml:space="preserve">Заеми и </w:t>
            </w:r>
            <w:r w:rsidR="00E655E4" w:rsidRPr="00937B75">
              <w:rPr>
                <w:rFonts w:ascii="Verdana" w:hAnsi="Verdana"/>
                <w:sz w:val="18"/>
                <w:szCs w:val="18"/>
                <w:lang w:val="bg-BG"/>
              </w:rPr>
              <w:t>дялово участие</w:t>
            </w:r>
          </w:p>
        </w:tc>
        <w:tc>
          <w:tcPr>
            <w:tcW w:w="2757" w:type="dxa"/>
            <w:shd w:val="clear" w:color="auto" w:fill="auto"/>
          </w:tcPr>
          <w:p w:rsidR="00E655E4" w:rsidRPr="00937B75" w:rsidRDefault="00E655E4" w:rsidP="008F5AFD">
            <w:pPr>
              <w:spacing w:after="60" w:line="240" w:lineRule="auto"/>
              <w:jc w:val="both"/>
              <w:cnfStyle w:val="000000100000" w:firstRow="0" w:lastRow="0" w:firstColumn="0" w:lastColumn="0" w:oddVBand="0" w:evenVBand="0" w:oddHBand="1" w:evenHBand="0" w:firstRowFirstColumn="0" w:firstRowLastColumn="0" w:lastRowFirstColumn="0" w:lastRowLastColumn="0"/>
              <w:rPr>
                <w:rFonts w:ascii="Verdana" w:hAnsi="Verdana"/>
                <w:sz w:val="18"/>
                <w:szCs w:val="18"/>
                <w:lang w:val="bg-BG"/>
              </w:rPr>
            </w:pPr>
            <w:r w:rsidRPr="00937B75">
              <w:rPr>
                <w:rFonts w:ascii="Verdana" w:hAnsi="Verdana"/>
                <w:sz w:val="18"/>
                <w:szCs w:val="18"/>
                <w:lang w:val="bg-BG"/>
              </w:rPr>
              <w:t xml:space="preserve">По тази програма се   предвижда използването на </w:t>
            </w:r>
            <w:r w:rsidR="00FA4A7D" w:rsidRPr="00937B75">
              <w:rPr>
                <w:rFonts w:ascii="Verdana" w:hAnsi="Verdana"/>
                <w:sz w:val="18"/>
                <w:szCs w:val="18"/>
                <w:lang w:val="bg-BG"/>
              </w:rPr>
              <w:t>дълг и дялово участие</w:t>
            </w:r>
            <w:r w:rsidRPr="00937B75">
              <w:rPr>
                <w:rFonts w:ascii="Verdana" w:hAnsi="Verdana"/>
                <w:sz w:val="18"/>
                <w:szCs w:val="18"/>
                <w:lang w:val="bg-BG"/>
              </w:rPr>
              <w:t xml:space="preserve">, чиято цел ще бъде да подпомагат малките и средни предприятия, стартиращи </w:t>
            </w:r>
            <w:proofErr w:type="spellStart"/>
            <w:r w:rsidRPr="00937B75">
              <w:rPr>
                <w:rFonts w:ascii="Verdana" w:hAnsi="Verdana"/>
                <w:sz w:val="18"/>
                <w:szCs w:val="18"/>
                <w:lang w:val="bg-BG"/>
              </w:rPr>
              <w:t>фирмии</w:t>
            </w:r>
            <w:proofErr w:type="spellEnd"/>
            <w:r w:rsidRPr="00937B75">
              <w:rPr>
                <w:rFonts w:ascii="Verdana" w:hAnsi="Verdana"/>
                <w:sz w:val="18"/>
                <w:szCs w:val="18"/>
                <w:lang w:val="bg-BG"/>
              </w:rPr>
              <w:t xml:space="preserve"> малки компании със средна капитализация, както и университети, участващи </w:t>
            </w:r>
            <w:proofErr w:type="spellStart"/>
            <w:r w:rsidRPr="00937B75">
              <w:rPr>
                <w:rFonts w:ascii="Verdana" w:hAnsi="Verdana"/>
                <w:sz w:val="18"/>
                <w:szCs w:val="18"/>
                <w:lang w:val="bg-BG"/>
              </w:rPr>
              <w:t>внаучни</w:t>
            </w:r>
            <w:proofErr w:type="spellEnd"/>
            <w:r w:rsidRPr="00937B75">
              <w:rPr>
                <w:rFonts w:ascii="Verdana" w:hAnsi="Verdana"/>
                <w:sz w:val="18"/>
                <w:szCs w:val="18"/>
                <w:lang w:val="bg-BG"/>
              </w:rPr>
              <w:t xml:space="preserve"> изследвания, </w:t>
            </w:r>
            <w:r w:rsidR="008F5AFD" w:rsidRPr="00937B75">
              <w:rPr>
                <w:rFonts w:ascii="Verdana" w:hAnsi="Verdana"/>
                <w:sz w:val="18"/>
                <w:szCs w:val="18"/>
                <w:lang w:val="bg-BG"/>
              </w:rPr>
              <w:t xml:space="preserve">развойна дейност </w:t>
            </w:r>
            <w:r w:rsidRPr="00937B75">
              <w:rPr>
                <w:rFonts w:ascii="Verdana" w:hAnsi="Verdana"/>
                <w:sz w:val="18"/>
                <w:szCs w:val="18"/>
                <w:lang w:val="bg-BG"/>
              </w:rPr>
              <w:t xml:space="preserve">и </w:t>
            </w:r>
            <w:r w:rsidR="008F5AFD" w:rsidRPr="00937B75">
              <w:rPr>
                <w:rFonts w:ascii="Verdana" w:hAnsi="Verdana"/>
                <w:sz w:val="18"/>
                <w:szCs w:val="18"/>
                <w:lang w:val="bg-BG"/>
              </w:rPr>
              <w:t xml:space="preserve">създаването на </w:t>
            </w:r>
            <w:r w:rsidRPr="00937B75">
              <w:rPr>
                <w:rFonts w:ascii="Verdana" w:hAnsi="Verdana"/>
                <w:sz w:val="18"/>
                <w:szCs w:val="18"/>
                <w:lang w:val="bg-BG"/>
              </w:rPr>
              <w:t>иновации.</w:t>
            </w:r>
          </w:p>
        </w:tc>
        <w:tc>
          <w:tcPr>
            <w:tcW w:w="1293" w:type="dxa"/>
            <w:shd w:val="clear" w:color="auto" w:fill="auto"/>
          </w:tcPr>
          <w:p w:rsidR="00E655E4" w:rsidRPr="00937B75" w:rsidRDefault="00E655E4" w:rsidP="00E655E4">
            <w:pPr>
              <w:spacing w:after="60" w:line="240" w:lineRule="auto"/>
              <w:jc w:val="both"/>
              <w:cnfStyle w:val="000000100000" w:firstRow="0" w:lastRow="0" w:firstColumn="0" w:lastColumn="0" w:oddVBand="0" w:evenVBand="0" w:oddHBand="1" w:evenHBand="0" w:firstRowFirstColumn="0" w:firstRowLastColumn="0" w:lastRowFirstColumn="0" w:lastRowLastColumn="0"/>
              <w:rPr>
                <w:rFonts w:ascii="Verdana" w:hAnsi="Verdana"/>
                <w:sz w:val="18"/>
                <w:szCs w:val="18"/>
                <w:lang w:val="bg-BG"/>
              </w:rPr>
            </w:pPr>
          </w:p>
        </w:tc>
      </w:tr>
    </w:tbl>
    <w:p w:rsidR="00D81A47" w:rsidRPr="00937B75" w:rsidRDefault="00D81A47" w:rsidP="00B84582">
      <w:pPr>
        <w:jc w:val="both"/>
        <w:rPr>
          <w:rFonts w:ascii="Verdana" w:hAnsi="Verdana"/>
          <w:i/>
          <w:sz w:val="16"/>
          <w:szCs w:val="16"/>
          <w:lang w:val="bg-BG"/>
        </w:rPr>
      </w:pPr>
      <w:r w:rsidRPr="00937B75">
        <w:rPr>
          <w:rFonts w:ascii="Verdana" w:eastAsia="Times New Roman" w:hAnsi="Verdana"/>
          <w:bCs/>
          <w:i/>
          <w:color w:val="000000"/>
          <w:sz w:val="16"/>
          <w:szCs w:val="16"/>
          <w:lang w:val="bg-BG" w:eastAsia="bg-BG"/>
        </w:rPr>
        <w:t xml:space="preserve">Източник: </w:t>
      </w:r>
      <w:hyperlink r:id="rId44" w:history="1">
        <w:r w:rsidRPr="00937B75">
          <w:rPr>
            <w:rStyle w:val="Hyperlink"/>
            <w:rFonts w:ascii="Verdana" w:hAnsi="Verdana"/>
            <w:i/>
            <w:sz w:val="16"/>
            <w:szCs w:val="16"/>
            <w:lang w:val="bg-BG"/>
          </w:rPr>
          <w:t>http://www.europarl.europa.eu/RegData/etudes/etudes/join/2013/495870/IPOL-REGI_ET%282013%29495870_EN.pdf</w:t>
        </w:r>
      </w:hyperlink>
    </w:p>
    <w:p w:rsidR="001771D2" w:rsidRPr="00B45B4F" w:rsidRDefault="001771D2" w:rsidP="001771D2">
      <w:pPr>
        <w:widowControl w:val="0"/>
        <w:tabs>
          <w:tab w:val="left" w:pos="0"/>
          <w:tab w:val="right" w:pos="9214"/>
        </w:tabs>
        <w:spacing w:before="240" w:after="0"/>
        <w:jc w:val="both"/>
        <w:rPr>
          <w:rFonts w:ascii="Verdana" w:eastAsia="Times New Roman" w:hAnsi="Verdana"/>
          <w:bCs/>
          <w:color w:val="000000"/>
          <w:sz w:val="20"/>
          <w:szCs w:val="20"/>
          <w:lang w:val="bg-BG" w:eastAsia="bg-BG"/>
        </w:rPr>
      </w:pPr>
      <w:r w:rsidRPr="00B45B4F">
        <w:rPr>
          <w:rFonts w:ascii="Verdana" w:eastAsia="Times New Roman" w:hAnsi="Verdana"/>
          <w:bCs/>
          <w:color w:val="000000"/>
          <w:sz w:val="20"/>
          <w:szCs w:val="20"/>
          <w:lang w:val="bg-BG" w:eastAsia="bg-BG"/>
        </w:rPr>
        <w:t>В допълнение на горните анализи са направени следните проучвания:</w:t>
      </w:r>
    </w:p>
    <w:p w:rsidR="001771D2" w:rsidRPr="00B45B4F" w:rsidRDefault="001771D2" w:rsidP="006861B0">
      <w:pPr>
        <w:pStyle w:val="ListParagraph"/>
        <w:widowControl w:val="0"/>
        <w:numPr>
          <w:ilvl w:val="0"/>
          <w:numId w:val="32"/>
        </w:numPr>
        <w:tabs>
          <w:tab w:val="left" w:pos="0"/>
          <w:tab w:val="right" w:pos="9214"/>
        </w:tabs>
        <w:spacing w:before="120" w:after="0"/>
        <w:jc w:val="both"/>
        <w:rPr>
          <w:rFonts w:ascii="Verdana" w:eastAsia="Times New Roman" w:hAnsi="Verdana"/>
          <w:bCs/>
          <w:color w:val="000000"/>
          <w:sz w:val="20"/>
          <w:szCs w:val="20"/>
          <w:lang w:val="bg-BG" w:eastAsia="bg-BG"/>
        </w:rPr>
      </w:pPr>
      <w:r w:rsidRPr="00B45B4F">
        <w:rPr>
          <w:rFonts w:ascii="Verdana" w:eastAsia="Times New Roman" w:hAnsi="Verdana"/>
          <w:bCs/>
          <w:color w:val="000000"/>
          <w:sz w:val="20"/>
          <w:szCs w:val="20"/>
          <w:lang w:val="bg-BG" w:eastAsia="bg-BG"/>
        </w:rPr>
        <w:t xml:space="preserve">Опит от изпълнението на </w:t>
      </w:r>
      <w:r w:rsidR="000F00C5" w:rsidRPr="00B45B4F">
        <w:rPr>
          <w:rFonts w:ascii="Verdana" w:eastAsia="Times New Roman" w:hAnsi="Verdana"/>
          <w:bCs/>
          <w:color w:val="000000"/>
          <w:sz w:val="20"/>
          <w:szCs w:val="20"/>
          <w:lang w:val="bg-BG" w:eastAsia="bg-BG"/>
        </w:rPr>
        <w:t xml:space="preserve">оперативни програми от предходния програмен период </w:t>
      </w:r>
      <w:r w:rsidR="005106CE" w:rsidRPr="00B45B4F">
        <w:rPr>
          <w:rFonts w:ascii="Verdana" w:eastAsia="Times New Roman" w:hAnsi="Verdana"/>
          <w:bCs/>
          <w:color w:val="000000"/>
          <w:sz w:val="20"/>
          <w:szCs w:val="20"/>
          <w:lang w:val="bg-BG" w:eastAsia="bg-BG"/>
        </w:rPr>
        <w:t>2007–2013</w:t>
      </w:r>
      <w:r w:rsidR="000F00C5" w:rsidRPr="00B45B4F">
        <w:rPr>
          <w:rFonts w:ascii="Verdana" w:eastAsia="Times New Roman" w:hAnsi="Verdana"/>
          <w:bCs/>
          <w:color w:val="000000"/>
          <w:sz w:val="20"/>
          <w:szCs w:val="20"/>
          <w:lang w:val="bg-BG" w:eastAsia="bg-BG"/>
        </w:rPr>
        <w:t xml:space="preserve">, където са изпълнявани мерки, подобни на тези, които се очаква да бъдат финансирани по ОПНОИР </w:t>
      </w:r>
      <w:r w:rsidR="005106CE" w:rsidRPr="00B45B4F">
        <w:rPr>
          <w:rFonts w:ascii="Verdana" w:eastAsia="Times New Roman" w:hAnsi="Verdana"/>
          <w:bCs/>
          <w:color w:val="000000"/>
          <w:sz w:val="20"/>
          <w:szCs w:val="20"/>
          <w:lang w:val="bg-BG" w:eastAsia="bg-BG"/>
        </w:rPr>
        <w:t>2014–2020</w:t>
      </w:r>
      <w:r w:rsidRPr="00B45B4F">
        <w:rPr>
          <w:rFonts w:ascii="Verdana" w:eastAsia="Times New Roman" w:hAnsi="Verdana"/>
          <w:bCs/>
          <w:color w:val="000000"/>
          <w:sz w:val="20"/>
          <w:szCs w:val="20"/>
          <w:lang w:val="bg-BG" w:eastAsia="bg-BG"/>
        </w:rPr>
        <w:t>;</w:t>
      </w:r>
    </w:p>
    <w:p w:rsidR="001771D2" w:rsidRPr="00B45B4F" w:rsidRDefault="001771D2" w:rsidP="006861B0">
      <w:pPr>
        <w:pStyle w:val="ListParagraph"/>
        <w:widowControl w:val="0"/>
        <w:numPr>
          <w:ilvl w:val="0"/>
          <w:numId w:val="32"/>
        </w:numPr>
        <w:tabs>
          <w:tab w:val="left" w:pos="0"/>
          <w:tab w:val="right" w:pos="9214"/>
        </w:tabs>
        <w:spacing w:before="120" w:after="0"/>
        <w:jc w:val="both"/>
        <w:rPr>
          <w:rFonts w:ascii="Verdana" w:eastAsia="Times New Roman" w:hAnsi="Verdana"/>
          <w:bCs/>
          <w:color w:val="000000"/>
          <w:sz w:val="20"/>
          <w:szCs w:val="20"/>
          <w:lang w:val="bg-BG" w:eastAsia="bg-BG"/>
        </w:rPr>
      </w:pPr>
      <w:r w:rsidRPr="00B45B4F">
        <w:rPr>
          <w:rFonts w:ascii="Verdana" w:eastAsia="Times New Roman" w:hAnsi="Verdana"/>
          <w:bCs/>
          <w:color w:val="000000"/>
          <w:sz w:val="20"/>
          <w:szCs w:val="20"/>
          <w:lang w:val="bg-BG" w:eastAsia="bg-BG"/>
        </w:rPr>
        <w:t xml:space="preserve">Анализ на информацията, получена по време на проведените консултации в рамките на фокус група с представители на Работната група за подготовка на ОПНОИР </w:t>
      </w:r>
      <w:r w:rsidR="005106CE" w:rsidRPr="00B45B4F">
        <w:rPr>
          <w:rFonts w:ascii="Verdana" w:eastAsia="Times New Roman" w:hAnsi="Verdana"/>
          <w:bCs/>
          <w:color w:val="000000"/>
          <w:sz w:val="20"/>
          <w:szCs w:val="20"/>
          <w:lang w:val="bg-BG" w:eastAsia="bg-BG"/>
        </w:rPr>
        <w:t>2014–2020</w:t>
      </w:r>
      <w:r w:rsidRPr="00B45B4F">
        <w:rPr>
          <w:rFonts w:ascii="Verdana" w:eastAsia="Times New Roman" w:hAnsi="Verdana"/>
          <w:bCs/>
          <w:color w:val="000000"/>
          <w:sz w:val="20"/>
          <w:szCs w:val="20"/>
          <w:lang w:val="bg-BG" w:eastAsia="bg-BG"/>
        </w:rPr>
        <w:t xml:space="preserve"> г. и от онлайн проучването с потенциални бенефициенти на програмата.</w:t>
      </w:r>
    </w:p>
    <w:p w:rsidR="001771D2" w:rsidRPr="00B45B4F" w:rsidRDefault="001771D2" w:rsidP="001771D2">
      <w:pPr>
        <w:keepNext/>
        <w:pBdr>
          <w:bottom w:val="single" w:sz="4" w:space="1" w:color="0070C0"/>
        </w:pBdr>
        <w:spacing w:before="360" w:after="120"/>
        <w:jc w:val="both"/>
        <w:rPr>
          <w:rFonts w:ascii="Verdana" w:hAnsi="Verdana"/>
          <w:color w:val="0070C0"/>
          <w:sz w:val="20"/>
          <w:szCs w:val="20"/>
          <w:lang w:val="bg-BG" w:eastAsia="cs-CZ"/>
        </w:rPr>
      </w:pPr>
      <w:r w:rsidRPr="00B45B4F">
        <w:rPr>
          <w:rFonts w:ascii="Verdana" w:hAnsi="Verdana"/>
          <w:color w:val="0070C0"/>
          <w:sz w:val="20"/>
          <w:szCs w:val="20"/>
          <w:lang w:val="bg-BG" w:eastAsia="cs-CZ"/>
        </w:rPr>
        <w:t xml:space="preserve">Опит от изпълнение на оперативни програми от предходния програмен период </w:t>
      </w:r>
      <w:r w:rsidR="005106CE" w:rsidRPr="00B45B4F">
        <w:rPr>
          <w:rFonts w:ascii="Verdana" w:hAnsi="Verdana"/>
          <w:color w:val="0070C0"/>
          <w:sz w:val="20"/>
          <w:szCs w:val="20"/>
          <w:lang w:val="bg-BG" w:eastAsia="cs-CZ"/>
        </w:rPr>
        <w:t>2007–2013</w:t>
      </w:r>
      <w:r w:rsidRPr="00B45B4F">
        <w:rPr>
          <w:rFonts w:ascii="Verdana" w:hAnsi="Verdana"/>
          <w:color w:val="0070C0"/>
          <w:sz w:val="20"/>
          <w:szCs w:val="20"/>
          <w:lang w:val="bg-BG" w:eastAsia="cs-CZ"/>
        </w:rPr>
        <w:t xml:space="preserve">, където са изпълнявани мерки, подобни на тези, които се очаква да бъдат финансирани по ОПНОИР </w:t>
      </w:r>
      <w:r w:rsidR="005106CE" w:rsidRPr="00B45B4F">
        <w:rPr>
          <w:rFonts w:ascii="Verdana" w:hAnsi="Verdana"/>
          <w:color w:val="0070C0"/>
          <w:sz w:val="20"/>
          <w:szCs w:val="20"/>
          <w:lang w:val="bg-BG" w:eastAsia="cs-CZ"/>
        </w:rPr>
        <w:t>2014–2020</w:t>
      </w:r>
    </w:p>
    <w:p w:rsidR="007E1A2C" w:rsidRPr="00B45B4F" w:rsidRDefault="007E1A2C" w:rsidP="006D28EA">
      <w:pPr>
        <w:spacing w:before="120" w:after="120"/>
        <w:jc w:val="both"/>
        <w:rPr>
          <w:rFonts w:ascii="Verdana" w:hAnsi="Verdana"/>
          <w:sz w:val="20"/>
          <w:szCs w:val="20"/>
          <w:lang w:val="bg-BG"/>
        </w:rPr>
      </w:pPr>
      <w:r w:rsidRPr="00B45B4F">
        <w:rPr>
          <w:rFonts w:ascii="Verdana" w:hAnsi="Verdana"/>
          <w:sz w:val="20"/>
          <w:szCs w:val="20"/>
          <w:lang w:val="bg-BG"/>
        </w:rPr>
        <w:t>Мерки, подобни на тези, които се очаква да бъдат подкрепени по ОП</w:t>
      </w:r>
      <w:r w:rsidR="008D33D6" w:rsidRPr="00B45B4F">
        <w:rPr>
          <w:rFonts w:ascii="Verdana" w:hAnsi="Verdana"/>
          <w:sz w:val="20"/>
          <w:szCs w:val="20"/>
          <w:lang w:val="bg-BG"/>
        </w:rPr>
        <w:t>НОИР</w:t>
      </w:r>
      <w:r w:rsidR="00B0149B">
        <w:rPr>
          <w:rFonts w:ascii="Verdana" w:hAnsi="Verdana"/>
          <w:sz w:val="20"/>
          <w:szCs w:val="20"/>
          <w:lang w:val="bg-BG"/>
        </w:rPr>
        <w:t>,</w:t>
      </w:r>
      <w:r w:rsidR="008D33D6" w:rsidRPr="00B45B4F">
        <w:rPr>
          <w:rFonts w:ascii="Verdana" w:hAnsi="Verdana"/>
          <w:sz w:val="20"/>
          <w:szCs w:val="20"/>
          <w:lang w:val="bg-BG"/>
        </w:rPr>
        <w:t xml:space="preserve"> са б</w:t>
      </w:r>
      <w:r w:rsidRPr="00B45B4F">
        <w:rPr>
          <w:rFonts w:ascii="Verdana" w:hAnsi="Verdana"/>
          <w:sz w:val="20"/>
          <w:szCs w:val="20"/>
          <w:lang w:val="bg-BG"/>
        </w:rPr>
        <w:t>или подкрепяни по следните програми:</w:t>
      </w:r>
    </w:p>
    <w:p w:rsidR="007E1A2C" w:rsidRPr="00B45B4F" w:rsidRDefault="007E1A2C" w:rsidP="006861B0">
      <w:pPr>
        <w:pStyle w:val="BodyText"/>
        <w:widowControl w:val="0"/>
        <w:numPr>
          <w:ilvl w:val="0"/>
          <w:numId w:val="35"/>
        </w:numPr>
        <w:spacing w:line="276" w:lineRule="auto"/>
        <w:jc w:val="both"/>
        <w:rPr>
          <w:rFonts w:ascii="Verdana" w:hAnsi="Verdana"/>
          <w:sz w:val="20"/>
          <w:szCs w:val="20"/>
          <w:lang w:eastAsia="en-US"/>
        </w:rPr>
      </w:pPr>
      <w:r w:rsidRPr="00B45B4F">
        <w:rPr>
          <w:rFonts w:ascii="Verdana" w:hAnsi="Verdana"/>
          <w:sz w:val="20"/>
          <w:szCs w:val="20"/>
          <w:lang w:eastAsia="en-US"/>
        </w:rPr>
        <w:t xml:space="preserve">Оперативна програма „Административен капацитет” </w:t>
      </w:r>
      <w:r w:rsidR="005106CE" w:rsidRPr="00B45B4F">
        <w:rPr>
          <w:rFonts w:ascii="Verdana" w:hAnsi="Verdana"/>
          <w:sz w:val="20"/>
          <w:szCs w:val="20"/>
          <w:lang w:eastAsia="en-US"/>
        </w:rPr>
        <w:t>2007–2013</w:t>
      </w:r>
      <w:r w:rsidRPr="00B45B4F">
        <w:rPr>
          <w:rFonts w:ascii="Verdana" w:hAnsi="Verdana"/>
          <w:sz w:val="20"/>
          <w:szCs w:val="20"/>
          <w:lang w:eastAsia="en-US"/>
        </w:rPr>
        <w:t xml:space="preserve"> г. – подкрепен е един проект за повишаване на административния капацитет на институти в състава на Българската </w:t>
      </w:r>
      <w:r w:rsidR="008F5AFD" w:rsidRPr="00B45B4F">
        <w:rPr>
          <w:rFonts w:ascii="Verdana" w:hAnsi="Verdana"/>
          <w:sz w:val="20"/>
          <w:szCs w:val="20"/>
          <w:lang w:eastAsia="en-US"/>
        </w:rPr>
        <w:t>а</w:t>
      </w:r>
      <w:r w:rsidRPr="00B45B4F">
        <w:rPr>
          <w:rFonts w:ascii="Verdana" w:hAnsi="Verdana"/>
          <w:sz w:val="20"/>
          <w:szCs w:val="20"/>
          <w:lang w:eastAsia="en-US"/>
        </w:rPr>
        <w:t xml:space="preserve">кадемия на </w:t>
      </w:r>
      <w:r w:rsidR="008F5AFD" w:rsidRPr="00B45B4F">
        <w:rPr>
          <w:rFonts w:ascii="Verdana" w:hAnsi="Verdana"/>
          <w:sz w:val="20"/>
          <w:szCs w:val="20"/>
          <w:lang w:eastAsia="en-US"/>
        </w:rPr>
        <w:t>н</w:t>
      </w:r>
      <w:r w:rsidRPr="00B45B4F">
        <w:rPr>
          <w:rFonts w:ascii="Verdana" w:hAnsi="Verdana"/>
          <w:sz w:val="20"/>
          <w:szCs w:val="20"/>
          <w:lang w:eastAsia="en-US"/>
        </w:rPr>
        <w:t>ауките. Проектът е свързан с провеждане на обучения за служители на институтите и като цяло има малка връзка с мерките, които ще бъдат</w:t>
      </w:r>
      <w:r w:rsidR="008F5AFD" w:rsidRPr="00B45B4F">
        <w:rPr>
          <w:rFonts w:ascii="Verdana" w:hAnsi="Verdana"/>
          <w:sz w:val="20"/>
          <w:szCs w:val="20"/>
          <w:lang w:eastAsia="en-US"/>
        </w:rPr>
        <w:t xml:space="preserve"> подкрепяни по ОПНОИР </w:t>
      </w:r>
      <w:r w:rsidR="005106CE" w:rsidRPr="00B45B4F">
        <w:rPr>
          <w:rFonts w:ascii="Verdana" w:hAnsi="Verdana"/>
          <w:sz w:val="20"/>
          <w:szCs w:val="20"/>
          <w:lang w:eastAsia="en-US"/>
        </w:rPr>
        <w:t>2014–2020</w:t>
      </w:r>
      <w:r w:rsidRPr="00B45B4F">
        <w:rPr>
          <w:rFonts w:ascii="Verdana" w:hAnsi="Verdana"/>
          <w:sz w:val="20"/>
          <w:szCs w:val="20"/>
          <w:lang w:eastAsia="en-US"/>
        </w:rPr>
        <w:t>;</w:t>
      </w:r>
    </w:p>
    <w:p w:rsidR="007E1A2C" w:rsidRPr="00B45B4F" w:rsidRDefault="007E1A2C" w:rsidP="006861B0">
      <w:pPr>
        <w:pStyle w:val="BodyText"/>
        <w:widowControl w:val="0"/>
        <w:numPr>
          <w:ilvl w:val="0"/>
          <w:numId w:val="35"/>
        </w:numPr>
        <w:spacing w:line="276" w:lineRule="auto"/>
        <w:jc w:val="both"/>
        <w:rPr>
          <w:rFonts w:ascii="Verdana" w:hAnsi="Verdana"/>
          <w:sz w:val="20"/>
          <w:szCs w:val="20"/>
          <w:lang w:eastAsia="en-US"/>
        </w:rPr>
      </w:pPr>
      <w:r w:rsidRPr="00B45B4F">
        <w:rPr>
          <w:rFonts w:ascii="Verdana" w:hAnsi="Verdana"/>
          <w:sz w:val="20"/>
          <w:szCs w:val="20"/>
          <w:lang w:eastAsia="en-US"/>
        </w:rPr>
        <w:t xml:space="preserve">Оперативна програма „Развитие на конкурентоспособността на българската икономика” </w:t>
      </w:r>
      <w:r w:rsidR="005106CE" w:rsidRPr="00B45B4F">
        <w:rPr>
          <w:rFonts w:ascii="Verdana" w:hAnsi="Verdana"/>
          <w:sz w:val="20"/>
          <w:szCs w:val="20"/>
          <w:lang w:eastAsia="en-US"/>
        </w:rPr>
        <w:t>2007–2013</w:t>
      </w:r>
      <w:r w:rsidRPr="00B45B4F">
        <w:rPr>
          <w:rFonts w:ascii="Verdana" w:hAnsi="Verdana"/>
          <w:sz w:val="20"/>
          <w:szCs w:val="20"/>
          <w:lang w:eastAsia="en-US"/>
        </w:rPr>
        <w:t xml:space="preserve"> г. – по отношение на развитие на иновации и осигуряване на до-добра връзка между науката и бизнеса. Подкрепени са проекти на предприятия за въвеждане на иновативни продукти и мерки за </w:t>
      </w:r>
      <w:r w:rsidRPr="00B45B4F">
        <w:rPr>
          <w:rFonts w:ascii="Verdana" w:hAnsi="Verdana"/>
          <w:sz w:val="20"/>
          <w:szCs w:val="20"/>
          <w:lang w:eastAsia="en-US"/>
        </w:rPr>
        <w:lastRenderedPageBreak/>
        <w:t xml:space="preserve">подобряване на </w:t>
      </w:r>
      <w:proofErr w:type="spellStart"/>
      <w:r w:rsidRPr="00B45B4F">
        <w:rPr>
          <w:rFonts w:ascii="Verdana" w:hAnsi="Verdana"/>
          <w:sz w:val="20"/>
          <w:szCs w:val="20"/>
          <w:lang w:eastAsia="en-US"/>
        </w:rPr>
        <w:t>про</w:t>
      </w:r>
      <w:proofErr w:type="spellEnd"/>
      <w:r w:rsidRPr="00B45B4F">
        <w:rPr>
          <w:rFonts w:ascii="Verdana" w:hAnsi="Verdana"/>
          <w:sz w:val="20"/>
          <w:szCs w:val="20"/>
          <w:lang w:eastAsia="en-US"/>
        </w:rPr>
        <w:t>-иновативната инфраструктура, включително създаване и укрепване на офиси за технологичен трансфер, развитие на приложни изследвания в научни организации. Проведената пред 2011 г. междинна оценка за изпълнение на процедурите за предоставяне на безвъзмездна финансова помощ се фокусира предимно върху проблемите от администрат</w:t>
      </w:r>
      <w:r w:rsidR="008F5AFD" w:rsidRPr="00B45B4F">
        <w:rPr>
          <w:rFonts w:ascii="Verdana" w:hAnsi="Verdana"/>
          <w:sz w:val="20"/>
          <w:szCs w:val="20"/>
          <w:lang w:eastAsia="en-US"/>
        </w:rPr>
        <w:t>ивно и управленско естество, ка</w:t>
      </w:r>
      <w:r w:rsidRPr="00B45B4F">
        <w:rPr>
          <w:rFonts w:ascii="Verdana" w:hAnsi="Verdana"/>
          <w:sz w:val="20"/>
          <w:szCs w:val="20"/>
          <w:lang w:eastAsia="en-US"/>
        </w:rPr>
        <w:t>то препоръките са изцяло в тази посока. Това се дължи донякъде и на факта, че изпълнението е било в много начална форма и все още не са били налични резултати. Поради това</w:t>
      </w:r>
      <w:r w:rsidR="008F5AFD" w:rsidRPr="00B45B4F">
        <w:rPr>
          <w:rFonts w:ascii="Verdana" w:hAnsi="Verdana"/>
          <w:sz w:val="20"/>
          <w:szCs w:val="20"/>
          <w:lang w:eastAsia="en-US"/>
        </w:rPr>
        <w:t>,</w:t>
      </w:r>
      <w:r w:rsidRPr="00B45B4F">
        <w:rPr>
          <w:rFonts w:ascii="Verdana" w:hAnsi="Verdana"/>
          <w:sz w:val="20"/>
          <w:szCs w:val="20"/>
          <w:lang w:eastAsia="en-US"/>
        </w:rPr>
        <w:t xml:space="preserve"> докладът не предоставя препоръки, които да могат да бъдат използвани с цел подпомагане и подобряване на програмирането на ОПНОИР </w:t>
      </w:r>
      <w:r w:rsidR="005106CE" w:rsidRPr="00B45B4F">
        <w:rPr>
          <w:rFonts w:ascii="Verdana" w:hAnsi="Verdana"/>
          <w:sz w:val="20"/>
          <w:szCs w:val="20"/>
          <w:lang w:eastAsia="en-US"/>
        </w:rPr>
        <w:t>2014–2020</w:t>
      </w:r>
      <w:r w:rsidRPr="00B45B4F">
        <w:rPr>
          <w:rFonts w:ascii="Verdana" w:hAnsi="Verdana"/>
          <w:sz w:val="20"/>
          <w:szCs w:val="20"/>
          <w:lang w:eastAsia="en-US"/>
        </w:rPr>
        <w:t>г.</w:t>
      </w:r>
    </w:p>
    <w:p w:rsidR="007E1A2C" w:rsidRPr="00B45B4F" w:rsidRDefault="008D33D6" w:rsidP="006861B0">
      <w:pPr>
        <w:pStyle w:val="BodyText"/>
        <w:widowControl w:val="0"/>
        <w:numPr>
          <w:ilvl w:val="0"/>
          <w:numId w:val="35"/>
        </w:numPr>
        <w:spacing w:line="276" w:lineRule="auto"/>
        <w:jc w:val="both"/>
        <w:rPr>
          <w:rFonts w:ascii="Verdana" w:hAnsi="Verdana"/>
          <w:sz w:val="20"/>
          <w:szCs w:val="20"/>
          <w:lang w:eastAsia="en-US"/>
        </w:rPr>
      </w:pPr>
      <w:r w:rsidRPr="00B45B4F">
        <w:rPr>
          <w:rFonts w:ascii="Verdana" w:hAnsi="Verdana"/>
          <w:sz w:val="20"/>
          <w:szCs w:val="20"/>
          <w:lang w:eastAsia="en-US"/>
        </w:rPr>
        <w:t xml:space="preserve">По ПО1 на </w:t>
      </w:r>
      <w:r w:rsidR="007E1A2C" w:rsidRPr="00B45B4F">
        <w:rPr>
          <w:rFonts w:ascii="Verdana" w:hAnsi="Verdana"/>
          <w:sz w:val="20"/>
          <w:szCs w:val="20"/>
          <w:lang w:eastAsia="en-US"/>
        </w:rPr>
        <w:t xml:space="preserve">Оперативна програма „Регионално развитие” </w:t>
      </w:r>
      <w:r w:rsidR="005106CE" w:rsidRPr="00B45B4F">
        <w:rPr>
          <w:rFonts w:ascii="Verdana" w:hAnsi="Verdana"/>
          <w:sz w:val="20"/>
          <w:szCs w:val="20"/>
          <w:lang w:eastAsia="en-US"/>
        </w:rPr>
        <w:t>2007–2013</w:t>
      </w:r>
      <w:r w:rsidR="007E1A2C" w:rsidRPr="00B45B4F">
        <w:rPr>
          <w:rFonts w:ascii="Verdana" w:hAnsi="Verdana"/>
          <w:sz w:val="20"/>
          <w:szCs w:val="20"/>
          <w:lang w:eastAsia="en-US"/>
        </w:rPr>
        <w:t xml:space="preserve"> г. </w:t>
      </w:r>
      <w:r w:rsidRPr="00B45B4F">
        <w:rPr>
          <w:rFonts w:ascii="Verdana" w:hAnsi="Verdana"/>
          <w:sz w:val="20"/>
          <w:szCs w:val="20"/>
          <w:lang w:eastAsia="en-US"/>
        </w:rPr>
        <w:t>е предоставила подкрепа з</w:t>
      </w:r>
      <w:r w:rsidR="007E1A2C" w:rsidRPr="00B45B4F">
        <w:rPr>
          <w:rFonts w:ascii="Verdana" w:hAnsi="Verdana"/>
          <w:sz w:val="20"/>
          <w:szCs w:val="20"/>
          <w:lang w:eastAsia="en-US"/>
        </w:rPr>
        <w:t>а инвестиции в инфраструктура</w:t>
      </w:r>
      <w:r w:rsidRPr="00B45B4F">
        <w:rPr>
          <w:rFonts w:ascii="Verdana" w:hAnsi="Verdana"/>
          <w:sz w:val="20"/>
          <w:szCs w:val="20"/>
          <w:lang w:eastAsia="en-US"/>
        </w:rPr>
        <w:t xml:space="preserve"> на висши училища, която се изразява предимно в подобряване на енергийната ефективност на сградите</w:t>
      </w:r>
      <w:r w:rsidR="007E1A2C" w:rsidRPr="00B45B4F">
        <w:rPr>
          <w:rFonts w:ascii="Verdana" w:hAnsi="Verdana"/>
          <w:sz w:val="20"/>
          <w:szCs w:val="20"/>
          <w:lang w:eastAsia="en-US"/>
        </w:rPr>
        <w:t>.</w:t>
      </w:r>
      <w:r w:rsidRPr="00B45B4F">
        <w:rPr>
          <w:rFonts w:ascii="Verdana" w:hAnsi="Verdana"/>
          <w:sz w:val="20"/>
          <w:szCs w:val="20"/>
          <w:lang w:eastAsia="en-US"/>
        </w:rPr>
        <w:t xml:space="preserve"> Поради това програмата също не предоставя възможности за извличане на опит, който да бъде използван при програмиране на ОПНОИР. ОПНОИР чрез ИП1 на ПО1 ще подкрепя изграждане</w:t>
      </w:r>
      <w:r w:rsidR="008F5AFD" w:rsidRPr="00B45B4F">
        <w:rPr>
          <w:rFonts w:ascii="Verdana" w:hAnsi="Verdana"/>
          <w:sz w:val="20"/>
          <w:szCs w:val="20"/>
          <w:lang w:eastAsia="en-US"/>
        </w:rPr>
        <w:t>то</w:t>
      </w:r>
      <w:r w:rsidRPr="00B45B4F">
        <w:rPr>
          <w:rFonts w:ascii="Verdana" w:hAnsi="Verdana"/>
          <w:sz w:val="20"/>
          <w:szCs w:val="20"/>
          <w:lang w:eastAsia="en-US"/>
        </w:rPr>
        <w:t xml:space="preserve"> на изследователска и научно-изследователска инфраструктура.</w:t>
      </w:r>
    </w:p>
    <w:p w:rsidR="00FA776A" w:rsidRPr="00B45B4F" w:rsidRDefault="001771D2" w:rsidP="006861B0">
      <w:pPr>
        <w:pStyle w:val="BodyText"/>
        <w:widowControl w:val="0"/>
        <w:numPr>
          <w:ilvl w:val="0"/>
          <w:numId w:val="35"/>
        </w:numPr>
        <w:spacing w:line="276" w:lineRule="auto"/>
        <w:jc w:val="both"/>
        <w:rPr>
          <w:rFonts w:ascii="Verdana" w:hAnsi="Verdana"/>
          <w:sz w:val="20"/>
          <w:szCs w:val="20"/>
          <w:lang w:eastAsia="en-US"/>
        </w:rPr>
      </w:pPr>
      <w:r w:rsidRPr="00B45B4F">
        <w:rPr>
          <w:rFonts w:ascii="Verdana" w:hAnsi="Verdana"/>
          <w:sz w:val="20"/>
          <w:szCs w:val="20"/>
          <w:lang w:eastAsia="en-US"/>
        </w:rPr>
        <w:t xml:space="preserve">По ОПРЧР </w:t>
      </w:r>
      <w:r w:rsidR="005106CE" w:rsidRPr="00B45B4F">
        <w:rPr>
          <w:rFonts w:ascii="Verdana" w:hAnsi="Verdana"/>
          <w:sz w:val="20"/>
          <w:szCs w:val="20"/>
          <w:lang w:eastAsia="en-US"/>
        </w:rPr>
        <w:t>2007–2013</w:t>
      </w:r>
      <w:r w:rsidRPr="00B45B4F">
        <w:rPr>
          <w:rFonts w:ascii="Verdana" w:hAnsi="Verdana"/>
          <w:sz w:val="20"/>
          <w:szCs w:val="20"/>
          <w:lang w:eastAsia="en-US"/>
        </w:rPr>
        <w:t xml:space="preserve"> по ПО3 и ПО4 са изпълнявани проекти за подобряване качеството на образованието (ПО3) и </w:t>
      </w:r>
      <w:r w:rsidR="00B414E6" w:rsidRPr="00B45B4F">
        <w:rPr>
          <w:rFonts w:ascii="Verdana" w:hAnsi="Verdana"/>
          <w:sz w:val="20"/>
          <w:szCs w:val="20"/>
          <w:lang w:eastAsia="en-US"/>
        </w:rPr>
        <w:t>подобряване на достъпа до образование (ПО4).</w:t>
      </w:r>
    </w:p>
    <w:p w:rsidR="00B414E6" w:rsidRPr="00B45B4F" w:rsidRDefault="00B414E6" w:rsidP="00B414E6">
      <w:pPr>
        <w:pStyle w:val="BodyText"/>
        <w:tabs>
          <w:tab w:val="left" w:pos="0"/>
          <w:tab w:val="right" w:pos="9214"/>
        </w:tabs>
        <w:spacing w:after="0" w:line="276" w:lineRule="auto"/>
        <w:jc w:val="both"/>
        <w:rPr>
          <w:rFonts w:ascii="Verdana" w:hAnsi="Verdana"/>
          <w:sz w:val="20"/>
          <w:szCs w:val="20"/>
        </w:rPr>
      </w:pPr>
      <w:r w:rsidRPr="00B45B4F">
        <w:rPr>
          <w:rFonts w:ascii="Verdana" w:hAnsi="Verdana"/>
          <w:sz w:val="20"/>
          <w:szCs w:val="20"/>
        </w:rPr>
        <w:t>Изпълнението е коментирано и докладвано в годишните доклади за изпълнение</w:t>
      </w:r>
      <w:r w:rsidR="00D737F0">
        <w:rPr>
          <w:rFonts w:ascii="Verdana" w:hAnsi="Verdana"/>
          <w:sz w:val="20"/>
          <w:szCs w:val="20"/>
        </w:rPr>
        <w:t xml:space="preserve"> </w:t>
      </w:r>
      <w:r w:rsidRPr="00B45B4F">
        <w:rPr>
          <w:rFonts w:ascii="Verdana" w:hAnsi="Verdana"/>
          <w:sz w:val="20"/>
          <w:szCs w:val="20"/>
        </w:rPr>
        <w:t>на програмата и в следните проведени оценки и изследвания:</w:t>
      </w:r>
    </w:p>
    <w:p w:rsidR="00B414E6" w:rsidRPr="00B45B4F" w:rsidRDefault="00B414E6" w:rsidP="006861B0">
      <w:pPr>
        <w:pStyle w:val="BodyText"/>
        <w:numPr>
          <w:ilvl w:val="0"/>
          <w:numId w:val="33"/>
        </w:numPr>
        <w:tabs>
          <w:tab w:val="left" w:pos="0"/>
          <w:tab w:val="right" w:pos="9214"/>
        </w:tabs>
        <w:spacing w:after="0" w:line="276" w:lineRule="auto"/>
        <w:jc w:val="both"/>
        <w:rPr>
          <w:rFonts w:ascii="Verdana" w:hAnsi="Verdana"/>
          <w:i/>
          <w:sz w:val="20"/>
          <w:szCs w:val="20"/>
        </w:rPr>
      </w:pPr>
      <w:r w:rsidRPr="00B45B4F">
        <w:rPr>
          <w:rFonts w:ascii="Verdana" w:hAnsi="Verdana"/>
          <w:i/>
          <w:sz w:val="20"/>
          <w:szCs w:val="20"/>
        </w:rPr>
        <w:t xml:space="preserve">Специализирано изследване за установяване на Базови данни по индикаторите, посочени в Глава 6 „Сфери на действие по отношение на Ромската общност” на оперативна програма „Развитие на човешките ресурси”, 2012 г., </w:t>
      </w:r>
      <w:r w:rsidR="008F5AFD" w:rsidRPr="00B45B4F">
        <w:rPr>
          <w:rFonts w:ascii="Verdana" w:hAnsi="Verdana"/>
          <w:i/>
          <w:sz w:val="20"/>
          <w:szCs w:val="20"/>
        </w:rPr>
        <w:t xml:space="preserve">извършено от </w:t>
      </w:r>
      <w:proofErr w:type="spellStart"/>
      <w:r w:rsidRPr="00B45B4F">
        <w:rPr>
          <w:rFonts w:ascii="Verdana" w:hAnsi="Verdana"/>
          <w:i/>
          <w:sz w:val="20"/>
          <w:szCs w:val="20"/>
        </w:rPr>
        <w:t>Прайм</w:t>
      </w:r>
      <w:proofErr w:type="spellEnd"/>
      <w:r w:rsidRPr="00B45B4F">
        <w:rPr>
          <w:rFonts w:ascii="Verdana" w:hAnsi="Verdana"/>
          <w:i/>
          <w:sz w:val="20"/>
          <w:szCs w:val="20"/>
        </w:rPr>
        <w:t xml:space="preserve"> </w:t>
      </w:r>
      <w:proofErr w:type="spellStart"/>
      <w:r w:rsidRPr="00B45B4F">
        <w:rPr>
          <w:rFonts w:ascii="Verdana" w:hAnsi="Verdana"/>
          <w:i/>
          <w:sz w:val="20"/>
          <w:szCs w:val="20"/>
        </w:rPr>
        <w:t>Консултинг</w:t>
      </w:r>
      <w:proofErr w:type="spellEnd"/>
    </w:p>
    <w:p w:rsidR="00B414E6" w:rsidRPr="00B45B4F" w:rsidRDefault="00B414E6" w:rsidP="006861B0">
      <w:pPr>
        <w:pStyle w:val="BodyText"/>
        <w:numPr>
          <w:ilvl w:val="0"/>
          <w:numId w:val="33"/>
        </w:numPr>
        <w:tabs>
          <w:tab w:val="left" w:pos="0"/>
          <w:tab w:val="right" w:pos="9214"/>
        </w:tabs>
        <w:spacing w:after="0" w:line="276" w:lineRule="auto"/>
        <w:rPr>
          <w:rFonts w:ascii="Verdana" w:hAnsi="Verdana"/>
          <w:i/>
          <w:sz w:val="20"/>
          <w:szCs w:val="20"/>
        </w:rPr>
      </w:pPr>
      <w:r w:rsidRPr="00B45B4F">
        <w:rPr>
          <w:rFonts w:ascii="Verdana" w:hAnsi="Verdana"/>
          <w:i/>
          <w:sz w:val="20"/>
          <w:szCs w:val="20"/>
        </w:rPr>
        <w:t xml:space="preserve">Оценка на реализирания напредък по 6 схеми от </w:t>
      </w:r>
      <w:r w:rsidR="009F6245" w:rsidRPr="00B45B4F">
        <w:rPr>
          <w:rFonts w:ascii="Verdana" w:hAnsi="Verdana"/>
          <w:i/>
          <w:sz w:val="20"/>
          <w:szCs w:val="20"/>
        </w:rPr>
        <w:t>ОПРЧР</w:t>
      </w:r>
      <w:r w:rsidRPr="00B45B4F">
        <w:rPr>
          <w:rFonts w:ascii="Verdana" w:hAnsi="Verdana"/>
          <w:i/>
          <w:sz w:val="20"/>
          <w:szCs w:val="20"/>
        </w:rPr>
        <w:t xml:space="preserve"> 2007-2010 г.,</w:t>
      </w:r>
      <w:r w:rsidR="008F5AFD" w:rsidRPr="00B45B4F">
        <w:rPr>
          <w:rFonts w:ascii="Verdana" w:hAnsi="Verdana"/>
          <w:i/>
          <w:sz w:val="20"/>
          <w:szCs w:val="20"/>
        </w:rPr>
        <w:t xml:space="preserve"> извършена от </w:t>
      </w:r>
      <w:r w:rsidRPr="00B45B4F">
        <w:rPr>
          <w:rFonts w:ascii="Verdana" w:hAnsi="Verdana"/>
          <w:i/>
          <w:sz w:val="20"/>
          <w:szCs w:val="20"/>
        </w:rPr>
        <w:t>FIIAPP</w:t>
      </w:r>
    </w:p>
    <w:p w:rsidR="00B414E6" w:rsidRPr="00B45B4F" w:rsidRDefault="00B414E6" w:rsidP="006861B0">
      <w:pPr>
        <w:pStyle w:val="BodyText"/>
        <w:numPr>
          <w:ilvl w:val="0"/>
          <w:numId w:val="33"/>
        </w:numPr>
        <w:tabs>
          <w:tab w:val="left" w:pos="0"/>
          <w:tab w:val="right" w:pos="9214"/>
        </w:tabs>
        <w:spacing w:after="0" w:line="276" w:lineRule="auto"/>
        <w:rPr>
          <w:rFonts w:ascii="Verdana" w:hAnsi="Verdana"/>
          <w:i/>
          <w:sz w:val="20"/>
          <w:szCs w:val="20"/>
        </w:rPr>
      </w:pPr>
      <w:r w:rsidRPr="00B45B4F">
        <w:rPr>
          <w:rFonts w:ascii="Verdana" w:hAnsi="Verdana"/>
          <w:i/>
          <w:sz w:val="20"/>
          <w:szCs w:val="20"/>
        </w:rPr>
        <w:t xml:space="preserve">Оценка на постигането на стратегическата и специфичните цели на </w:t>
      </w:r>
      <w:r w:rsidR="009F6245" w:rsidRPr="00B45B4F">
        <w:rPr>
          <w:rFonts w:ascii="Verdana" w:hAnsi="Verdana"/>
          <w:i/>
          <w:sz w:val="20"/>
          <w:szCs w:val="20"/>
        </w:rPr>
        <w:t>ОПРЧР</w:t>
      </w:r>
      <w:r w:rsidRPr="00B45B4F">
        <w:rPr>
          <w:rFonts w:ascii="Verdana" w:hAnsi="Verdana"/>
          <w:i/>
          <w:sz w:val="20"/>
          <w:szCs w:val="20"/>
        </w:rPr>
        <w:t xml:space="preserve"> 2007-2010 г., 2013 г.</w:t>
      </w:r>
      <w:r w:rsidR="00BD61F8">
        <w:rPr>
          <w:rFonts w:ascii="Verdana" w:hAnsi="Verdana"/>
          <w:i/>
          <w:sz w:val="20"/>
          <w:szCs w:val="20"/>
        </w:rPr>
        <w:t>, извършена от</w:t>
      </w:r>
      <w:r w:rsidR="00D737F0">
        <w:rPr>
          <w:rFonts w:ascii="Verdana" w:hAnsi="Verdana"/>
          <w:i/>
          <w:sz w:val="20"/>
          <w:szCs w:val="20"/>
        </w:rPr>
        <w:t xml:space="preserve"> </w:t>
      </w:r>
      <w:r w:rsidR="00937B75" w:rsidRPr="00BD61F8">
        <w:rPr>
          <w:rFonts w:ascii="Verdana" w:hAnsi="Verdana"/>
          <w:i/>
          <w:sz w:val="20"/>
          <w:szCs w:val="20"/>
        </w:rPr>
        <w:t>Обединение „</w:t>
      </w:r>
      <w:proofErr w:type="spellStart"/>
      <w:r w:rsidR="00937B75" w:rsidRPr="00BD61F8">
        <w:rPr>
          <w:rFonts w:ascii="Verdana" w:hAnsi="Verdana"/>
          <w:i/>
          <w:sz w:val="20"/>
          <w:szCs w:val="20"/>
        </w:rPr>
        <w:t>Корпорейт</w:t>
      </w:r>
      <w:proofErr w:type="spellEnd"/>
      <w:r w:rsidR="00937B75" w:rsidRPr="00BD61F8">
        <w:rPr>
          <w:rFonts w:ascii="Verdana" w:hAnsi="Verdana"/>
          <w:i/>
          <w:sz w:val="20"/>
          <w:szCs w:val="20"/>
        </w:rPr>
        <w:t xml:space="preserve"> енд </w:t>
      </w:r>
      <w:proofErr w:type="spellStart"/>
      <w:r w:rsidR="00937B75" w:rsidRPr="00BD61F8">
        <w:rPr>
          <w:rFonts w:ascii="Verdana" w:hAnsi="Verdana"/>
          <w:i/>
          <w:sz w:val="20"/>
          <w:szCs w:val="20"/>
        </w:rPr>
        <w:t>Пъблик</w:t>
      </w:r>
      <w:proofErr w:type="spellEnd"/>
      <w:r w:rsidR="00937B75" w:rsidRPr="00BD61F8">
        <w:rPr>
          <w:rFonts w:ascii="Verdana" w:hAnsi="Verdana"/>
          <w:i/>
          <w:sz w:val="20"/>
          <w:szCs w:val="20"/>
        </w:rPr>
        <w:t xml:space="preserve"> Мениджмънт </w:t>
      </w:r>
      <w:proofErr w:type="spellStart"/>
      <w:r w:rsidR="00937B75" w:rsidRPr="00BD61F8">
        <w:rPr>
          <w:rFonts w:ascii="Verdana" w:hAnsi="Verdana"/>
          <w:i/>
          <w:sz w:val="20"/>
          <w:szCs w:val="20"/>
        </w:rPr>
        <w:t>Кънсалтинг</w:t>
      </w:r>
      <w:proofErr w:type="spellEnd"/>
      <w:r w:rsidR="00937B75" w:rsidRPr="00BD61F8">
        <w:rPr>
          <w:rFonts w:ascii="Verdana" w:hAnsi="Verdana"/>
          <w:i/>
          <w:sz w:val="20"/>
          <w:szCs w:val="20"/>
        </w:rPr>
        <w:t xml:space="preserve"> Груп и Партньори”</w:t>
      </w:r>
    </w:p>
    <w:p w:rsidR="00B414E6" w:rsidRPr="00B45B4F" w:rsidRDefault="00B414E6" w:rsidP="005D346A">
      <w:pPr>
        <w:pStyle w:val="BodyText"/>
        <w:tabs>
          <w:tab w:val="left" w:pos="0"/>
          <w:tab w:val="right" w:pos="9214"/>
        </w:tabs>
        <w:spacing w:after="0" w:line="276" w:lineRule="auto"/>
        <w:rPr>
          <w:rFonts w:ascii="Verdana" w:hAnsi="Verdana"/>
          <w:i/>
          <w:sz w:val="20"/>
          <w:szCs w:val="20"/>
        </w:rPr>
      </w:pPr>
    </w:p>
    <w:p w:rsidR="00B414E6" w:rsidRPr="00B45B4F" w:rsidRDefault="00B414E6" w:rsidP="00B414E6">
      <w:pPr>
        <w:pStyle w:val="BodyText"/>
        <w:tabs>
          <w:tab w:val="left" w:pos="0"/>
          <w:tab w:val="right" w:pos="9214"/>
        </w:tabs>
        <w:spacing w:after="0" w:line="276" w:lineRule="auto"/>
        <w:jc w:val="both"/>
        <w:rPr>
          <w:rFonts w:ascii="Verdana" w:hAnsi="Verdana"/>
          <w:sz w:val="20"/>
          <w:szCs w:val="20"/>
        </w:rPr>
      </w:pPr>
      <w:r w:rsidRPr="00B45B4F">
        <w:rPr>
          <w:rFonts w:ascii="Verdana" w:hAnsi="Verdana"/>
          <w:sz w:val="20"/>
          <w:szCs w:val="20"/>
        </w:rPr>
        <w:t xml:space="preserve">Отправените препоръки по отношение на темите, които влизат в обхвата на ОПНОИР </w:t>
      </w:r>
      <w:r w:rsidR="005106CE" w:rsidRPr="00B45B4F">
        <w:rPr>
          <w:rFonts w:ascii="Verdana" w:hAnsi="Verdana"/>
          <w:sz w:val="20"/>
          <w:szCs w:val="20"/>
        </w:rPr>
        <w:t>2014–2020</w:t>
      </w:r>
      <w:r w:rsidRPr="00B45B4F">
        <w:rPr>
          <w:rFonts w:ascii="Verdana" w:hAnsi="Verdana"/>
          <w:sz w:val="20"/>
          <w:szCs w:val="20"/>
        </w:rPr>
        <w:t xml:space="preserve"> г. </w:t>
      </w:r>
      <w:r w:rsidR="00BF1F0F" w:rsidRPr="00B45B4F">
        <w:rPr>
          <w:rFonts w:ascii="Verdana" w:hAnsi="Verdana"/>
          <w:sz w:val="20"/>
          <w:szCs w:val="20"/>
        </w:rPr>
        <w:t xml:space="preserve">и </w:t>
      </w:r>
      <w:r w:rsidR="008F5AFD" w:rsidRPr="00B45B4F">
        <w:rPr>
          <w:rFonts w:ascii="Verdana" w:hAnsi="Verdana"/>
          <w:sz w:val="20"/>
          <w:szCs w:val="20"/>
        </w:rPr>
        <w:t xml:space="preserve">имащи отношение към програмирането </w:t>
      </w:r>
      <w:r w:rsidR="00BF1F0F" w:rsidRPr="00B45B4F">
        <w:rPr>
          <w:rFonts w:ascii="Verdana" w:hAnsi="Verdana"/>
          <w:sz w:val="20"/>
          <w:szCs w:val="20"/>
        </w:rPr>
        <w:t xml:space="preserve">на програмата </w:t>
      </w:r>
      <w:r w:rsidRPr="00B45B4F">
        <w:rPr>
          <w:rFonts w:ascii="Verdana" w:hAnsi="Verdana"/>
          <w:sz w:val="20"/>
          <w:szCs w:val="20"/>
        </w:rPr>
        <w:t>са коментирани в таблицата по-долу:</w:t>
      </w:r>
    </w:p>
    <w:p w:rsidR="005D346A" w:rsidRDefault="005D346A" w:rsidP="00B414E6">
      <w:pPr>
        <w:pStyle w:val="BodyText"/>
        <w:tabs>
          <w:tab w:val="left" w:pos="0"/>
          <w:tab w:val="right" w:pos="9214"/>
        </w:tabs>
        <w:spacing w:after="0" w:line="276" w:lineRule="auto"/>
        <w:ind w:left="720"/>
        <w:jc w:val="both"/>
        <w:rPr>
          <w:rFonts w:ascii="Verdana" w:hAnsi="Verdana"/>
          <w:sz w:val="20"/>
          <w:szCs w:val="20"/>
        </w:rPr>
      </w:pPr>
    </w:p>
    <w:p w:rsidR="00666C98" w:rsidRDefault="00666C98" w:rsidP="00B414E6">
      <w:pPr>
        <w:pStyle w:val="BodyText"/>
        <w:tabs>
          <w:tab w:val="left" w:pos="0"/>
          <w:tab w:val="right" w:pos="9214"/>
        </w:tabs>
        <w:spacing w:after="0" w:line="276" w:lineRule="auto"/>
        <w:ind w:left="720"/>
        <w:jc w:val="both"/>
        <w:rPr>
          <w:rFonts w:ascii="Verdana" w:hAnsi="Verdana"/>
          <w:sz w:val="20"/>
          <w:szCs w:val="20"/>
        </w:rPr>
      </w:pPr>
    </w:p>
    <w:p w:rsidR="00666C98" w:rsidRDefault="00666C98" w:rsidP="00B414E6">
      <w:pPr>
        <w:pStyle w:val="BodyText"/>
        <w:tabs>
          <w:tab w:val="left" w:pos="0"/>
          <w:tab w:val="right" w:pos="9214"/>
        </w:tabs>
        <w:spacing w:after="0" w:line="276" w:lineRule="auto"/>
        <w:ind w:left="720"/>
        <w:jc w:val="both"/>
        <w:rPr>
          <w:rFonts w:ascii="Verdana" w:hAnsi="Verdana"/>
          <w:sz w:val="20"/>
          <w:szCs w:val="20"/>
        </w:rPr>
      </w:pPr>
    </w:p>
    <w:p w:rsidR="00666C98" w:rsidRDefault="00666C98" w:rsidP="00B414E6">
      <w:pPr>
        <w:pStyle w:val="BodyText"/>
        <w:tabs>
          <w:tab w:val="left" w:pos="0"/>
          <w:tab w:val="right" w:pos="9214"/>
        </w:tabs>
        <w:spacing w:after="0" w:line="276" w:lineRule="auto"/>
        <w:ind w:left="720"/>
        <w:jc w:val="both"/>
        <w:rPr>
          <w:rFonts w:ascii="Verdana" w:hAnsi="Verdana"/>
          <w:sz w:val="20"/>
          <w:szCs w:val="20"/>
        </w:rPr>
      </w:pPr>
    </w:p>
    <w:p w:rsidR="00666C98" w:rsidRDefault="00666C98" w:rsidP="00B414E6">
      <w:pPr>
        <w:pStyle w:val="BodyText"/>
        <w:tabs>
          <w:tab w:val="left" w:pos="0"/>
          <w:tab w:val="right" w:pos="9214"/>
        </w:tabs>
        <w:spacing w:after="0" w:line="276" w:lineRule="auto"/>
        <w:ind w:left="720"/>
        <w:jc w:val="both"/>
        <w:rPr>
          <w:rFonts w:ascii="Verdana" w:hAnsi="Verdana"/>
          <w:sz w:val="20"/>
          <w:szCs w:val="20"/>
        </w:rPr>
      </w:pPr>
    </w:p>
    <w:p w:rsidR="00666C98" w:rsidRDefault="00666C98" w:rsidP="00B414E6">
      <w:pPr>
        <w:pStyle w:val="BodyText"/>
        <w:tabs>
          <w:tab w:val="left" w:pos="0"/>
          <w:tab w:val="right" w:pos="9214"/>
        </w:tabs>
        <w:spacing w:after="0" w:line="276" w:lineRule="auto"/>
        <w:ind w:left="720"/>
        <w:jc w:val="both"/>
        <w:rPr>
          <w:rFonts w:ascii="Verdana" w:hAnsi="Verdana"/>
          <w:sz w:val="20"/>
          <w:szCs w:val="20"/>
        </w:rPr>
      </w:pPr>
    </w:p>
    <w:p w:rsidR="00666C98" w:rsidRDefault="00666C98" w:rsidP="00B414E6">
      <w:pPr>
        <w:pStyle w:val="BodyText"/>
        <w:tabs>
          <w:tab w:val="left" w:pos="0"/>
          <w:tab w:val="right" w:pos="9214"/>
        </w:tabs>
        <w:spacing w:after="0" w:line="276" w:lineRule="auto"/>
        <w:ind w:left="720"/>
        <w:jc w:val="both"/>
        <w:rPr>
          <w:rFonts w:ascii="Verdana" w:hAnsi="Verdana"/>
          <w:sz w:val="20"/>
          <w:szCs w:val="20"/>
        </w:rPr>
      </w:pPr>
    </w:p>
    <w:p w:rsidR="00666C98" w:rsidRDefault="00666C98" w:rsidP="00B414E6">
      <w:pPr>
        <w:pStyle w:val="BodyText"/>
        <w:tabs>
          <w:tab w:val="left" w:pos="0"/>
          <w:tab w:val="right" w:pos="9214"/>
        </w:tabs>
        <w:spacing w:after="0" w:line="276" w:lineRule="auto"/>
        <w:ind w:left="720"/>
        <w:jc w:val="both"/>
        <w:rPr>
          <w:rFonts w:ascii="Verdana" w:hAnsi="Verdana"/>
          <w:sz w:val="20"/>
          <w:szCs w:val="20"/>
        </w:rPr>
      </w:pPr>
    </w:p>
    <w:p w:rsidR="00666C98" w:rsidRPr="00B45B4F" w:rsidRDefault="00666C98" w:rsidP="00B414E6">
      <w:pPr>
        <w:pStyle w:val="BodyText"/>
        <w:tabs>
          <w:tab w:val="left" w:pos="0"/>
          <w:tab w:val="right" w:pos="9214"/>
        </w:tabs>
        <w:spacing w:after="0" w:line="276" w:lineRule="auto"/>
        <w:ind w:left="720"/>
        <w:jc w:val="both"/>
        <w:rPr>
          <w:rFonts w:ascii="Verdana" w:hAnsi="Verdana"/>
          <w:sz w:val="20"/>
          <w:szCs w:val="20"/>
        </w:rPr>
      </w:pPr>
    </w:p>
    <w:p w:rsidR="00B414E6" w:rsidRPr="00B45B4F" w:rsidRDefault="00B414E6" w:rsidP="00AA14AB">
      <w:pPr>
        <w:pStyle w:val="Caption"/>
        <w:spacing w:after="120"/>
        <w:rPr>
          <w:rFonts w:ascii="Verdana" w:hAnsi="Verdana"/>
          <w:color w:val="548DD4" w:themeColor="text2" w:themeTint="99"/>
        </w:rPr>
      </w:pPr>
      <w:bookmarkStart w:id="105" w:name="_Toc373747270"/>
      <w:bookmarkStart w:id="106" w:name="_Toc381712209"/>
      <w:bookmarkStart w:id="107" w:name="_Toc395612587"/>
      <w:r w:rsidRPr="00B45B4F">
        <w:rPr>
          <w:rFonts w:ascii="Verdana" w:hAnsi="Verdana"/>
          <w:color w:val="548DD4" w:themeColor="text2" w:themeTint="99"/>
        </w:rPr>
        <w:lastRenderedPageBreak/>
        <w:t xml:space="preserve">Таблица </w:t>
      </w:r>
      <w:r w:rsidR="00BF1936" w:rsidRPr="00B45B4F">
        <w:rPr>
          <w:rFonts w:ascii="Verdana" w:hAnsi="Verdana"/>
          <w:color w:val="548DD4" w:themeColor="text2" w:themeTint="99"/>
        </w:rPr>
        <w:fldChar w:fldCharType="begin"/>
      </w:r>
      <w:r w:rsidRPr="00B45B4F">
        <w:rPr>
          <w:rFonts w:ascii="Verdana" w:hAnsi="Verdana"/>
          <w:color w:val="548DD4" w:themeColor="text2" w:themeTint="99"/>
        </w:rPr>
        <w:instrText xml:space="preserve"> SEQ таблица \* ARABIC </w:instrText>
      </w:r>
      <w:r w:rsidR="00BF1936" w:rsidRPr="00B45B4F">
        <w:rPr>
          <w:rFonts w:ascii="Verdana" w:hAnsi="Verdana"/>
          <w:color w:val="548DD4" w:themeColor="text2" w:themeTint="99"/>
        </w:rPr>
        <w:fldChar w:fldCharType="separate"/>
      </w:r>
      <w:r w:rsidR="001361E0">
        <w:rPr>
          <w:rFonts w:ascii="Verdana" w:hAnsi="Verdana"/>
          <w:noProof/>
          <w:color w:val="548DD4" w:themeColor="text2" w:themeTint="99"/>
        </w:rPr>
        <w:t>31</w:t>
      </w:r>
      <w:r w:rsidR="00BF1936" w:rsidRPr="00B45B4F">
        <w:rPr>
          <w:rFonts w:ascii="Verdana" w:hAnsi="Verdana"/>
          <w:color w:val="548DD4" w:themeColor="text2" w:themeTint="99"/>
        </w:rPr>
        <w:fldChar w:fldCharType="end"/>
      </w:r>
      <w:r w:rsidRPr="00B45B4F">
        <w:rPr>
          <w:rFonts w:ascii="Verdana" w:hAnsi="Verdana"/>
          <w:color w:val="548DD4" w:themeColor="text2" w:themeTint="99"/>
        </w:rPr>
        <w:t xml:space="preserve">. Препоръки по отношение на темите, които са в обхвата на ОПНОИР </w:t>
      </w:r>
      <w:r w:rsidR="005106CE" w:rsidRPr="00B45B4F">
        <w:rPr>
          <w:rFonts w:ascii="Verdana" w:hAnsi="Verdana"/>
          <w:color w:val="548DD4" w:themeColor="text2" w:themeTint="99"/>
        </w:rPr>
        <w:t>2014–2020</w:t>
      </w:r>
      <w:bookmarkEnd w:id="105"/>
      <w:bookmarkEnd w:id="106"/>
      <w:r w:rsidRPr="00B45B4F">
        <w:rPr>
          <w:rFonts w:ascii="Verdana" w:hAnsi="Verdana"/>
          <w:color w:val="548DD4" w:themeColor="text2" w:themeTint="99"/>
        </w:rPr>
        <w:t xml:space="preserve"> г.</w:t>
      </w:r>
      <w:bookmarkEnd w:id="107"/>
    </w:p>
    <w:tbl>
      <w:tblPr>
        <w:tblStyle w:val="TableGrid"/>
        <w:tblW w:w="9090" w:type="dxa"/>
        <w:tblInd w:w="108" w:type="dxa"/>
        <w:tblBorders>
          <w:top w:val="single" w:sz="8" w:space="0" w:color="17365D"/>
          <w:left w:val="single" w:sz="8" w:space="0" w:color="17365D"/>
          <w:bottom w:val="single" w:sz="8" w:space="0" w:color="17365D"/>
          <w:right w:val="single" w:sz="8" w:space="0" w:color="17365D"/>
          <w:insideH w:val="single" w:sz="8" w:space="0" w:color="17365D"/>
          <w:insideV w:val="single" w:sz="8" w:space="0" w:color="17365D"/>
        </w:tblBorders>
        <w:tblLook w:val="04A0" w:firstRow="1" w:lastRow="0" w:firstColumn="1" w:lastColumn="0" w:noHBand="0" w:noVBand="1"/>
      </w:tblPr>
      <w:tblGrid>
        <w:gridCol w:w="4860"/>
        <w:gridCol w:w="4230"/>
      </w:tblGrid>
      <w:tr w:rsidR="00B414E6" w:rsidRPr="00D84F40" w:rsidTr="002E567A">
        <w:tc>
          <w:tcPr>
            <w:tcW w:w="4860" w:type="dxa"/>
            <w:shd w:val="clear" w:color="auto" w:fill="548DD4" w:themeFill="text2" w:themeFillTint="99"/>
            <w:vAlign w:val="center"/>
          </w:tcPr>
          <w:p w:rsidR="00B414E6" w:rsidRPr="00937B75" w:rsidRDefault="00B414E6" w:rsidP="00145806">
            <w:pPr>
              <w:pStyle w:val="BodyText"/>
              <w:tabs>
                <w:tab w:val="left" w:pos="0"/>
                <w:tab w:val="right" w:pos="9214"/>
              </w:tabs>
              <w:spacing w:line="276" w:lineRule="auto"/>
              <w:jc w:val="center"/>
              <w:rPr>
                <w:rFonts w:ascii="Verdana" w:hAnsi="Verdana"/>
                <w:b/>
                <w:color w:val="FFFFFF" w:themeColor="background1"/>
                <w:sz w:val="18"/>
                <w:szCs w:val="18"/>
              </w:rPr>
            </w:pPr>
            <w:r w:rsidRPr="00937B75">
              <w:rPr>
                <w:rFonts w:ascii="Verdana" w:hAnsi="Verdana"/>
                <w:b/>
                <w:color w:val="FFFFFF" w:themeColor="background1"/>
                <w:sz w:val="18"/>
                <w:szCs w:val="18"/>
              </w:rPr>
              <w:t>Препоръки</w:t>
            </w:r>
          </w:p>
        </w:tc>
        <w:tc>
          <w:tcPr>
            <w:tcW w:w="4230" w:type="dxa"/>
            <w:shd w:val="clear" w:color="auto" w:fill="548DD4" w:themeFill="text2" w:themeFillTint="99"/>
            <w:vAlign w:val="center"/>
          </w:tcPr>
          <w:p w:rsidR="00B414E6" w:rsidRPr="00937B75" w:rsidRDefault="00B414E6" w:rsidP="00145806">
            <w:pPr>
              <w:pStyle w:val="BodyText"/>
              <w:tabs>
                <w:tab w:val="left" w:pos="0"/>
                <w:tab w:val="right" w:pos="9214"/>
              </w:tabs>
              <w:spacing w:line="276" w:lineRule="auto"/>
              <w:jc w:val="center"/>
              <w:rPr>
                <w:rFonts w:ascii="Verdana" w:hAnsi="Verdana"/>
                <w:b/>
                <w:color w:val="FFFFFF" w:themeColor="background1"/>
                <w:sz w:val="18"/>
                <w:szCs w:val="18"/>
              </w:rPr>
            </w:pPr>
            <w:r w:rsidRPr="00937B75">
              <w:rPr>
                <w:rFonts w:ascii="Verdana" w:hAnsi="Verdana"/>
                <w:b/>
                <w:color w:val="FFFFFF" w:themeColor="background1"/>
                <w:sz w:val="18"/>
                <w:szCs w:val="18"/>
              </w:rPr>
              <w:t xml:space="preserve">Коментар и приложение в ОПНОИР </w:t>
            </w:r>
            <w:r w:rsidR="005106CE" w:rsidRPr="00937B75">
              <w:rPr>
                <w:rFonts w:ascii="Verdana" w:hAnsi="Verdana"/>
                <w:b/>
                <w:color w:val="FFFFFF" w:themeColor="background1"/>
                <w:sz w:val="18"/>
                <w:szCs w:val="18"/>
              </w:rPr>
              <w:t>2014–2020</w:t>
            </w:r>
            <w:r w:rsidRPr="00937B75">
              <w:rPr>
                <w:rFonts w:ascii="Verdana" w:hAnsi="Verdana"/>
                <w:b/>
                <w:color w:val="FFFFFF" w:themeColor="background1"/>
                <w:sz w:val="18"/>
                <w:szCs w:val="18"/>
              </w:rPr>
              <w:t>г.</w:t>
            </w:r>
          </w:p>
        </w:tc>
      </w:tr>
      <w:tr w:rsidR="00B414E6" w:rsidRPr="00B45B4F" w:rsidTr="002E567A">
        <w:tc>
          <w:tcPr>
            <w:tcW w:w="9090" w:type="dxa"/>
            <w:gridSpan w:val="2"/>
            <w:shd w:val="clear" w:color="auto" w:fill="FABF8F" w:themeFill="accent6" w:themeFillTint="99"/>
          </w:tcPr>
          <w:p w:rsidR="00B414E6" w:rsidRPr="00937B75" w:rsidRDefault="007D75CF" w:rsidP="00937B75">
            <w:pPr>
              <w:pStyle w:val="BodyText"/>
              <w:tabs>
                <w:tab w:val="left" w:pos="0"/>
                <w:tab w:val="right" w:pos="9214"/>
              </w:tabs>
              <w:spacing w:line="276" w:lineRule="auto"/>
              <w:jc w:val="both"/>
              <w:rPr>
                <w:rFonts w:ascii="Verdana" w:hAnsi="Verdana"/>
                <w:sz w:val="18"/>
                <w:szCs w:val="18"/>
              </w:rPr>
            </w:pPr>
            <w:r w:rsidRPr="00937B75">
              <w:rPr>
                <w:rFonts w:ascii="Verdana" w:hAnsi="Verdana"/>
                <w:i/>
                <w:sz w:val="18"/>
                <w:szCs w:val="18"/>
              </w:rPr>
              <w:t xml:space="preserve">Оценка на реализирания напредък по 6 схеми от </w:t>
            </w:r>
            <w:r w:rsidR="009F6245" w:rsidRPr="00937B75">
              <w:rPr>
                <w:rFonts w:ascii="Verdana" w:hAnsi="Verdana"/>
                <w:i/>
                <w:sz w:val="18"/>
                <w:szCs w:val="18"/>
              </w:rPr>
              <w:t>ОПРЧР</w:t>
            </w:r>
            <w:r w:rsidRPr="00937B75">
              <w:rPr>
                <w:rFonts w:ascii="Verdana" w:hAnsi="Verdana"/>
                <w:i/>
                <w:sz w:val="18"/>
                <w:szCs w:val="18"/>
              </w:rPr>
              <w:t xml:space="preserve"> 2007-2010 г</w:t>
            </w:r>
            <w:r w:rsidR="00937B75">
              <w:rPr>
                <w:rFonts w:ascii="Verdana" w:hAnsi="Verdana"/>
                <w:i/>
                <w:sz w:val="18"/>
                <w:szCs w:val="18"/>
              </w:rPr>
              <w:t>.</w:t>
            </w:r>
          </w:p>
        </w:tc>
      </w:tr>
      <w:tr w:rsidR="005D346A" w:rsidRPr="00B45B4F" w:rsidTr="002E567A">
        <w:trPr>
          <w:trHeight w:val="1399"/>
        </w:trPr>
        <w:tc>
          <w:tcPr>
            <w:tcW w:w="4860" w:type="dxa"/>
          </w:tcPr>
          <w:p w:rsidR="005D346A" w:rsidRPr="00937B75" w:rsidRDefault="00BF1F0F" w:rsidP="003B078D">
            <w:pPr>
              <w:pStyle w:val="Default"/>
              <w:spacing w:after="120" w:line="276" w:lineRule="auto"/>
              <w:rPr>
                <w:rFonts w:ascii="Verdana" w:hAnsi="Verdana"/>
                <w:sz w:val="18"/>
                <w:szCs w:val="18"/>
                <w:lang w:val="bg-BG"/>
              </w:rPr>
            </w:pPr>
            <w:r w:rsidRPr="00937B75">
              <w:rPr>
                <w:rFonts w:ascii="Verdana" w:hAnsi="Verdana"/>
                <w:sz w:val="18"/>
                <w:szCs w:val="18"/>
                <w:lang w:val="bg-BG"/>
              </w:rPr>
              <w:t>Отправени редица препоръки, които касаят административен капацитет за изпълнение и намаляване на административната тежест, включително</w:t>
            </w:r>
            <w:r w:rsidR="00D737F0">
              <w:rPr>
                <w:rFonts w:ascii="Verdana" w:hAnsi="Verdana"/>
                <w:sz w:val="18"/>
                <w:szCs w:val="18"/>
                <w:lang w:val="bg-BG"/>
              </w:rPr>
              <w:t xml:space="preserve"> </w:t>
            </w:r>
            <w:r w:rsidRPr="00937B75">
              <w:rPr>
                <w:rFonts w:ascii="Verdana" w:hAnsi="Verdana"/>
                <w:sz w:val="18"/>
                <w:szCs w:val="18"/>
                <w:lang w:val="bg-BG"/>
              </w:rPr>
              <w:t>опростяване на процедури, електронни документи, разработв</w:t>
            </w:r>
            <w:r w:rsidR="00A14951" w:rsidRPr="00937B75">
              <w:rPr>
                <w:rFonts w:ascii="Verdana" w:hAnsi="Verdana"/>
                <w:sz w:val="18"/>
                <w:szCs w:val="18"/>
                <w:lang w:val="bg-BG"/>
              </w:rPr>
              <w:t>ане на ясни указания и правила.</w:t>
            </w:r>
          </w:p>
        </w:tc>
        <w:tc>
          <w:tcPr>
            <w:tcW w:w="4230" w:type="dxa"/>
          </w:tcPr>
          <w:p w:rsidR="005D346A" w:rsidRPr="00937B75" w:rsidRDefault="006B14C7" w:rsidP="006B14C7">
            <w:pPr>
              <w:autoSpaceDE w:val="0"/>
              <w:autoSpaceDN w:val="0"/>
              <w:adjustRightInd w:val="0"/>
              <w:spacing w:after="120"/>
              <w:jc w:val="both"/>
              <w:rPr>
                <w:rFonts w:ascii="Verdana" w:hAnsi="Verdana"/>
                <w:color w:val="000000"/>
                <w:sz w:val="18"/>
                <w:szCs w:val="18"/>
                <w:lang w:val="bg-BG" w:eastAsia="bg-BG"/>
              </w:rPr>
            </w:pPr>
            <w:r>
              <w:rPr>
                <w:rFonts w:ascii="Verdana" w:hAnsi="Verdana"/>
                <w:color w:val="000000"/>
                <w:sz w:val="18"/>
                <w:szCs w:val="18"/>
                <w:lang w:val="bg-BG" w:eastAsia="bg-BG"/>
              </w:rPr>
              <w:t>Препоръките са п</w:t>
            </w:r>
            <w:r w:rsidR="00BF1F0F" w:rsidRPr="00937B75">
              <w:rPr>
                <w:rFonts w:ascii="Verdana" w:hAnsi="Verdana"/>
                <w:color w:val="000000"/>
                <w:sz w:val="18"/>
                <w:szCs w:val="18"/>
                <w:lang w:val="bg-BG" w:eastAsia="bg-BG"/>
              </w:rPr>
              <w:t>риложими с цел повишаване на капацитета за управление и изпълнение на програмата</w:t>
            </w:r>
          </w:p>
        </w:tc>
      </w:tr>
      <w:tr w:rsidR="005D346A" w:rsidRPr="00B45B4F" w:rsidTr="002E567A">
        <w:tc>
          <w:tcPr>
            <w:tcW w:w="4860" w:type="dxa"/>
          </w:tcPr>
          <w:p w:rsidR="005D346A" w:rsidRPr="00937B75" w:rsidRDefault="00BF1F0F" w:rsidP="003B078D">
            <w:pPr>
              <w:pStyle w:val="Default"/>
              <w:spacing w:after="120" w:line="276" w:lineRule="auto"/>
              <w:rPr>
                <w:rFonts w:ascii="Verdana" w:hAnsi="Verdana"/>
                <w:sz w:val="18"/>
                <w:szCs w:val="18"/>
                <w:lang w:val="bg-BG"/>
              </w:rPr>
            </w:pPr>
            <w:r w:rsidRPr="00937B75">
              <w:rPr>
                <w:rFonts w:ascii="Verdana" w:hAnsi="Verdana"/>
                <w:sz w:val="18"/>
                <w:szCs w:val="18"/>
                <w:lang w:val="bg-BG" w:eastAsia="bg-BG"/>
              </w:rPr>
              <w:t>Да се отчетат спецификите на научните области и да се стимулират повече научни експерименти с практическа приложимост;</w:t>
            </w:r>
          </w:p>
        </w:tc>
        <w:tc>
          <w:tcPr>
            <w:tcW w:w="4230" w:type="dxa"/>
          </w:tcPr>
          <w:p w:rsidR="005D346A" w:rsidRPr="00937B75" w:rsidRDefault="00BF1F0F" w:rsidP="003B078D">
            <w:pPr>
              <w:autoSpaceDE w:val="0"/>
              <w:autoSpaceDN w:val="0"/>
              <w:adjustRightInd w:val="0"/>
              <w:spacing w:after="120"/>
              <w:jc w:val="both"/>
              <w:rPr>
                <w:rFonts w:ascii="Verdana" w:hAnsi="Verdana"/>
                <w:color w:val="000000"/>
                <w:sz w:val="18"/>
                <w:szCs w:val="18"/>
                <w:lang w:val="bg-BG" w:eastAsia="bg-BG"/>
              </w:rPr>
            </w:pPr>
            <w:r w:rsidRPr="00937B75">
              <w:rPr>
                <w:rFonts w:ascii="Verdana" w:hAnsi="Verdana"/>
                <w:color w:val="000000"/>
                <w:sz w:val="18"/>
                <w:szCs w:val="18"/>
                <w:lang w:val="bg-BG" w:eastAsia="bg-BG"/>
              </w:rPr>
              <w:t>Уместна. Взета предвид в ОПНОИР чрез подкрепата за насърчаване на приложните изследвания</w:t>
            </w:r>
            <w:r w:rsidR="006B14C7">
              <w:rPr>
                <w:rFonts w:ascii="Verdana" w:hAnsi="Verdana"/>
                <w:color w:val="000000"/>
                <w:sz w:val="18"/>
                <w:szCs w:val="18"/>
                <w:lang w:val="bg-BG" w:eastAsia="bg-BG"/>
              </w:rPr>
              <w:t>.</w:t>
            </w:r>
          </w:p>
        </w:tc>
      </w:tr>
      <w:tr w:rsidR="005D346A" w:rsidRPr="00B45B4F" w:rsidTr="002E567A">
        <w:tc>
          <w:tcPr>
            <w:tcW w:w="4860" w:type="dxa"/>
          </w:tcPr>
          <w:p w:rsidR="005D346A" w:rsidRPr="00937B75" w:rsidRDefault="00D80272" w:rsidP="003B078D">
            <w:pPr>
              <w:pStyle w:val="Default"/>
              <w:spacing w:after="120" w:line="276" w:lineRule="auto"/>
              <w:rPr>
                <w:rFonts w:ascii="Verdana" w:hAnsi="Verdana"/>
                <w:sz w:val="18"/>
                <w:szCs w:val="18"/>
                <w:lang w:val="bg-BG"/>
              </w:rPr>
            </w:pPr>
            <w:r w:rsidRPr="00937B75">
              <w:rPr>
                <w:rFonts w:ascii="Verdana" w:hAnsi="Verdana"/>
                <w:sz w:val="18"/>
                <w:szCs w:val="18"/>
                <w:lang w:val="bg-BG" w:eastAsia="bg-BG"/>
              </w:rPr>
              <w:t>Да продължи да се стимулира включването на докторанти в научни изследвания;</w:t>
            </w:r>
          </w:p>
        </w:tc>
        <w:tc>
          <w:tcPr>
            <w:tcW w:w="4230" w:type="dxa"/>
          </w:tcPr>
          <w:p w:rsidR="005D346A" w:rsidRPr="00937B75" w:rsidRDefault="00D80272" w:rsidP="003B078D">
            <w:pPr>
              <w:autoSpaceDE w:val="0"/>
              <w:autoSpaceDN w:val="0"/>
              <w:adjustRightInd w:val="0"/>
              <w:spacing w:after="120"/>
              <w:jc w:val="both"/>
              <w:rPr>
                <w:rFonts w:ascii="Verdana" w:hAnsi="Verdana"/>
                <w:color w:val="000000"/>
                <w:sz w:val="18"/>
                <w:szCs w:val="18"/>
                <w:lang w:val="bg-BG" w:eastAsia="bg-BG"/>
              </w:rPr>
            </w:pPr>
            <w:r w:rsidRPr="00937B75">
              <w:rPr>
                <w:rFonts w:ascii="Verdana" w:hAnsi="Verdana"/>
                <w:color w:val="000000"/>
                <w:sz w:val="18"/>
                <w:szCs w:val="18"/>
                <w:lang w:val="bg-BG" w:eastAsia="bg-BG"/>
              </w:rPr>
              <w:t>Уместна. Във варианта на програмата от януари 2014 няма ясно разписани дейности за насърчаване участието на докторанти в научни изследвания.</w:t>
            </w:r>
          </w:p>
        </w:tc>
      </w:tr>
      <w:tr w:rsidR="005D346A" w:rsidRPr="00B45B4F" w:rsidTr="002E567A">
        <w:tc>
          <w:tcPr>
            <w:tcW w:w="4860" w:type="dxa"/>
          </w:tcPr>
          <w:p w:rsidR="005D346A" w:rsidRPr="00937B75" w:rsidRDefault="00D80272" w:rsidP="003B078D">
            <w:pPr>
              <w:pStyle w:val="Default"/>
              <w:spacing w:after="120" w:line="276" w:lineRule="auto"/>
              <w:rPr>
                <w:rFonts w:ascii="Verdana" w:hAnsi="Verdana"/>
                <w:sz w:val="18"/>
                <w:szCs w:val="18"/>
                <w:lang w:val="bg-BG"/>
              </w:rPr>
            </w:pPr>
            <w:r w:rsidRPr="00937B75">
              <w:rPr>
                <w:rFonts w:ascii="Verdana" w:hAnsi="Verdana"/>
                <w:sz w:val="18"/>
                <w:szCs w:val="18"/>
                <w:lang w:val="bg-BG" w:eastAsia="bg-BG"/>
              </w:rPr>
              <w:t>Да продължи трансфер на знания и опит, като се подпомага съвместни научни задачи между български и международни научни центрове и участието в международни конференции.</w:t>
            </w:r>
          </w:p>
        </w:tc>
        <w:tc>
          <w:tcPr>
            <w:tcW w:w="4230" w:type="dxa"/>
          </w:tcPr>
          <w:p w:rsidR="005D346A" w:rsidRPr="00937B75" w:rsidRDefault="00D80272" w:rsidP="003B078D">
            <w:pPr>
              <w:autoSpaceDE w:val="0"/>
              <w:autoSpaceDN w:val="0"/>
              <w:adjustRightInd w:val="0"/>
              <w:spacing w:after="120"/>
              <w:jc w:val="both"/>
              <w:rPr>
                <w:rFonts w:ascii="Verdana" w:hAnsi="Verdana"/>
                <w:color w:val="000000"/>
                <w:sz w:val="18"/>
                <w:szCs w:val="18"/>
                <w:lang w:val="bg-BG" w:eastAsia="bg-BG"/>
              </w:rPr>
            </w:pPr>
            <w:r w:rsidRPr="00937B75">
              <w:rPr>
                <w:rFonts w:ascii="Verdana" w:hAnsi="Verdana"/>
                <w:color w:val="000000"/>
                <w:sz w:val="18"/>
                <w:szCs w:val="18"/>
                <w:lang w:val="bg-BG" w:eastAsia="bg-BG"/>
              </w:rPr>
              <w:t>Уместна. Отразена е в предвидената подкрепа по ОПНОИР.</w:t>
            </w:r>
          </w:p>
        </w:tc>
      </w:tr>
      <w:tr w:rsidR="005D346A" w:rsidRPr="00B45B4F" w:rsidTr="002E567A">
        <w:tc>
          <w:tcPr>
            <w:tcW w:w="4860" w:type="dxa"/>
          </w:tcPr>
          <w:p w:rsidR="005D346A" w:rsidRPr="00937B75" w:rsidRDefault="00D80272" w:rsidP="003B078D">
            <w:pPr>
              <w:autoSpaceDE w:val="0"/>
              <w:autoSpaceDN w:val="0"/>
              <w:adjustRightInd w:val="0"/>
              <w:spacing w:after="120"/>
              <w:rPr>
                <w:rFonts w:ascii="Verdana" w:hAnsi="Verdana"/>
                <w:sz w:val="18"/>
                <w:szCs w:val="18"/>
                <w:lang w:val="bg-BG"/>
              </w:rPr>
            </w:pPr>
            <w:r w:rsidRPr="00937B75">
              <w:rPr>
                <w:rFonts w:ascii="Verdana" w:hAnsi="Verdana"/>
                <w:sz w:val="18"/>
                <w:szCs w:val="18"/>
                <w:lang w:val="bg-BG" w:eastAsia="bg-BG"/>
              </w:rPr>
              <w:t>Да се направят проучвания на потребностите за включване на децата и учениците от етническите малцинства в учебния процес по населени места и за социално интегриране на деца в предучилищна възраст.</w:t>
            </w:r>
          </w:p>
        </w:tc>
        <w:tc>
          <w:tcPr>
            <w:tcW w:w="4230" w:type="dxa"/>
          </w:tcPr>
          <w:p w:rsidR="005D346A" w:rsidRPr="00937B75" w:rsidRDefault="00D80272" w:rsidP="003B078D">
            <w:pPr>
              <w:autoSpaceDE w:val="0"/>
              <w:autoSpaceDN w:val="0"/>
              <w:adjustRightInd w:val="0"/>
              <w:spacing w:after="120"/>
              <w:jc w:val="both"/>
              <w:rPr>
                <w:rFonts w:ascii="Verdana" w:hAnsi="Verdana"/>
                <w:color w:val="000000"/>
                <w:sz w:val="18"/>
                <w:szCs w:val="18"/>
                <w:lang w:val="bg-BG" w:eastAsia="bg-BG"/>
              </w:rPr>
            </w:pPr>
            <w:r w:rsidRPr="00937B75">
              <w:rPr>
                <w:rFonts w:ascii="Verdana" w:hAnsi="Verdana"/>
                <w:color w:val="000000"/>
                <w:sz w:val="18"/>
                <w:szCs w:val="18"/>
                <w:lang w:val="bg-BG" w:eastAsia="bg-BG"/>
              </w:rPr>
              <w:t>Уместна. ОПНОИР предвижда мерки за социално интегриране на децата от най-ранна предучилищна възраст. Програмата не прави анализ на потребностите по населени места и региони.</w:t>
            </w:r>
          </w:p>
        </w:tc>
      </w:tr>
      <w:tr w:rsidR="00CB360E" w:rsidRPr="00B45B4F" w:rsidTr="002E567A">
        <w:tc>
          <w:tcPr>
            <w:tcW w:w="9090" w:type="dxa"/>
            <w:gridSpan w:val="2"/>
            <w:shd w:val="clear" w:color="auto" w:fill="FABF8F" w:themeFill="accent6" w:themeFillTint="99"/>
          </w:tcPr>
          <w:p w:rsidR="00CB360E" w:rsidRPr="00937B75" w:rsidRDefault="00CB360E" w:rsidP="00937B75">
            <w:pPr>
              <w:pStyle w:val="BodyText"/>
              <w:tabs>
                <w:tab w:val="left" w:pos="0"/>
                <w:tab w:val="right" w:pos="9214"/>
              </w:tabs>
              <w:spacing w:line="276" w:lineRule="auto"/>
              <w:jc w:val="both"/>
              <w:rPr>
                <w:rFonts w:ascii="Verdana" w:hAnsi="Verdana"/>
                <w:color w:val="000000"/>
                <w:sz w:val="18"/>
                <w:szCs w:val="18"/>
              </w:rPr>
            </w:pPr>
            <w:r w:rsidRPr="00937B75">
              <w:rPr>
                <w:rFonts w:ascii="Verdana" w:hAnsi="Verdana"/>
                <w:i/>
                <w:sz w:val="18"/>
                <w:szCs w:val="18"/>
              </w:rPr>
              <w:t xml:space="preserve">Оценка на постигането на стратегическата и специфичните цели на </w:t>
            </w:r>
            <w:r w:rsidR="009F6245" w:rsidRPr="00937B75">
              <w:rPr>
                <w:rFonts w:ascii="Verdana" w:hAnsi="Verdana"/>
                <w:i/>
                <w:sz w:val="18"/>
                <w:szCs w:val="18"/>
              </w:rPr>
              <w:t>ОПРЧР</w:t>
            </w:r>
            <w:r w:rsidRPr="00937B75">
              <w:rPr>
                <w:rFonts w:ascii="Verdana" w:hAnsi="Verdana"/>
                <w:i/>
                <w:sz w:val="18"/>
                <w:szCs w:val="18"/>
              </w:rPr>
              <w:t xml:space="preserve"> 2007-2010 г.</w:t>
            </w:r>
          </w:p>
        </w:tc>
      </w:tr>
      <w:tr w:rsidR="00BF1F0F" w:rsidRPr="00B45B4F" w:rsidTr="002E567A">
        <w:tc>
          <w:tcPr>
            <w:tcW w:w="4860" w:type="dxa"/>
          </w:tcPr>
          <w:p w:rsidR="00BF1F0F" w:rsidRPr="00937B75" w:rsidRDefault="00CB360E" w:rsidP="003B078D">
            <w:pPr>
              <w:autoSpaceDE w:val="0"/>
              <w:autoSpaceDN w:val="0"/>
              <w:adjustRightInd w:val="0"/>
              <w:spacing w:after="120"/>
              <w:rPr>
                <w:rFonts w:ascii="Verdana" w:hAnsi="Verdana"/>
                <w:color w:val="000000"/>
                <w:sz w:val="18"/>
                <w:szCs w:val="18"/>
                <w:lang w:val="bg-BG" w:eastAsia="bg-BG"/>
              </w:rPr>
            </w:pPr>
            <w:r w:rsidRPr="00937B75">
              <w:rPr>
                <w:rFonts w:ascii="Verdana" w:hAnsi="Verdana"/>
                <w:sz w:val="18"/>
                <w:szCs w:val="18"/>
                <w:lang w:val="bg-BG" w:eastAsia="bg-BG"/>
              </w:rPr>
              <w:t>Въвеждане на иновации в квалификацията и обучението на учители, кариерно развитие на учителите</w:t>
            </w:r>
            <w:r w:rsidR="00A14951" w:rsidRPr="00937B75">
              <w:rPr>
                <w:rFonts w:ascii="Verdana" w:hAnsi="Verdana"/>
                <w:sz w:val="18"/>
                <w:szCs w:val="18"/>
                <w:lang w:val="bg-BG" w:eastAsia="bg-BG"/>
              </w:rPr>
              <w:t>.</w:t>
            </w:r>
            <w:r w:rsidR="00D737F0">
              <w:rPr>
                <w:rFonts w:ascii="Verdana" w:hAnsi="Verdana"/>
                <w:sz w:val="18"/>
                <w:szCs w:val="18"/>
                <w:lang w:val="bg-BG" w:eastAsia="bg-BG"/>
              </w:rPr>
              <w:t xml:space="preserve"> </w:t>
            </w:r>
            <w:r w:rsidR="00A14951" w:rsidRPr="00937B75">
              <w:rPr>
                <w:rFonts w:ascii="Verdana" w:hAnsi="Verdana"/>
                <w:sz w:val="18"/>
                <w:szCs w:val="18"/>
                <w:lang w:val="bg-BG"/>
              </w:rPr>
              <w:t>Обученията трябва да се обвържат с кариерното развитие на учителите и със системата за управление на човешките ресурси в образованието.</w:t>
            </w:r>
          </w:p>
        </w:tc>
        <w:tc>
          <w:tcPr>
            <w:tcW w:w="4230" w:type="dxa"/>
          </w:tcPr>
          <w:p w:rsidR="00BF1F0F" w:rsidRPr="00937B75" w:rsidRDefault="00A14951" w:rsidP="003B078D">
            <w:pPr>
              <w:autoSpaceDE w:val="0"/>
              <w:autoSpaceDN w:val="0"/>
              <w:adjustRightInd w:val="0"/>
              <w:spacing w:after="120"/>
              <w:jc w:val="both"/>
              <w:rPr>
                <w:rFonts w:ascii="Verdana" w:hAnsi="Verdana"/>
                <w:color w:val="000000"/>
                <w:sz w:val="18"/>
                <w:szCs w:val="18"/>
                <w:lang w:val="bg-BG" w:eastAsia="bg-BG"/>
              </w:rPr>
            </w:pPr>
            <w:r w:rsidRPr="00937B75">
              <w:rPr>
                <w:rFonts w:ascii="Verdana" w:hAnsi="Verdana"/>
                <w:color w:val="000000"/>
                <w:sz w:val="18"/>
                <w:szCs w:val="18"/>
                <w:lang w:val="bg-BG" w:eastAsia="bg-BG"/>
              </w:rPr>
              <w:t>В ОПНОИР са предвидени дейности за квалификация и кариерно развитие на заетите в сферата на образованието.</w:t>
            </w:r>
          </w:p>
        </w:tc>
      </w:tr>
      <w:tr w:rsidR="00BF1F0F" w:rsidRPr="00B45B4F" w:rsidTr="002E567A">
        <w:tc>
          <w:tcPr>
            <w:tcW w:w="4860" w:type="dxa"/>
          </w:tcPr>
          <w:p w:rsidR="00BF1F0F" w:rsidRPr="00937B75" w:rsidRDefault="008F5AFD" w:rsidP="003B078D">
            <w:pPr>
              <w:autoSpaceDE w:val="0"/>
              <w:autoSpaceDN w:val="0"/>
              <w:adjustRightInd w:val="0"/>
              <w:spacing w:after="120"/>
              <w:rPr>
                <w:rFonts w:ascii="Verdana" w:hAnsi="Verdana"/>
                <w:color w:val="000000"/>
                <w:sz w:val="18"/>
                <w:szCs w:val="18"/>
                <w:lang w:val="bg-BG" w:eastAsia="bg-BG"/>
              </w:rPr>
            </w:pPr>
            <w:r w:rsidRPr="00937B75">
              <w:rPr>
                <w:rFonts w:ascii="Verdana" w:hAnsi="Verdana"/>
                <w:color w:val="000000"/>
                <w:sz w:val="18"/>
                <w:szCs w:val="18"/>
                <w:lang w:val="bg-BG" w:eastAsia="bg-BG"/>
              </w:rPr>
              <w:t>Необходима е п</w:t>
            </w:r>
            <w:r w:rsidR="00CB360E" w:rsidRPr="00937B75">
              <w:rPr>
                <w:rFonts w:ascii="Verdana" w:hAnsi="Verdana"/>
                <w:color w:val="000000"/>
                <w:sz w:val="18"/>
                <w:szCs w:val="18"/>
                <w:lang w:val="bg-BG" w:eastAsia="bg-BG"/>
              </w:rPr>
              <w:t>одкрепа за кариерно ориентиране на учениците</w:t>
            </w:r>
            <w:r w:rsidR="006629A9" w:rsidRPr="00937B75">
              <w:rPr>
                <w:rFonts w:ascii="Verdana" w:hAnsi="Verdana"/>
                <w:color w:val="000000"/>
                <w:sz w:val="18"/>
                <w:szCs w:val="18"/>
                <w:lang w:val="bg-BG" w:eastAsia="bg-BG"/>
              </w:rPr>
              <w:t>.</w:t>
            </w:r>
          </w:p>
        </w:tc>
        <w:tc>
          <w:tcPr>
            <w:tcW w:w="4230" w:type="dxa"/>
          </w:tcPr>
          <w:p w:rsidR="00BF1F0F" w:rsidRPr="00937B75" w:rsidRDefault="00A14951" w:rsidP="003B078D">
            <w:pPr>
              <w:autoSpaceDE w:val="0"/>
              <w:autoSpaceDN w:val="0"/>
              <w:adjustRightInd w:val="0"/>
              <w:spacing w:after="120"/>
              <w:jc w:val="both"/>
              <w:rPr>
                <w:rFonts w:ascii="Verdana" w:hAnsi="Verdana"/>
                <w:color w:val="000000"/>
                <w:sz w:val="18"/>
                <w:szCs w:val="18"/>
                <w:lang w:val="bg-BG" w:eastAsia="bg-BG"/>
              </w:rPr>
            </w:pPr>
            <w:r w:rsidRPr="00937B75">
              <w:rPr>
                <w:rFonts w:ascii="Verdana" w:hAnsi="Verdana"/>
                <w:color w:val="000000"/>
                <w:sz w:val="18"/>
                <w:szCs w:val="18"/>
                <w:lang w:val="bg-BG" w:eastAsia="bg-BG"/>
              </w:rPr>
              <w:t xml:space="preserve">Препоръката е уместна, </w:t>
            </w:r>
            <w:r w:rsidR="008F5AFD" w:rsidRPr="00937B75">
              <w:rPr>
                <w:rFonts w:ascii="Verdana" w:hAnsi="Verdana"/>
                <w:color w:val="000000"/>
                <w:sz w:val="18"/>
                <w:szCs w:val="18"/>
                <w:lang w:val="bg-BG" w:eastAsia="bg-BG"/>
              </w:rPr>
              <w:t>тъй като</w:t>
            </w:r>
            <w:r w:rsidRPr="00937B75">
              <w:rPr>
                <w:rFonts w:ascii="Verdana" w:hAnsi="Verdana"/>
                <w:color w:val="000000"/>
                <w:sz w:val="18"/>
                <w:szCs w:val="18"/>
                <w:lang w:val="bg-BG" w:eastAsia="bg-BG"/>
              </w:rPr>
              <w:t xml:space="preserve"> ще способства по-добрата ориентация на учениците към възможностите на пазара на труда съобразно личните им предпочитания и нагласи. </w:t>
            </w:r>
            <w:r w:rsidR="001C57C0" w:rsidRPr="00937B75">
              <w:rPr>
                <w:rFonts w:ascii="Verdana" w:hAnsi="Verdana"/>
                <w:color w:val="000000"/>
                <w:sz w:val="18"/>
                <w:szCs w:val="18"/>
                <w:lang w:val="bg-BG" w:eastAsia="bg-BG"/>
              </w:rPr>
              <w:t>Подкрепа за кариерно развитие на ученици е предвидена в ИП3 на ПО2 на програмата.</w:t>
            </w:r>
          </w:p>
        </w:tc>
      </w:tr>
      <w:tr w:rsidR="00BF1F0F" w:rsidRPr="00B45B4F" w:rsidTr="002E567A">
        <w:tc>
          <w:tcPr>
            <w:tcW w:w="4860" w:type="dxa"/>
          </w:tcPr>
          <w:p w:rsidR="00BF1F0F" w:rsidRPr="00937B75" w:rsidRDefault="00CB360E" w:rsidP="003B078D">
            <w:pPr>
              <w:autoSpaceDE w:val="0"/>
              <w:autoSpaceDN w:val="0"/>
              <w:adjustRightInd w:val="0"/>
              <w:spacing w:after="120"/>
              <w:rPr>
                <w:rFonts w:ascii="Verdana" w:hAnsi="Verdana"/>
                <w:color w:val="000000"/>
                <w:sz w:val="18"/>
                <w:szCs w:val="18"/>
                <w:lang w:val="bg-BG" w:eastAsia="bg-BG"/>
              </w:rPr>
            </w:pPr>
            <w:r w:rsidRPr="00937B75">
              <w:rPr>
                <w:rFonts w:ascii="Verdana" w:hAnsi="Verdana"/>
                <w:color w:val="000000"/>
                <w:sz w:val="18"/>
                <w:szCs w:val="18"/>
                <w:lang w:val="bg-BG" w:eastAsia="bg-BG"/>
              </w:rPr>
              <w:t xml:space="preserve">Увеличаване привлекателността на НИРД и подобряване на условията за развитие на </w:t>
            </w:r>
            <w:r w:rsidRPr="00937B75">
              <w:rPr>
                <w:rFonts w:ascii="Verdana" w:hAnsi="Verdana"/>
                <w:color w:val="000000"/>
                <w:sz w:val="18"/>
                <w:szCs w:val="18"/>
                <w:lang w:val="bg-BG" w:eastAsia="bg-BG"/>
              </w:rPr>
              <w:lastRenderedPageBreak/>
              <w:t>такава дейност</w:t>
            </w:r>
            <w:r w:rsidR="001C57C0" w:rsidRPr="00937B75">
              <w:rPr>
                <w:rFonts w:ascii="Verdana" w:hAnsi="Verdana"/>
                <w:color w:val="000000"/>
                <w:sz w:val="18"/>
                <w:szCs w:val="18"/>
                <w:lang w:val="bg-BG" w:eastAsia="bg-BG"/>
              </w:rPr>
              <w:t>.</w:t>
            </w:r>
          </w:p>
        </w:tc>
        <w:tc>
          <w:tcPr>
            <w:tcW w:w="4230" w:type="dxa"/>
          </w:tcPr>
          <w:p w:rsidR="00BF1F0F" w:rsidRPr="00937B75" w:rsidRDefault="001C57C0" w:rsidP="003B078D">
            <w:pPr>
              <w:autoSpaceDE w:val="0"/>
              <w:autoSpaceDN w:val="0"/>
              <w:adjustRightInd w:val="0"/>
              <w:spacing w:after="120"/>
              <w:jc w:val="both"/>
              <w:rPr>
                <w:rFonts w:ascii="Verdana" w:hAnsi="Verdana"/>
                <w:color w:val="000000"/>
                <w:sz w:val="18"/>
                <w:szCs w:val="18"/>
                <w:lang w:val="bg-BG" w:eastAsia="bg-BG"/>
              </w:rPr>
            </w:pPr>
            <w:r w:rsidRPr="00937B75">
              <w:rPr>
                <w:rFonts w:ascii="Verdana" w:hAnsi="Verdana"/>
                <w:color w:val="000000"/>
                <w:sz w:val="18"/>
                <w:szCs w:val="18"/>
                <w:lang w:val="bg-BG" w:eastAsia="bg-BG"/>
              </w:rPr>
              <w:lastRenderedPageBreak/>
              <w:t>Уместна. Отразена чрез подкрепата в ПО1 на програмата.</w:t>
            </w:r>
          </w:p>
        </w:tc>
      </w:tr>
      <w:tr w:rsidR="00BF1F0F" w:rsidRPr="00B45B4F" w:rsidTr="002E567A">
        <w:tc>
          <w:tcPr>
            <w:tcW w:w="4860" w:type="dxa"/>
          </w:tcPr>
          <w:p w:rsidR="00BF1F0F" w:rsidRPr="00937B75" w:rsidRDefault="00CB360E" w:rsidP="003B078D">
            <w:pPr>
              <w:autoSpaceDE w:val="0"/>
              <w:autoSpaceDN w:val="0"/>
              <w:adjustRightInd w:val="0"/>
              <w:spacing w:after="120"/>
              <w:rPr>
                <w:rFonts w:ascii="Verdana" w:hAnsi="Verdana"/>
                <w:color w:val="000000"/>
                <w:sz w:val="18"/>
                <w:szCs w:val="18"/>
                <w:lang w:val="bg-BG" w:eastAsia="bg-BG"/>
              </w:rPr>
            </w:pPr>
            <w:r w:rsidRPr="00937B75">
              <w:rPr>
                <w:rFonts w:ascii="Verdana" w:hAnsi="Verdana"/>
                <w:color w:val="000000"/>
                <w:sz w:val="18"/>
                <w:szCs w:val="18"/>
                <w:lang w:val="bg-BG" w:eastAsia="bg-BG"/>
              </w:rPr>
              <w:lastRenderedPageBreak/>
              <w:t>Увеличаване на концентрацията и капацитета за НИРД извън столицата</w:t>
            </w:r>
            <w:r w:rsidR="006629A9" w:rsidRPr="00937B75">
              <w:rPr>
                <w:rFonts w:ascii="Verdana" w:hAnsi="Verdana"/>
                <w:color w:val="000000"/>
                <w:sz w:val="18"/>
                <w:szCs w:val="18"/>
                <w:lang w:val="bg-BG" w:eastAsia="bg-BG"/>
              </w:rPr>
              <w:t>.</w:t>
            </w:r>
          </w:p>
        </w:tc>
        <w:tc>
          <w:tcPr>
            <w:tcW w:w="4230" w:type="dxa"/>
          </w:tcPr>
          <w:p w:rsidR="00BF1F0F" w:rsidRPr="00937B75" w:rsidRDefault="001C57C0" w:rsidP="00F13B14">
            <w:pPr>
              <w:autoSpaceDE w:val="0"/>
              <w:autoSpaceDN w:val="0"/>
              <w:adjustRightInd w:val="0"/>
              <w:spacing w:after="120"/>
              <w:jc w:val="both"/>
              <w:rPr>
                <w:rFonts w:ascii="Verdana" w:hAnsi="Verdana"/>
                <w:color w:val="000000"/>
                <w:sz w:val="18"/>
                <w:szCs w:val="18"/>
                <w:lang w:val="bg-BG" w:eastAsia="bg-BG"/>
              </w:rPr>
            </w:pPr>
            <w:r w:rsidRPr="00937B75">
              <w:rPr>
                <w:rFonts w:ascii="Verdana" w:hAnsi="Verdana"/>
                <w:color w:val="000000"/>
                <w:sz w:val="18"/>
                <w:szCs w:val="18"/>
                <w:lang w:val="bg-BG" w:eastAsia="bg-BG"/>
              </w:rPr>
              <w:t>Уместна</w:t>
            </w:r>
            <w:r w:rsidR="006B14C7">
              <w:rPr>
                <w:rFonts w:ascii="Verdana" w:hAnsi="Verdana"/>
                <w:color w:val="000000"/>
                <w:sz w:val="18"/>
                <w:szCs w:val="18"/>
                <w:lang w:val="bg-BG" w:eastAsia="bg-BG"/>
              </w:rPr>
              <w:t>,</w:t>
            </w:r>
            <w:r w:rsidRPr="00937B75">
              <w:rPr>
                <w:rFonts w:ascii="Verdana" w:hAnsi="Verdana"/>
                <w:color w:val="000000"/>
                <w:sz w:val="18"/>
                <w:szCs w:val="18"/>
                <w:lang w:val="bg-BG" w:eastAsia="bg-BG"/>
              </w:rPr>
              <w:t xml:space="preserve"> що се отнася до преследване на цели</w:t>
            </w:r>
            <w:r w:rsidR="006B14C7">
              <w:rPr>
                <w:rFonts w:ascii="Verdana" w:hAnsi="Verdana"/>
                <w:color w:val="000000"/>
                <w:sz w:val="18"/>
                <w:szCs w:val="18"/>
                <w:lang w:val="bg-BG" w:eastAsia="bg-BG"/>
              </w:rPr>
              <w:t>,</w:t>
            </w:r>
            <w:r w:rsidRPr="00937B75">
              <w:rPr>
                <w:rFonts w:ascii="Verdana" w:hAnsi="Verdana"/>
                <w:color w:val="000000"/>
                <w:sz w:val="18"/>
                <w:szCs w:val="18"/>
                <w:lang w:val="bg-BG" w:eastAsia="bg-BG"/>
              </w:rPr>
              <w:t xml:space="preserve"> свързани с балансираното териториално развитие. ОПНОИР </w:t>
            </w:r>
            <w:r w:rsidR="00F13B14">
              <w:rPr>
                <w:rFonts w:ascii="Verdana" w:hAnsi="Verdana"/>
                <w:color w:val="000000"/>
                <w:sz w:val="18"/>
                <w:szCs w:val="18"/>
                <w:lang w:val="bg-BG" w:eastAsia="bg-BG"/>
              </w:rPr>
              <w:t>във варианта от май 2014</w:t>
            </w:r>
            <w:r w:rsidRPr="00937B75">
              <w:rPr>
                <w:rFonts w:ascii="Verdana" w:hAnsi="Verdana"/>
                <w:color w:val="000000"/>
                <w:sz w:val="18"/>
                <w:szCs w:val="18"/>
                <w:lang w:val="bg-BG" w:eastAsia="bg-BG"/>
              </w:rPr>
              <w:t xml:space="preserve"> прави анализи в този аспект.</w:t>
            </w:r>
          </w:p>
        </w:tc>
      </w:tr>
      <w:tr w:rsidR="00BF1F0F" w:rsidRPr="00B45B4F" w:rsidTr="002E567A">
        <w:tc>
          <w:tcPr>
            <w:tcW w:w="4860" w:type="dxa"/>
          </w:tcPr>
          <w:p w:rsidR="00BF1F0F" w:rsidRPr="00937B75" w:rsidRDefault="00CB360E" w:rsidP="003B078D">
            <w:pPr>
              <w:autoSpaceDE w:val="0"/>
              <w:autoSpaceDN w:val="0"/>
              <w:adjustRightInd w:val="0"/>
              <w:spacing w:after="120"/>
              <w:rPr>
                <w:rFonts w:ascii="Verdana" w:hAnsi="Verdana"/>
                <w:sz w:val="18"/>
                <w:szCs w:val="18"/>
                <w:lang w:val="bg-BG"/>
              </w:rPr>
            </w:pPr>
            <w:r w:rsidRPr="00937B75">
              <w:rPr>
                <w:rFonts w:ascii="Verdana" w:hAnsi="Verdana"/>
                <w:color w:val="000000"/>
                <w:sz w:val="18"/>
                <w:szCs w:val="18"/>
                <w:lang w:val="bg-BG" w:eastAsia="bg-BG"/>
              </w:rPr>
              <w:t>Валидиране на неформалното образование и обучение</w:t>
            </w:r>
          </w:p>
        </w:tc>
        <w:tc>
          <w:tcPr>
            <w:tcW w:w="4230" w:type="dxa"/>
          </w:tcPr>
          <w:p w:rsidR="00BF1F0F" w:rsidRPr="00937B75" w:rsidRDefault="001C57C0" w:rsidP="003B078D">
            <w:pPr>
              <w:autoSpaceDE w:val="0"/>
              <w:autoSpaceDN w:val="0"/>
              <w:adjustRightInd w:val="0"/>
              <w:spacing w:after="120"/>
              <w:jc w:val="both"/>
              <w:rPr>
                <w:rFonts w:ascii="Verdana" w:hAnsi="Verdana"/>
                <w:color w:val="000000"/>
                <w:sz w:val="18"/>
                <w:szCs w:val="18"/>
                <w:lang w:val="bg-BG" w:eastAsia="bg-BG"/>
              </w:rPr>
            </w:pPr>
            <w:r w:rsidRPr="00937B75">
              <w:rPr>
                <w:rFonts w:ascii="Verdana" w:hAnsi="Verdana"/>
                <w:color w:val="000000"/>
                <w:sz w:val="18"/>
                <w:szCs w:val="18"/>
                <w:lang w:val="bg-BG" w:eastAsia="bg-BG"/>
              </w:rPr>
              <w:t>Уместна</w:t>
            </w:r>
            <w:r w:rsidR="006B14C7">
              <w:rPr>
                <w:rFonts w:ascii="Verdana" w:hAnsi="Verdana"/>
                <w:color w:val="000000"/>
                <w:sz w:val="18"/>
                <w:szCs w:val="18"/>
                <w:lang w:val="bg-BG" w:eastAsia="bg-BG"/>
              </w:rPr>
              <w:t>,</w:t>
            </w:r>
            <w:r w:rsidRPr="00937B75">
              <w:rPr>
                <w:rFonts w:ascii="Verdana" w:hAnsi="Verdana"/>
                <w:color w:val="000000"/>
                <w:sz w:val="18"/>
                <w:szCs w:val="18"/>
                <w:lang w:val="bg-BG" w:eastAsia="bg-BG"/>
              </w:rPr>
              <w:t xml:space="preserve"> тъй като ще разшири възможностите  за придобиване на квалификация и образование. Предвидена е в ОПНОИР.</w:t>
            </w:r>
          </w:p>
        </w:tc>
      </w:tr>
      <w:tr w:rsidR="00BF1F0F" w:rsidRPr="00B45B4F" w:rsidTr="002E567A">
        <w:tc>
          <w:tcPr>
            <w:tcW w:w="4860" w:type="dxa"/>
          </w:tcPr>
          <w:p w:rsidR="00BF1F0F" w:rsidRPr="00937B75" w:rsidRDefault="007D75CF" w:rsidP="003B078D">
            <w:pPr>
              <w:autoSpaceDE w:val="0"/>
              <w:autoSpaceDN w:val="0"/>
              <w:adjustRightInd w:val="0"/>
              <w:spacing w:after="120"/>
              <w:rPr>
                <w:rFonts w:ascii="Verdana" w:hAnsi="Verdana"/>
                <w:sz w:val="18"/>
                <w:szCs w:val="18"/>
                <w:lang w:val="bg-BG"/>
              </w:rPr>
            </w:pPr>
            <w:r w:rsidRPr="00937B75">
              <w:rPr>
                <w:rFonts w:ascii="Verdana" w:hAnsi="Verdana"/>
                <w:sz w:val="18"/>
                <w:szCs w:val="18"/>
                <w:lang w:val="bg-BG"/>
              </w:rPr>
              <w:t>Предоставянето на подкрепа в обучението и допълнителна подготовка по български език на деца от малцинствените групи ще способства за успешната им интеграция в приемни училища. Допълнително, включването на родителите и работата на специалисти с родители и техните деца, ще подпомогне процеса на интеграция, адекватността и качеството на образователните услуги</w:t>
            </w:r>
          </w:p>
        </w:tc>
        <w:tc>
          <w:tcPr>
            <w:tcW w:w="4230" w:type="dxa"/>
          </w:tcPr>
          <w:p w:rsidR="00BF1F0F" w:rsidRPr="00937B75" w:rsidRDefault="001C57C0" w:rsidP="006B14C7">
            <w:pPr>
              <w:autoSpaceDE w:val="0"/>
              <w:autoSpaceDN w:val="0"/>
              <w:adjustRightInd w:val="0"/>
              <w:spacing w:after="120"/>
              <w:jc w:val="both"/>
              <w:rPr>
                <w:rFonts w:ascii="Verdana" w:hAnsi="Verdana"/>
                <w:color w:val="000000"/>
                <w:sz w:val="18"/>
                <w:szCs w:val="18"/>
                <w:lang w:val="bg-BG" w:eastAsia="bg-BG"/>
              </w:rPr>
            </w:pPr>
            <w:r w:rsidRPr="00937B75">
              <w:rPr>
                <w:rFonts w:ascii="Verdana" w:hAnsi="Verdana"/>
                <w:color w:val="000000"/>
                <w:sz w:val="18"/>
                <w:szCs w:val="18"/>
                <w:lang w:val="bg-BG" w:eastAsia="bg-BG"/>
              </w:rPr>
              <w:t>Уместна. ОПНОИР предвижда подкрепа за допълнителн</w:t>
            </w:r>
            <w:r w:rsidR="006B14C7">
              <w:rPr>
                <w:rFonts w:ascii="Verdana" w:hAnsi="Verdana"/>
                <w:color w:val="000000"/>
                <w:sz w:val="18"/>
                <w:szCs w:val="18"/>
                <w:lang w:val="bg-BG" w:eastAsia="bg-BG"/>
              </w:rPr>
              <w:t>а</w:t>
            </w:r>
            <w:r w:rsidRPr="00937B75">
              <w:rPr>
                <w:rFonts w:ascii="Verdana" w:hAnsi="Verdana"/>
                <w:color w:val="000000"/>
                <w:sz w:val="18"/>
                <w:szCs w:val="18"/>
                <w:lang w:val="bg-BG" w:eastAsia="bg-BG"/>
              </w:rPr>
              <w:t xml:space="preserve"> подготовка по български език и мерки за насърчаване на участието на родителите в образователния процес.</w:t>
            </w:r>
          </w:p>
        </w:tc>
      </w:tr>
      <w:tr w:rsidR="005D346A" w:rsidRPr="00B45B4F" w:rsidTr="002E567A">
        <w:tc>
          <w:tcPr>
            <w:tcW w:w="4860" w:type="dxa"/>
          </w:tcPr>
          <w:p w:rsidR="005D346A" w:rsidRPr="00937B75" w:rsidRDefault="001C57C0" w:rsidP="003B078D">
            <w:pPr>
              <w:autoSpaceDE w:val="0"/>
              <w:autoSpaceDN w:val="0"/>
              <w:adjustRightInd w:val="0"/>
              <w:spacing w:after="120"/>
              <w:rPr>
                <w:rFonts w:ascii="Verdana" w:hAnsi="Verdana"/>
                <w:color w:val="000000"/>
                <w:sz w:val="18"/>
                <w:szCs w:val="18"/>
                <w:lang w:val="bg-BG" w:eastAsia="bg-BG"/>
              </w:rPr>
            </w:pPr>
            <w:r w:rsidRPr="00937B75">
              <w:rPr>
                <w:rFonts w:ascii="Verdana" w:hAnsi="Verdana"/>
                <w:sz w:val="18"/>
                <w:szCs w:val="18"/>
                <w:lang w:val="bg-BG"/>
              </w:rPr>
              <w:t>Да</w:t>
            </w:r>
            <w:r w:rsidR="007D75CF" w:rsidRPr="00937B75">
              <w:rPr>
                <w:rFonts w:ascii="Verdana" w:hAnsi="Verdana"/>
                <w:sz w:val="18"/>
                <w:szCs w:val="18"/>
                <w:lang w:val="bg-BG"/>
              </w:rPr>
              <w:t xml:space="preserve"> продължи подкрепата за изграждане на капацитет на учители, обучаващи лица, училищни ръководители и персонал, внедряване на системи за осигуряване и мониторинг на качеството, разработване на образователно съдържание, включително чрез използване на ИКТ, развитие на творчески умения и борба с половите стереотипи в образованието и обучението.</w:t>
            </w:r>
          </w:p>
        </w:tc>
        <w:tc>
          <w:tcPr>
            <w:tcW w:w="4230" w:type="dxa"/>
          </w:tcPr>
          <w:p w:rsidR="005D346A" w:rsidRPr="00937B75" w:rsidRDefault="0071111F" w:rsidP="003B078D">
            <w:pPr>
              <w:autoSpaceDE w:val="0"/>
              <w:autoSpaceDN w:val="0"/>
              <w:adjustRightInd w:val="0"/>
              <w:spacing w:after="120"/>
              <w:jc w:val="both"/>
              <w:rPr>
                <w:rFonts w:ascii="Verdana" w:hAnsi="Verdana"/>
                <w:color w:val="000000"/>
                <w:sz w:val="18"/>
                <w:szCs w:val="18"/>
                <w:lang w:val="bg-BG" w:eastAsia="bg-BG"/>
              </w:rPr>
            </w:pPr>
            <w:r w:rsidRPr="00937B75">
              <w:rPr>
                <w:rFonts w:ascii="Verdana" w:hAnsi="Verdana"/>
                <w:color w:val="000000"/>
                <w:sz w:val="18"/>
                <w:szCs w:val="18"/>
                <w:lang w:val="bg-BG" w:eastAsia="bg-BG"/>
              </w:rPr>
              <w:t>Проблемите</w:t>
            </w:r>
            <w:r w:rsidR="006B14C7">
              <w:rPr>
                <w:rFonts w:ascii="Verdana" w:hAnsi="Verdana"/>
                <w:color w:val="000000"/>
                <w:sz w:val="18"/>
                <w:szCs w:val="18"/>
                <w:lang w:val="bg-BG" w:eastAsia="bg-BG"/>
              </w:rPr>
              <w:t>,</w:t>
            </w:r>
            <w:r w:rsidRPr="00937B75">
              <w:rPr>
                <w:rFonts w:ascii="Verdana" w:hAnsi="Verdana"/>
                <w:color w:val="000000"/>
                <w:sz w:val="18"/>
                <w:szCs w:val="18"/>
                <w:lang w:val="bg-BG" w:eastAsia="bg-BG"/>
              </w:rPr>
              <w:t xml:space="preserve"> посочени в препоръката</w:t>
            </w:r>
            <w:r w:rsidR="00594C30">
              <w:rPr>
                <w:rFonts w:ascii="Verdana" w:hAnsi="Verdana"/>
                <w:color w:val="000000"/>
                <w:sz w:val="18"/>
                <w:szCs w:val="18"/>
                <w:lang w:val="bg-BG" w:eastAsia="bg-BG"/>
              </w:rPr>
              <w:t>,</w:t>
            </w:r>
            <w:r w:rsidRPr="00937B75">
              <w:rPr>
                <w:rFonts w:ascii="Verdana" w:hAnsi="Verdana"/>
                <w:color w:val="000000"/>
                <w:sz w:val="18"/>
                <w:szCs w:val="18"/>
                <w:lang w:val="bg-BG" w:eastAsia="bg-BG"/>
              </w:rPr>
              <w:t xml:space="preserve"> са взети предвид в процеса на подготовка на ОПНОИР и са предвидени мерки за тяхното адресиране.</w:t>
            </w:r>
          </w:p>
        </w:tc>
      </w:tr>
      <w:tr w:rsidR="007D75CF" w:rsidRPr="00B45B4F" w:rsidTr="002E567A">
        <w:tc>
          <w:tcPr>
            <w:tcW w:w="4860" w:type="dxa"/>
          </w:tcPr>
          <w:p w:rsidR="007D75CF" w:rsidRPr="00937B75" w:rsidRDefault="007D75CF" w:rsidP="003B078D">
            <w:pPr>
              <w:autoSpaceDE w:val="0"/>
              <w:autoSpaceDN w:val="0"/>
              <w:adjustRightInd w:val="0"/>
              <w:spacing w:after="120"/>
              <w:rPr>
                <w:rFonts w:ascii="Verdana" w:hAnsi="Verdana"/>
                <w:color w:val="000000"/>
                <w:sz w:val="18"/>
                <w:szCs w:val="18"/>
                <w:lang w:val="bg-BG" w:eastAsia="bg-BG"/>
              </w:rPr>
            </w:pPr>
            <w:r w:rsidRPr="00937B75">
              <w:rPr>
                <w:rFonts w:ascii="Verdana" w:hAnsi="Verdana"/>
                <w:sz w:val="18"/>
                <w:szCs w:val="18"/>
                <w:lang w:val="bg-BG"/>
              </w:rPr>
              <w:t>Във връзка с повишаване на качеството на образование и обвързването му с пазара на труда, е добре работодателите и техните браншови организации да участват пряко в подготовката на образователните програми и особено в магистърските програми.</w:t>
            </w:r>
          </w:p>
        </w:tc>
        <w:tc>
          <w:tcPr>
            <w:tcW w:w="4230" w:type="dxa"/>
          </w:tcPr>
          <w:p w:rsidR="007D75CF" w:rsidRPr="00937B75" w:rsidRDefault="0071111F" w:rsidP="006B14C7">
            <w:pPr>
              <w:autoSpaceDE w:val="0"/>
              <w:autoSpaceDN w:val="0"/>
              <w:adjustRightInd w:val="0"/>
              <w:spacing w:after="120"/>
              <w:jc w:val="both"/>
              <w:rPr>
                <w:rFonts w:ascii="Verdana" w:hAnsi="Verdana"/>
                <w:color w:val="000000"/>
                <w:sz w:val="18"/>
                <w:szCs w:val="18"/>
                <w:lang w:val="bg-BG" w:eastAsia="bg-BG"/>
              </w:rPr>
            </w:pPr>
            <w:r w:rsidRPr="00937B75">
              <w:rPr>
                <w:rFonts w:ascii="Verdana" w:hAnsi="Verdana"/>
                <w:color w:val="000000"/>
                <w:sz w:val="18"/>
                <w:szCs w:val="18"/>
                <w:lang w:val="bg-BG" w:eastAsia="bg-BG"/>
              </w:rPr>
              <w:t xml:space="preserve">Препоръката е удачна по отношение на профилираното и професионално образование, както и в някои случаи </w:t>
            </w:r>
            <w:r w:rsidR="006B14C7">
              <w:rPr>
                <w:rFonts w:ascii="Verdana" w:hAnsi="Verdana"/>
                <w:color w:val="000000"/>
                <w:sz w:val="18"/>
                <w:szCs w:val="18"/>
                <w:lang w:val="bg-BG" w:eastAsia="bg-BG"/>
              </w:rPr>
              <w:t>за</w:t>
            </w:r>
            <w:r w:rsidRPr="00937B75">
              <w:rPr>
                <w:rFonts w:ascii="Verdana" w:hAnsi="Verdana"/>
                <w:color w:val="000000"/>
                <w:sz w:val="18"/>
                <w:szCs w:val="18"/>
                <w:lang w:val="bg-BG" w:eastAsia="bg-BG"/>
              </w:rPr>
              <w:t xml:space="preserve"> магистърските програми. ОПНОИР предвижда подкрепа за а</w:t>
            </w:r>
            <w:r w:rsidRPr="00937B75">
              <w:rPr>
                <w:rFonts w:ascii="Verdana" w:eastAsia="Times New Roman" w:hAnsi="Verdana"/>
                <w:sz w:val="18"/>
                <w:szCs w:val="18"/>
                <w:lang w:val="bg-BG"/>
              </w:rPr>
              <w:t>ктуализация на учебни програми и учебни планове в професионалното образование с участие на работодателите.</w:t>
            </w:r>
          </w:p>
        </w:tc>
      </w:tr>
      <w:tr w:rsidR="007D75CF" w:rsidRPr="00B45B4F" w:rsidTr="002E567A">
        <w:tc>
          <w:tcPr>
            <w:tcW w:w="4860" w:type="dxa"/>
          </w:tcPr>
          <w:p w:rsidR="007D75CF" w:rsidRPr="00937B75" w:rsidRDefault="00A14951" w:rsidP="003B078D">
            <w:pPr>
              <w:autoSpaceDE w:val="0"/>
              <w:autoSpaceDN w:val="0"/>
              <w:adjustRightInd w:val="0"/>
              <w:spacing w:after="120"/>
              <w:rPr>
                <w:rFonts w:ascii="Verdana" w:hAnsi="Verdana"/>
                <w:color w:val="000000"/>
                <w:sz w:val="18"/>
                <w:szCs w:val="18"/>
                <w:lang w:val="bg-BG" w:eastAsia="bg-BG"/>
              </w:rPr>
            </w:pPr>
            <w:r w:rsidRPr="00937B75">
              <w:rPr>
                <w:rFonts w:ascii="Verdana" w:hAnsi="Verdana"/>
                <w:sz w:val="18"/>
                <w:szCs w:val="18"/>
                <w:lang w:val="bg-BG"/>
              </w:rPr>
              <w:t>Д</w:t>
            </w:r>
            <w:r w:rsidR="007D75CF" w:rsidRPr="00937B75">
              <w:rPr>
                <w:rFonts w:ascii="Verdana" w:hAnsi="Verdana"/>
                <w:sz w:val="18"/>
                <w:szCs w:val="18"/>
                <w:lang w:val="bg-BG"/>
              </w:rPr>
              <w:t xml:space="preserve">а се планират за новия програмен период възможности за финансиране на проекти за съвместни учебни програми и учебни практики и форуми за съвместни инициативи на </w:t>
            </w:r>
            <w:r w:rsidR="009F6245" w:rsidRPr="00937B75">
              <w:rPr>
                <w:rFonts w:ascii="Verdana" w:hAnsi="Verdana"/>
                <w:sz w:val="18"/>
                <w:szCs w:val="18"/>
                <w:lang w:val="bg-BG"/>
              </w:rPr>
              <w:t>висшите училища</w:t>
            </w:r>
            <w:r w:rsidR="007D75CF" w:rsidRPr="00937B75">
              <w:rPr>
                <w:rFonts w:ascii="Verdana" w:hAnsi="Verdana"/>
                <w:sz w:val="18"/>
                <w:szCs w:val="18"/>
                <w:lang w:val="bg-BG"/>
              </w:rPr>
              <w:t xml:space="preserve"> и работодатели или техни асоциации за наемане на работа на завършилите дадена образователна степен.</w:t>
            </w:r>
          </w:p>
        </w:tc>
        <w:tc>
          <w:tcPr>
            <w:tcW w:w="4230" w:type="dxa"/>
          </w:tcPr>
          <w:p w:rsidR="007D75CF" w:rsidRPr="00937B75" w:rsidRDefault="006717A1" w:rsidP="003B078D">
            <w:pPr>
              <w:autoSpaceDE w:val="0"/>
              <w:autoSpaceDN w:val="0"/>
              <w:adjustRightInd w:val="0"/>
              <w:spacing w:after="120"/>
              <w:jc w:val="both"/>
              <w:rPr>
                <w:rFonts w:ascii="Verdana" w:hAnsi="Verdana"/>
                <w:color w:val="000000"/>
                <w:sz w:val="18"/>
                <w:szCs w:val="18"/>
                <w:lang w:val="bg-BG" w:eastAsia="bg-BG"/>
              </w:rPr>
            </w:pPr>
            <w:r w:rsidRPr="00937B75">
              <w:rPr>
                <w:rFonts w:ascii="Verdana" w:hAnsi="Verdana"/>
                <w:color w:val="000000"/>
                <w:sz w:val="18"/>
                <w:szCs w:val="18"/>
                <w:lang w:val="bg-BG" w:eastAsia="bg-BG"/>
              </w:rPr>
              <w:t>Препоръката е уместна и ще насърчи връзките между образовани</w:t>
            </w:r>
            <w:r w:rsidR="006A2D17" w:rsidRPr="00937B75">
              <w:rPr>
                <w:rFonts w:ascii="Verdana" w:hAnsi="Verdana"/>
                <w:color w:val="000000"/>
                <w:sz w:val="18"/>
                <w:szCs w:val="18"/>
                <w:lang w:val="bg-BG" w:eastAsia="bg-BG"/>
              </w:rPr>
              <w:t>ето и реалната икономика. ОПНОИР</w:t>
            </w:r>
            <w:r w:rsidRPr="00937B75">
              <w:rPr>
                <w:rFonts w:ascii="Verdana" w:hAnsi="Verdana"/>
                <w:color w:val="000000"/>
                <w:sz w:val="18"/>
                <w:szCs w:val="18"/>
                <w:lang w:val="bg-BG" w:eastAsia="bg-BG"/>
              </w:rPr>
              <w:t xml:space="preserve"> предвижда подкрепа за „обучение чрез работа“ за ученици в професионални гимназии, студенти и докторанти.</w:t>
            </w:r>
          </w:p>
        </w:tc>
      </w:tr>
      <w:tr w:rsidR="00A14951" w:rsidRPr="00B45B4F" w:rsidTr="002E567A">
        <w:tc>
          <w:tcPr>
            <w:tcW w:w="4860" w:type="dxa"/>
          </w:tcPr>
          <w:p w:rsidR="00A14951" w:rsidRPr="00937B75" w:rsidRDefault="00A14951" w:rsidP="003B078D">
            <w:pPr>
              <w:autoSpaceDE w:val="0"/>
              <w:autoSpaceDN w:val="0"/>
              <w:adjustRightInd w:val="0"/>
              <w:spacing w:after="120"/>
              <w:rPr>
                <w:rFonts w:ascii="Verdana" w:hAnsi="Verdana"/>
                <w:sz w:val="18"/>
                <w:szCs w:val="18"/>
                <w:lang w:val="bg-BG"/>
              </w:rPr>
            </w:pPr>
            <w:r w:rsidRPr="00937B75">
              <w:rPr>
                <w:rFonts w:ascii="Verdana" w:hAnsi="Verdana"/>
                <w:sz w:val="18"/>
                <w:szCs w:val="18"/>
                <w:lang w:val="bg-BG"/>
              </w:rPr>
              <w:t xml:space="preserve">Финансовата подкрепа за студентите чрез предоставяне на студентски стипендии и награди е полезно да продължи и през </w:t>
            </w:r>
            <w:r w:rsidRPr="00937B75">
              <w:rPr>
                <w:rFonts w:ascii="Verdana" w:hAnsi="Verdana"/>
                <w:sz w:val="18"/>
                <w:szCs w:val="18"/>
                <w:lang w:val="bg-BG"/>
              </w:rPr>
              <w:lastRenderedPageBreak/>
              <w:t>следващия програмен период</w:t>
            </w:r>
          </w:p>
        </w:tc>
        <w:tc>
          <w:tcPr>
            <w:tcW w:w="4230" w:type="dxa"/>
          </w:tcPr>
          <w:p w:rsidR="00A14951" w:rsidRPr="00937B75" w:rsidRDefault="006717A1" w:rsidP="003B078D">
            <w:pPr>
              <w:autoSpaceDE w:val="0"/>
              <w:autoSpaceDN w:val="0"/>
              <w:adjustRightInd w:val="0"/>
              <w:spacing w:after="120"/>
              <w:jc w:val="both"/>
              <w:rPr>
                <w:rFonts w:ascii="Verdana" w:hAnsi="Verdana"/>
                <w:color w:val="000000"/>
                <w:sz w:val="18"/>
                <w:szCs w:val="18"/>
                <w:lang w:val="bg-BG" w:eastAsia="bg-BG"/>
              </w:rPr>
            </w:pPr>
            <w:r w:rsidRPr="00937B75">
              <w:rPr>
                <w:rFonts w:ascii="Verdana" w:hAnsi="Verdana"/>
                <w:color w:val="000000"/>
                <w:sz w:val="18"/>
                <w:szCs w:val="18"/>
                <w:lang w:val="bg-BG" w:eastAsia="bg-BG"/>
              </w:rPr>
              <w:lastRenderedPageBreak/>
              <w:t>ОПНОИР предвижда продължаване на подкрепата чрез студентски стипендии.</w:t>
            </w:r>
          </w:p>
        </w:tc>
      </w:tr>
      <w:tr w:rsidR="00A14951" w:rsidRPr="00B45B4F" w:rsidTr="002E567A">
        <w:tc>
          <w:tcPr>
            <w:tcW w:w="4860" w:type="dxa"/>
          </w:tcPr>
          <w:p w:rsidR="00A14951" w:rsidRPr="00937B75" w:rsidRDefault="00A14951" w:rsidP="003B078D">
            <w:pPr>
              <w:autoSpaceDE w:val="0"/>
              <w:autoSpaceDN w:val="0"/>
              <w:adjustRightInd w:val="0"/>
              <w:spacing w:after="120"/>
              <w:rPr>
                <w:rFonts w:ascii="Verdana" w:hAnsi="Verdana"/>
                <w:sz w:val="18"/>
                <w:szCs w:val="18"/>
                <w:lang w:val="bg-BG"/>
              </w:rPr>
            </w:pPr>
            <w:r w:rsidRPr="00937B75">
              <w:rPr>
                <w:rFonts w:ascii="Verdana" w:hAnsi="Verdana"/>
                <w:sz w:val="18"/>
                <w:szCs w:val="18"/>
                <w:lang w:val="bg-BG"/>
              </w:rPr>
              <w:lastRenderedPageBreak/>
              <w:t>За бъдещия програмен период може да се заложат схеми, които да подкрепят докторанти в следните актуални не само за България научни области: нанотехнологии, алтернативни източници на енергия</w:t>
            </w:r>
            <w:r w:rsidR="00D737F0">
              <w:rPr>
                <w:rFonts w:ascii="Verdana" w:hAnsi="Verdana"/>
                <w:sz w:val="18"/>
                <w:szCs w:val="18"/>
                <w:lang w:val="bg-BG"/>
              </w:rPr>
              <w:t>,</w:t>
            </w:r>
            <w:r w:rsidRPr="00937B75">
              <w:rPr>
                <w:rFonts w:ascii="Verdana" w:hAnsi="Verdana"/>
                <w:sz w:val="18"/>
                <w:szCs w:val="18"/>
                <w:lang w:val="bg-BG"/>
              </w:rPr>
              <w:t xml:space="preserve"> </w:t>
            </w:r>
            <w:proofErr w:type="spellStart"/>
            <w:r w:rsidRPr="00937B75">
              <w:rPr>
                <w:rFonts w:ascii="Verdana" w:hAnsi="Verdana"/>
                <w:sz w:val="18"/>
                <w:szCs w:val="18"/>
                <w:lang w:val="bg-BG"/>
              </w:rPr>
              <w:t>антиземетръсно</w:t>
            </w:r>
            <w:proofErr w:type="spellEnd"/>
            <w:r w:rsidRPr="00937B75">
              <w:rPr>
                <w:rFonts w:ascii="Verdana" w:hAnsi="Verdana"/>
                <w:sz w:val="18"/>
                <w:szCs w:val="18"/>
                <w:lang w:val="bg-BG"/>
              </w:rPr>
              <w:t xml:space="preserve"> строителство, борба с измененията на климата и глобалното затопляне, организация на общественото здравеопазване, приложение на ИКТ във всички публични услуги.</w:t>
            </w:r>
          </w:p>
        </w:tc>
        <w:tc>
          <w:tcPr>
            <w:tcW w:w="4230" w:type="dxa"/>
          </w:tcPr>
          <w:p w:rsidR="00A14951" w:rsidRPr="00937B75" w:rsidRDefault="006717A1" w:rsidP="003B078D">
            <w:pPr>
              <w:autoSpaceDE w:val="0"/>
              <w:autoSpaceDN w:val="0"/>
              <w:adjustRightInd w:val="0"/>
              <w:spacing w:after="120"/>
              <w:jc w:val="both"/>
              <w:rPr>
                <w:rFonts w:ascii="Verdana" w:hAnsi="Verdana"/>
                <w:color w:val="000000"/>
                <w:sz w:val="18"/>
                <w:szCs w:val="18"/>
                <w:lang w:val="bg-BG" w:eastAsia="bg-BG"/>
              </w:rPr>
            </w:pPr>
            <w:r w:rsidRPr="00937B75">
              <w:rPr>
                <w:rFonts w:ascii="Verdana" w:hAnsi="Verdana"/>
                <w:color w:val="000000"/>
                <w:sz w:val="18"/>
                <w:szCs w:val="18"/>
                <w:lang w:val="bg-BG" w:eastAsia="bg-BG"/>
              </w:rPr>
              <w:t>Препоръката е уместна, стига целенасочената подкрепа за определени области да е добре обоснована. ОПНОИР предвижда подкрепа за докторанти, които реализират докторантура в приоритетни за страната научни области и икономически сектори.</w:t>
            </w:r>
          </w:p>
        </w:tc>
      </w:tr>
    </w:tbl>
    <w:p w:rsidR="001771D2" w:rsidRPr="00B45B4F" w:rsidRDefault="001771D2" w:rsidP="001771D2">
      <w:pPr>
        <w:keepNext/>
        <w:pBdr>
          <w:bottom w:val="single" w:sz="4" w:space="1" w:color="0070C0"/>
        </w:pBdr>
        <w:spacing w:before="360" w:after="120"/>
        <w:jc w:val="both"/>
        <w:rPr>
          <w:rFonts w:ascii="Verdana" w:hAnsi="Verdana"/>
          <w:color w:val="0070C0"/>
          <w:sz w:val="20"/>
          <w:szCs w:val="20"/>
          <w:lang w:val="bg-BG" w:eastAsia="cs-CZ"/>
        </w:rPr>
      </w:pPr>
      <w:r w:rsidRPr="00B45B4F">
        <w:rPr>
          <w:rFonts w:ascii="Verdana" w:hAnsi="Verdana"/>
          <w:color w:val="0070C0"/>
          <w:sz w:val="20"/>
          <w:szCs w:val="20"/>
          <w:lang w:val="bg-BG" w:eastAsia="cs-CZ"/>
        </w:rPr>
        <w:t xml:space="preserve">Анализ на информацията, получена по време на проведените консултации в рамките на фокус група с представители на Работната група за подготовка на ОПНОИР </w:t>
      </w:r>
      <w:r w:rsidR="005106CE" w:rsidRPr="00B45B4F">
        <w:rPr>
          <w:rFonts w:ascii="Verdana" w:hAnsi="Verdana"/>
          <w:color w:val="0070C0"/>
          <w:sz w:val="20"/>
          <w:szCs w:val="20"/>
          <w:lang w:val="bg-BG" w:eastAsia="cs-CZ"/>
        </w:rPr>
        <w:t>2014–2020</w:t>
      </w:r>
      <w:r w:rsidRPr="00B45B4F">
        <w:rPr>
          <w:rFonts w:ascii="Verdana" w:hAnsi="Verdana"/>
          <w:color w:val="0070C0"/>
          <w:sz w:val="20"/>
          <w:szCs w:val="20"/>
          <w:lang w:val="bg-BG" w:eastAsia="cs-CZ"/>
        </w:rPr>
        <w:t xml:space="preserve"> г. и от онлайн проучването с потенциални бенефициенти на програмата.</w:t>
      </w:r>
    </w:p>
    <w:p w:rsidR="001771D2" w:rsidRPr="00B45B4F" w:rsidRDefault="0058002E" w:rsidP="006D28EA">
      <w:pPr>
        <w:spacing w:before="120" w:after="120"/>
        <w:jc w:val="both"/>
        <w:rPr>
          <w:rFonts w:ascii="Verdana" w:hAnsi="Verdana"/>
          <w:sz w:val="20"/>
          <w:szCs w:val="20"/>
          <w:lang w:val="bg-BG"/>
        </w:rPr>
      </w:pPr>
      <w:r w:rsidRPr="00B45B4F">
        <w:rPr>
          <w:rFonts w:ascii="Verdana" w:hAnsi="Verdana"/>
          <w:sz w:val="20"/>
          <w:szCs w:val="20"/>
          <w:lang w:val="bg-BG"/>
        </w:rPr>
        <w:t>В рамките на фокус групата бяха обсъдени нуждите и приоритетите в следните направления: (1) наука и научно-приложни изследвания; (2) висше образование; (3) училищно образование</w:t>
      </w:r>
    </w:p>
    <w:p w:rsidR="00DB7D03" w:rsidRPr="00B45B4F" w:rsidRDefault="0058002E" w:rsidP="006D28EA">
      <w:pPr>
        <w:spacing w:before="120" w:after="120"/>
        <w:jc w:val="both"/>
        <w:rPr>
          <w:rFonts w:ascii="Verdana" w:hAnsi="Verdana"/>
          <w:sz w:val="20"/>
          <w:szCs w:val="20"/>
          <w:lang w:val="bg-BG"/>
        </w:rPr>
      </w:pPr>
      <w:r w:rsidRPr="00B45B4F">
        <w:rPr>
          <w:rFonts w:ascii="Verdana" w:hAnsi="Verdana"/>
          <w:sz w:val="20"/>
          <w:szCs w:val="20"/>
          <w:lang w:val="bg-BG"/>
        </w:rPr>
        <w:t xml:space="preserve">По отношение на </w:t>
      </w:r>
      <w:r w:rsidRPr="00B45B4F">
        <w:rPr>
          <w:rFonts w:ascii="Verdana" w:hAnsi="Verdana"/>
          <w:color w:val="548DD4" w:themeColor="text2" w:themeTint="99"/>
          <w:sz w:val="20"/>
          <w:szCs w:val="20"/>
          <w:lang w:val="bg-BG"/>
        </w:rPr>
        <w:t>наука и научно-приложни изследвания</w:t>
      </w:r>
      <w:r w:rsidRPr="00B45B4F">
        <w:rPr>
          <w:rFonts w:ascii="Verdana" w:hAnsi="Verdana"/>
          <w:sz w:val="20"/>
          <w:szCs w:val="20"/>
          <w:lang w:val="bg-BG"/>
        </w:rPr>
        <w:t xml:space="preserve"> основните изводи от дискусиите </w:t>
      </w:r>
      <w:r w:rsidR="0059259D" w:rsidRPr="00B45B4F">
        <w:rPr>
          <w:rFonts w:ascii="Verdana" w:hAnsi="Verdana"/>
          <w:sz w:val="20"/>
          <w:szCs w:val="20"/>
          <w:lang w:val="bg-BG"/>
        </w:rPr>
        <w:t xml:space="preserve">посочват необходимост от </w:t>
      </w:r>
      <w:r w:rsidRPr="00B45B4F">
        <w:rPr>
          <w:rFonts w:ascii="Verdana" w:hAnsi="Verdana"/>
          <w:sz w:val="20"/>
          <w:szCs w:val="20"/>
          <w:lang w:val="bg-BG"/>
        </w:rPr>
        <w:t xml:space="preserve">дуализъм </w:t>
      </w:r>
      <w:r w:rsidR="0082600A" w:rsidRPr="00B45B4F">
        <w:rPr>
          <w:rFonts w:ascii="Verdana" w:hAnsi="Verdana"/>
          <w:sz w:val="20"/>
          <w:szCs w:val="20"/>
          <w:lang w:val="bg-BG"/>
        </w:rPr>
        <w:t xml:space="preserve">в подхода за наука и научни изследвания: </w:t>
      </w:r>
      <w:r w:rsidR="0059259D" w:rsidRPr="00B45B4F">
        <w:rPr>
          <w:rFonts w:ascii="Verdana" w:hAnsi="Verdana"/>
          <w:sz w:val="20"/>
          <w:szCs w:val="20"/>
          <w:lang w:val="bg-BG"/>
        </w:rPr>
        <w:t xml:space="preserve">от една страна са необходими </w:t>
      </w:r>
      <w:r w:rsidR="0082600A" w:rsidRPr="00B45B4F">
        <w:rPr>
          <w:rFonts w:ascii="Verdana" w:hAnsi="Verdana"/>
          <w:sz w:val="20"/>
          <w:szCs w:val="20"/>
          <w:lang w:val="bg-BG"/>
        </w:rPr>
        <w:t>инвестиции във върхови постижения</w:t>
      </w:r>
      <w:r w:rsidR="0059259D" w:rsidRPr="00B45B4F">
        <w:rPr>
          <w:rFonts w:ascii="Verdana" w:hAnsi="Verdana"/>
          <w:sz w:val="20"/>
          <w:szCs w:val="20"/>
          <w:lang w:val="bg-BG"/>
        </w:rPr>
        <w:t>, а от друга -</w:t>
      </w:r>
      <w:r w:rsidR="0082600A" w:rsidRPr="00B45B4F">
        <w:rPr>
          <w:rFonts w:ascii="Verdana" w:hAnsi="Verdana"/>
          <w:sz w:val="20"/>
          <w:szCs w:val="20"/>
          <w:lang w:val="bg-BG"/>
        </w:rPr>
        <w:t xml:space="preserve"> в компетенции</w:t>
      </w:r>
      <w:r w:rsidR="0059259D" w:rsidRPr="00B45B4F">
        <w:rPr>
          <w:rFonts w:ascii="Verdana" w:hAnsi="Verdana"/>
          <w:sz w:val="20"/>
          <w:szCs w:val="20"/>
          <w:lang w:val="bg-BG"/>
        </w:rPr>
        <w:t xml:space="preserve"> и научно-приложни изследвания</w:t>
      </w:r>
      <w:r w:rsidR="0082600A" w:rsidRPr="00B45B4F">
        <w:rPr>
          <w:rFonts w:ascii="Verdana" w:hAnsi="Verdana"/>
          <w:sz w:val="20"/>
          <w:szCs w:val="20"/>
          <w:lang w:val="bg-BG"/>
        </w:rPr>
        <w:t xml:space="preserve">. Към момента няма ясна визия в кои направления ще се развиват центровете за върхови постижения и центрове за компетентност. Това в голяма степен се дължи на все още липсващата „Иновационна стратегия за интелигентна специализация“, която е в процес на подготовка и преработване. </w:t>
      </w:r>
      <w:r w:rsidR="0059259D" w:rsidRPr="00B45B4F">
        <w:rPr>
          <w:rFonts w:ascii="Verdana" w:hAnsi="Verdana"/>
          <w:sz w:val="20"/>
          <w:szCs w:val="20"/>
          <w:lang w:val="bg-BG"/>
        </w:rPr>
        <w:t>Подчертана беше н</w:t>
      </w:r>
      <w:r w:rsidR="0082600A" w:rsidRPr="00B45B4F">
        <w:rPr>
          <w:rFonts w:ascii="Verdana" w:hAnsi="Verdana"/>
          <w:sz w:val="20"/>
          <w:szCs w:val="20"/>
          <w:lang w:val="bg-BG"/>
        </w:rPr>
        <w:t>еобх</w:t>
      </w:r>
      <w:r w:rsidR="0059259D" w:rsidRPr="00B45B4F">
        <w:rPr>
          <w:rFonts w:ascii="Verdana" w:hAnsi="Verdana"/>
          <w:sz w:val="20"/>
          <w:szCs w:val="20"/>
          <w:lang w:val="bg-BG"/>
        </w:rPr>
        <w:t>одимостта от</w:t>
      </w:r>
      <w:r w:rsidR="0082600A" w:rsidRPr="00B45B4F">
        <w:rPr>
          <w:rFonts w:ascii="Verdana" w:hAnsi="Verdana"/>
          <w:sz w:val="20"/>
          <w:szCs w:val="20"/>
          <w:lang w:val="bg-BG"/>
        </w:rPr>
        <w:t xml:space="preserve"> надеждна оценка на капацитета на организациите да използват предоставената подкрепа за развитие на такива центрове. </w:t>
      </w:r>
      <w:r w:rsidR="0059259D" w:rsidRPr="00B45B4F">
        <w:rPr>
          <w:rFonts w:ascii="Verdana" w:hAnsi="Verdana"/>
          <w:sz w:val="20"/>
          <w:szCs w:val="20"/>
          <w:lang w:val="bg-BG"/>
        </w:rPr>
        <w:t xml:space="preserve">В същото време беше посочено, че е важно да се разгледа </w:t>
      </w:r>
      <w:r w:rsidR="0082600A" w:rsidRPr="00B45B4F">
        <w:rPr>
          <w:rFonts w:ascii="Verdana" w:hAnsi="Verdana"/>
          <w:sz w:val="20"/>
          <w:szCs w:val="20"/>
          <w:lang w:val="bg-BG"/>
        </w:rPr>
        <w:t>регионалния</w:t>
      </w:r>
      <w:r w:rsidR="006629A9" w:rsidRPr="00B45B4F">
        <w:rPr>
          <w:rFonts w:ascii="Verdana" w:hAnsi="Verdana"/>
          <w:sz w:val="20"/>
          <w:szCs w:val="20"/>
          <w:lang w:val="bg-BG"/>
        </w:rPr>
        <w:t>т</w:t>
      </w:r>
      <w:r w:rsidR="0082600A" w:rsidRPr="00B45B4F">
        <w:rPr>
          <w:rFonts w:ascii="Verdana" w:hAnsi="Verdana"/>
          <w:sz w:val="20"/>
          <w:szCs w:val="20"/>
          <w:lang w:val="bg-BG"/>
        </w:rPr>
        <w:t xml:space="preserve"> аспект при </w:t>
      </w:r>
      <w:r w:rsidR="006629A9" w:rsidRPr="00B45B4F">
        <w:rPr>
          <w:rFonts w:ascii="Verdana" w:hAnsi="Verdana"/>
          <w:sz w:val="20"/>
          <w:szCs w:val="20"/>
          <w:lang w:val="bg-BG"/>
        </w:rPr>
        <w:t xml:space="preserve">предоставяне на подкрепа </w:t>
      </w:r>
      <w:r w:rsidR="0082600A" w:rsidRPr="00B45B4F">
        <w:rPr>
          <w:rFonts w:ascii="Verdana" w:hAnsi="Verdana"/>
          <w:sz w:val="20"/>
          <w:szCs w:val="20"/>
          <w:lang w:val="bg-BG"/>
        </w:rPr>
        <w:t>за развитие на центрове</w:t>
      </w:r>
      <w:r w:rsidR="0059259D" w:rsidRPr="00B45B4F">
        <w:rPr>
          <w:rFonts w:ascii="Verdana" w:hAnsi="Verdana"/>
          <w:sz w:val="20"/>
          <w:szCs w:val="20"/>
          <w:lang w:val="bg-BG"/>
        </w:rPr>
        <w:t>те, с цел</w:t>
      </w:r>
      <w:r w:rsidR="0082600A" w:rsidRPr="00B45B4F">
        <w:rPr>
          <w:rFonts w:ascii="Verdana" w:hAnsi="Verdana"/>
          <w:sz w:val="20"/>
          <w:szCs w:val="20"/>
          <w:lang w:val="bg-BG"/>
        </w:rPr>
        <w:t xml:space="preserve"> развитие на регионите.</w:t>
      </w:r>
      <w:r w:rsidR="00D737F0">
        <w:rPr>
          <w:rFonts w:ascii="Verdana" w:hAnsi="Verdana"/>
          <w:sz w:val="20"/>
          <w:szCs w:val="20"/>
          <w:lang w:val="bg-BG"/>
        </w:rPr>
        <w:t xml:space="preserve"> </w:t>
      </w:r>
      <w:r w:rsidR="0059259D" w:rsidRPr="00B45B4F">
        <w:rPr>
          <w:rFonts w:ascii="Verdana" w:hAnsi="Verdana"/>
          <w:sz w:val="20"/>
          <w:szCs w:val="20"/>
          <w:lang w:val="bg-BG"/>
        </w:rPr>
        <w:t>По отношение на о</w:t>
      </w:r>
      <w:r w:rsidR="006629A9" w:rsidRPr="00B45B4F">
        <w:rPr>
          <w:rFonts w:ascii="Verdana" w:hAnsi="Verdana"/>
          <w:sz w:val="20"/>
          <w:szCs w:val="20"/>
          <w:lang w:val="bg-BG"/>
        </w:rPr>
        <w:t>птимизацията</w:t>
      </w:r>
      <w:r w:rsidR="00DB7D03" w:rsidRPr="00B45B4F">
        <w:rPr>
          <w:rFonts w:ascii="Verdana" w:hAnsi="Verdana"/>
          <w:sz w:val="20"/>
          <w:szCs w:val="20"/>
          <w:lang w:val="bg-BG"/>
        </w:rPr>
        <w:t xml:space="preserve"> на работата на научните организации</w:t>
      </w:r>
      <w:r w:rsidR="006629A9" w:rsidRPr="00B45B4F">
        <w:rPr>
          <w:rFonts w:ascii="Verdana" w:hAnsi="Verdana"/>
          <w:sz w:val="20"/>
          <w:szCs w:val="20"/>
          <w:lang w:val="bg-BG"/>
        </w:rPr>
        <w:t>, беше посочено</w:t>
      </w:r>
      <w:r w:rsidR="0059259D" w:rsidRPr="00B45B4F">
        <w:rPr>
          <w:rFonts w:ascii="Verdana" w:hAnsi="Verdana"/>
          <w:sz w:val="20"/>
          <w:szCs w:val="20"/>
          <w:lang w:val="bg-BG"/>
        </w:rPr>
        <w:t xml:space="preserve"> че основният лост би трябвало да е </w:t>
      </w:r>
      <w:r w:rsidR="00DB7D03" w:rsidRPr="00B45B4F">
        <w:rPr>
          <w:rFonts w:ascii="Verdana" w:hAnsi="Verdana"/>
          <w:sz w:val="20"/>
          <w:szCs w:val="20"/>
          <w:lang w:val="bg-BG"/>
        </w:rPr>
        <w:t>обвър</w:t>
      </w:r>
      <w:r w:rsidR="0059259D" w:rsidRPr="00B45B4F">
        <w:rPr>
          <w:rFonts w:ascii="Verdana" w:hAnsi="Verdana"/>
          <w:sz w:val="20"/>
          <w:szCs w:val="20"/>
          <w:lang w:val="bg-BG"/>
        </w:rPr>
        <w:t>зване</w:t>
      </w:r>
      <w:r w:rsidR="006629A9" w:rsidRPr="00B45B4F">
        <w:rPr>
          <w:rFonts w:ascii="Verdana" w:hAnsi="Verdana"/>
          <w:sz w:val="20"/>
          <w:szCs w:val="20"/>
          <w:lang w:val="bg-BG"/>
        </w:rPr>
        <w:t>то</w:t>
      </w:r>
      <w:r w:rsidR="0059259D" w:rsidRPr="00B45B4F">
        <w:rPr>
          <w:rFonts w:ascii="Verdana" w:hAnsi="Verdana"/>
          <w:sz w:val="20"/>
          <w:szCs w:val="20"/>
          <w:lang w:val="bg-BG"/>
        </w:rPr>
        <w:t xml:space="preserve"> на финансирането (включително от бюджета) </w:t>
      </w:r>
      <w:r w:rsidR="00DB7D03" w:rsidRPr="00B45B4F">
        <w:rPr>
          <w:rFonts w:ascii="Verdana" w:hAnsi="Verdana"/>
          <w:sz w:val="20"/>
          <w:szCs w:val="20"/>
          <w:lang w:val="bg-BG"/>
        </w:rPr>
        <w:t>с постиженията.</w:t>
      </w:r>
    </w:p>
    <w:p w:rsidR="005D34A4" w:rsidRPr="00B45B4F" w:rsidRDefault="0059259D" w:rsidP="006D28EA">
      <w:pPr>
        <w:spacing w:before="120" w:after="120"/>
        <w:jc w:val="both"/>
        <w:rPr>
          <w:rFonts w:ascii="Verdana" w:hAnsi="Verdana"/>
          <w:sz w:val="20"/>
          <w:szCs w:val="20"/>
          <w:lang w:val="bg-BG"/>
        </w:rPr>
      </w:pPr>
      <w:r w:rsidRPr="00B45B4F">
        <w:rPr>
          <w:rFonts w:ascii="Verdana" w:hAnsi="Verdana"/>
          <w:sz w:val="20"/>
          <w:szCs w:val="20"/>
          <w:lang w:val="bg-BG"/>
        </w:rPr>
        <w:t>Подчертана беше важността на осигуряване</w:t>
      </w:r>
      <w:r w:rsidR="006629A9" w:rsidRPr="00B45B4F">
        <w:rPr>
          <w:rFonts w:ascii="Verdana" w:hAnsi="Verdana"/>
          <w:sz w:val="20"/>
          <w:szCs w:val="20"/>
          <w:lang w:val="bg-BG"/>
        </w:rPr>
        <w:t>то</w:t>
      </w:r>
      <w:r w:rsidRPr="00B45B4F">
        <w:rPr>
          <w:rFonts w:ascii="Verdana" w:hAnsi="Verdana"/>
          <w:sz w:val="20"/>
          <w:szCs w:val="20"/>
          <w:lang w:val="bg-BG"/>
        </w:rPr>
        <w:t xml:space="preserve"> на</w:t>
      </w:r>
      <w:r w:rsidR="005D34A4" w:rsidRPr="00B45B4F">
        <w:rPr>
          <w:rFonts w:ascii="Verdana" w:hAnsi="Verdana"/>
          <w:sz w:val="20"/>
          <w:szCs w:val="20"/>
          <w:lang w:val="bg-BG"/>
        </w:rPr>
        <w:t xml:space="preserve"> допълващ ефект с </w:t>
      </w:r>
      <w:r w:rsidR="006629A9" w:rsidRPr="00B45B4F">
        <w:rPr>
          <w:rFonts w:ascii="Verdana" w:hAnsi="Verdana"/>
          <w:sz w:val="20"/>
          <w:szCs w:val="20"/>
          <w:lang w:val="bg-BG"/>
        </w:rPr>
        <w:t xml:space="preserve">програмата за научни изследвания и иновации </w:t>
      </w:r>
      <w:r w:rsidR="005D34A4" w:rsidRPr="00B45B4F">
        <w:rPr>
          <w:rFonts w:ascii="Verdana" w:hAnsi="Verdana"/>
          <w:sz w:val="20"/>
          <w:szCs w:val="20"/>
          <w:lang w:val="bg-BG"/>
        </w:rPr>
        <w:t>„Хоризонт 2020“, както и с други оперативни програми в България за следващия програмен период като ПРСР, ПМДР, ОПИК, включително</w:t>
      </w:r>
      <w:r w:rsidR="006629A9" w:rsidRPr="00B45B4F">
        <w:rPr>
          <w:rFonts w:ascii="Verdana" w:hAnsi="Verdana"/>
          <w:sz w:val="20"/>
          <w:szCs w:val="20"/>
          <w:lang w:val="bg-BG"/>
        </w:rPr>
        <w:t xml:space="preserve"> и чрез</w:t>
      </w:r>
      <w:r w:rsidR="005D34A4" w:rsidRPr="00B45B4F">
        <w:rPr>
          <w:rFonts w:ascii="Verdana" w:hAnsi="Verdana"/>
          <w:sz w:val="20"/>
          <w:szCs w:val="20"/>
          <w:lang w:val="bg-BG"/>
        </w:rPr>
        <w:t xml:space="preserve"> изпълнение на интегрирани проекти. </w:t>
      </w:r>
      <w:r w:rsidR="00DB7D03" w:rsidRPr="00B45B4F">
        <w:rPr>
          <w:rFonts w:ascii="Verdana" w:hAnsi="Verdana"/>
          <w:sz w:val="20"/>
          <w:szCs w:val="20"/>
          <w:lang w:val="bg-BG"/>
        </w:rPr>
        <w:t xml:space="preserve">Интегрирани проекти с ОПИК и по-голяма яснота </w:t>
      </w:r>
      <w:r w:rsidR="002B50BA" w:rsidRPr="00B45B4F">
        <w:rPr>
          <w:rFonts w:ascii="Verdana" w:hAnsi="Verdana"/>
          <w:sz w:val="20"/>
          <w:szCs w:val="20"/>
          <w:lang w:val="bg-BG"/>
        </w:rPr>
        <w:t xml:space="preserve">относно тяхното естество, </w:t>
      </w:r>
      <w:r w:rsidR="00DB7D03" w:rsidRPr="00B45B4F">
        <w:rPr>
          <w:rFonts w:ascii="Verdana" w:hAnsi="Verdana"/>
          <w:sz w:val="20"/>
          <w:szCs w:val="20"/>
          <w:lang w:val="bg-BG"/>
        </w:rPr>
        <w:t xml:space="preserve">са крайно необходими. </w:t>
      </w:r>
      <w:proofErr w:type="spellStart"/>
      <w:r w:rsidR="00DB7D03" w:rsidRPr="00B45B4F">
        <w:rPr>
          <w:rFonts w:ascii="Verdana" w:hAnsi="Verdana"/>
          <w:sz w:val="20"/>
          <w:szCs w:val="20"/>
          <w:lang w:val="bg-BG"/>
        </w:rPr>
        <w:t>Синергичният</w:t>
      </w:r>
      <w:proofErr w:type="spellEnd"/>
      <w:r w:rsidR="00DB7D03" w:rsidRPr="00B45B4F">
        <w:rPr>
          <w:rFonts w:ascii="Verdana" w:hAnsi="Verdana"/>
          <w:sz w:val="20"/>
          <w:szCs w:val="20"/>
          <w:lang w:val="bg-BG"/>
        </w:rPr>
        <w:t xml:space="preserve"> ефект с ОПИК </w:t>
      </w:r>
      <w:r w:rsidR="005D34A4" w:rsidRPr="00B45B4F">
        <w:rPr>
          <w:rFonts w:ascii="Verdana" w:hAnsi="Verdana"/>
          <w:sz w:val="20"/>
          <w:szCs w:val="20"/>
          <w:lang w:val="bg-BG"/>
        </w:rPr>
        <w:t xml:space="preserve">ще даде възможност </w:t>
      </w:r>
      <w:r w:rsidR="00DB7D03" w:rsidRPr="00B45B4F">
        <w:rPr>
          <w:rFonts w:ascii="Verdana" w:hAnsi="Verdana"/>
          <w:sz w:val="20"/>
          <w:szCs w:val="20"/>
          <w:lang w:val="bg-BG"/>
        </w:rPr>
        <w:t>и за</w:t>
      </w:r>
      <w:r w:rsidR="005D34A4" w:rsidRPr="00B45B4F">
        <w:rPr>
          <w:rFonts w:ascii="Verdana" w:hAnsi="Verdana"/>
          <w:sz w:val="20"/>
          <w:szCs w:val="20"/>
          <w:lang w:val="bg-BG"/>
        </w:rPr>
        <w:t xml:space="preserve"> задълбоча</w:t>
      </w:r>
      <w:r w:rsidR="00E2778E" w:rsidRPr="00B45B4F">
        <w:rPr>
          <w:rFonts w:ascii="Verdana" w:hAnsi="Verdana"/>
          <w:sz w:val="20"/>
          <w:szCs w:val="20"/>
          <w:lang w:val="bg-BG"/>
        </w:rPr>
        <w:t>ване на връзката наука–</w:t>
      </w:r>
      <w:r w:rsidR="00DB7D03" w:rsidRPr="00B45B4F">
        <w:rPr>
          <w:rFonts w:ascii="Verdana" w:hAnsi="Verdana"/>
          <w:sz w:val="20"/>
          <w:szCs w:val="20"/>
          <w:lang w:val="bg-BG"/>
        </w:rPr>
        <w:t>бизнес. Офисите за технологичен трансфер са добра възможност за популяризиране сред бизнеса на работата по научно-приложни изследвания и са крайно необходими като посреднически звена.</w:t>
      </w:r>
      <w:r w:rsidR="002B50BA" w:rsidRPr="00B45B4F">
        <w:rPr>
          <w:rFonts w:ascii="Verdana" w:hAnsi="Verdana"/>
          <w:sz w:val="20"/>
          <w:szCs w:val="20"/>
          <w:lang w:val="bg-BG"/>
        </w:rPr>
        <w:t xml:space="preserve"> Изразено беше мнението, че мястото за подкрепа за </w:t>
      </w:r>
      <w:r w:rsidR="00E2778E" w:rsidRPr="00B45B4F">
        <w:rPr>
          <w:rFonts w:ascii="Verdana" w:hAnsi="Verdana"/>
          <w:sz w:val="20"/>
          <w:szCs w:val="20"/>
          <w:lang w:val="bg-BG"/>
        </w:rPr>
        <w:t>такива центрове</w:t>
      </w:r>
      <w:r w:rsidR="002B50BA" w:rsidRPr="00B45B4F">
        <w:rPr>
          <w:rFonts w:ascii="Verdana" w:hAnsi="Verdana"/>
          <w:sz w:val="20"/>
          <w:szCs w:val="20"/>
          <w:lang w:val="bg-BG"/>
        </w:rPr>
        <w:t xml:space="preserve"> е в ОПНОИР, а не в ОПИК.</w:t>
      </w:r>
      <w:r w:rsidR="00DB7D03" w:rsidRPr="00B45B4F">
        <w:rPr>
          <w:rFonts w:ascii="Verdana" w:hAnsi="Verdana"/>
          <w:sz w:val="20"/>
          <w:szCs w:val="20"/>
          <w:lang w:val="bg-BG"/>
        </w:rPr>
        <w:t xml:space="preserve"> Към момента в програмата на това не е обърнато достатъчно внимание.</w:t>
      </w:r>
    </w:p>
    <w:p w:rsidR="00094836" w:rsidRPr="00B45B4F" w:rsidRDefault="009E0517" w:rsidP="006D28EA">
      <w:pPr>
        <w:spacing w:before="120" w:after="120"/>
        <w:jc w:val="both"/>
        <w:rPr>
          <w:rFonts w:ascii="Verdana" w:hAnsi="Verdana"/>
          <w:sz w:val="20"/>
          <w:szCs w:val="20"/>
          <w:lang w:val="bg-BG"/>
        </w:rPr>
      </w:pPr>
      <w:r w:rsidRPr="00B45B4F">
        <w:rPr>
          <w:rFonts w:ascii="Verdana" w:hAnsi="Verdana"/>
          <w:sz w:val="20"/>
          <w:szCs w:val="20"/>
          <w:lang w:val="bg-BG"/>
        </w:rPr>
        <w:t xml:space="preserve">По отношение на </w:t>
      </w:r>
      <w:r w:rsidRPr="00B45B4F">
        <w:rPr>
          <w:rFonts w:ascii="Verdana" w:hAnsi="Verdana"/>
          <w:color w:val="548DD4" w:themeColor="text2" w:themeTint="99"/>
          <w:sz w:val="20"/>
          <w:szCs w:val="20"/>
          <w:lang w:val="bg-BG"/>
        </w:rPr>
        <w:t>висшето образование</w:t>
      </w:r>
      <w:r w:rsidR="00E2778E" w:rsidRPr="00B45B4F">
        <w:rPr>
          <w:rFonts w:ascii="Verdana" w:hAnsi="Verdana"/>
          <w:color w:val="548DD4" w:themeColor="text2" w:themeTint="99"/>
          <w:sz w:val="20"/>
          <w:szCs w:val="20"/>
          <w:lang w:val="bg-BG"/>
        </w:rPr>
        <w:t>,</w:t>
      </w:r>
      <w:r w:rsidRPr="00B45B4F">
        <w:rPr>
          <w:rFonts w:ascii="Verdana" w:hAnsi="Verdana"/>
          <w:sz w:val="20"/>
          <w:szCs w:val="20"/>
          <w:lang w:val="bg-BG"/>
        </w:rPr>
        <w:t xml:space="preserve"> беше посочено че </w:t>
      </w:r>
      <w:r w:rsidR="00E2778E" w:rsidRPr="00B45B4F">
        <w:rPr>
          <w:rFonts w:ascii="Verdana" w:hAnsi="Verdana"/>
          <w:sz w:val="20"/>
          <w:szCs w:val="20"/>
          <w:lang w:val="bg-BG"/>
        </w:rPr>
        <w:t xml:space="preserve">реформите </w:t>
      </w:r>
      <w:r w:rsidRPr="00B45B4F">
        <w:rPr>
          <w:rFonts w:ascii="Verdana" w:hAnsi="Verdana"/>
          <w:sz w:val="20"/>
          <w:szCs w:val="20"/>
          <w:lang w:val="bg-BG"/>
        </w:rPr>
        <w:t>в системата на висшето образование трябва да се базира</w:t>
      </w:r>
      <w:r w:rsidR="00E2778E" w:rsidRPr="00B45B4F">
        <w:rPr>
          <w:rFonts w:ascii="Verdana" w:hAnsi="Verdana"/>
          <w:sz w:val="20"/>
          <w:szCs w:val="20"/>
          <w:lang w:val="bg-BG"/>
        </w:rPr>
        <w:t>т</w:t>
      </w:r>
      <w:r w:rsidRPr="00B45B4F">
        <w:rPr>
          <w:rFonts w:ascii="Verdana" w:hAnsi="Verdana"/>
          <w:sz w:val="20"/>
          <w:szCs w:val="20"/>
          <w:lang w:val="bg-BG"/>
        </w:rPr>
        <w:t xml:space="preserve"> на финансиране</w:t>
      </w:r>
      <w:r w:rsidR="002B50BA" w:rsidRPr="00B45B4F">
        <w:rPr>
          <w:rFonts w:ascii="Verdana" w:hAnsi="Verdana"/>
          <w:sz w:val="20"/>
          <w:szCs w:val="20"/>
          <w:lang w:val="bg-BG"/>
        </w:rPr>
        <w:t>, об</w:t>
      </w:r>
      <w:r w:rsidRPr="00B45B4F">
        <w:rPr>
          <w:rFonts w:ascii="Verdana" w:hAnsi="Verdana"/>
          <w:sz w:val="20"/>
          <w:szCs w:val="20"/>
          <w:lang w:val="bg-BG"/>
        </w:rPr>
        <w:t xml:space="preserve">вързано с качеството </w:t>
      </w:r>
      <w:r w:rsidRPr="00B45B4F">
        <w:rPr>
          <w:rFonts w:ascii="Verdana" w:hAnsi="Verdana"/>
          <w:sz w:val="20"/>
          <w:szCs w:val="20"/>
          <w:lang w:val="bg-BG"/>
        </w:rPr>
        <w:lastRenderedPageBreak/>
        <w:t>на предоставяното образование и реализация на студентите. В тази връзка проект</w:t>
      </w:r>
      <w:r w:rsidR="002B50BA" w:rsidRPr="00B45B4F">
        <w:rPr>
          <w:rFonts w:ascii="Verdana" w:hAnsi="Verdana"/>
          <w:sz w:val="20"/>
          <w:szCs w:val="20"/>
          <w:lang w:val="bg-BG"/>
        </w:rPr>
        <w:t>ът</w:t>
      </w:r>
      <w:r w:rsidRPr="00B45B4F">
        <w:rPr>
          <w:rFonts w:ascii="Verdana" w:hAnsi="Verdana"/>
          <w:sz w:val="20"/>
          <w:szCs w:val="20"/>
          <w:lang w:val="bg-BG"/>
        </w:rPr>
        <w:t xml:space="preserve"> за рейтинговата система на </w:t>
      </w:r>
      <w:r w:rsidR="009F6245" w:rsidRPr="00B45B4F">
        <w:rPr>
          <w:rFonts w:ascii="Verdana" w:hAnsi="Verdana"/>
          <w:sz w:val="20"/>
          <w:szCs w:val="20"/>
          <w:lang w:val="bg-BG"/>
        </w:rPr>
        <w:t>висшите училища</w:t>
      </w:r>
      <w:r w:rsidRPr="00B45B4F">
        <w:rPr>
          <w:rFonts w:ascii="Verdana" w:hAnsi="Verdana"/>
          <w:sz w:val="20"/>
          <w:szCs w:val="20"/>
          <w:lang w:val="bg-BG"/>
        </w:rPr>
        <w:t xml:space="preserve"> е огромна крачка напред, тъй като </w:t>
      </w:r>
      <w:r w:rsidR="002B50BA" w:rsidRPr="00B45B4F">
        <w:rPr>
          <w:rFonts w:ascii="Verdana" w:hAnsi="Verdana"/>
          <w:sz w:val="20"/>
          <w:szCs w:val="20"/>
          <w:lang w:val="bg-BG"/>
        </w:rPr>
        <w:t xml:space="preserve">повишава прозрачността относно </w:t>
      </w:r>
      <w:r w:rsidRPr="00B45B4F">
        <w:rPr>
          <w:rFonts w:ascii="Verdana" w:hAnsi="Verdana"/>
          <w:sz w:val="20"/>
          <w:szCs w:val="20"/>
          <w:lang w:val="bg-BG"/>
        </w:rPr>
        <w:t xml:space="preserve">състоянието в системата на висшето образование. </w:t>
      </w:r>
      <w:r w:rsidR="002B50BA" w:rsidRPr="00B45B4F">
        <w:rPr>
          <w:rFonts w:ascii="Verdana" w:hAnsi="Verdana"/>
          <w:sz w:val="20"/>
          <w:szCs w:val="20"/>
          <w:lang w:val="bg-BG"/>
        </w:rPr>
        <w:t xml:space="preserve">Посочена беше необходимостта от допълнителна работа в тази посока, както и </w:t>
      </w:r>
      <w:r w:rsidR="00E2778E" w:rsidRPr="00B45B4F">
        <w:rPr>
          <w:rFonts w:ascii="Verdana" w:hAnsi="Verdana"/>
          <w:sz w:val="20"/>
          <w:szCs w:val="20"/>
          <w:lang w:val="bg-BG"/>
        </w:rPr>
        <w:t xml:space="preserve">от </w:t>
      </w:r>
      <w:r w:rsidR="00094836" w:rsidRPr="00B45B4F">
        <w:rPr>
          <w:rFonts w:ascii="Verdana" w:hAnsi="Verdana"/>
          <w:sz w:val="20"/>
          <w:szCs w:val="20"/>
          <w:lang w:val="bg-BG"/>
        </w:rPr>
        <w:t>оптимизиране на схемите за предоставяне на финансиране за развитие на наука във висшето образование</w:t>
      </w:r>
      <w:r w:rsidR="00D737F0">
        <w:rPr>
          <w:rFonts w:ascii="Verdana" w:hAnsi="Verdana"/>
          <w:sz w:val="20"/>
          <w:szCs w:val="20"/>
          <w:lang w:val="bg-BG"/>
        </w:rPr>
        <w:t xml:space="preserve">. </w:t>
      </w:r>
      <w:r w:rsidR="002B50BA" w:rsidRPr="00B45B4F">
        <w:rPr>
          <w:rFonts w:ascii="Verdana" w:hAnsi="Verdana"/>
          <w:sz w:val="20"/>
          <w:szCs w:val="20"/>
          <w:lang w:val="bg-BG"/>
        </w:rPr>
        <w:t>П</w:t>
      </w:r>
      <w:r w:rsidR="00BC78F8" w:rsidRPr="00B45B4F">
        <w:rPr>
          <w:rFonts w:ascii="Verdana" w:hAnsi="Verdana"/>
          <w:sz w:val="20"/>
          <w:szCs w:val="20"/>
          <w:lang w:val="bg-BG"/>
        </w:rPr>
        <w:t>одобряване на управлението и „отваряне“ на управлението във висшите училища към заинтересованите страни</w:t>
      </w:r>
      <w:r w:rsidR="002B50BA" w:rsidRPr="00B45B4F">
        <w:rPr>
          <w:rFonts w:ascii="Verdana" w:hAnsi="Verdana"/>
          <w:sz w:val="20"/>
          <w:szCs w:val="20"/>
          <w:lang w:val="bg-BG"/>
        </w:rPr>
        <w:t xml:space="preserve"> също е важна реформа, която в голяма степен зависи от разработваната в момента Стратегия за висше образование.</w:t>
      </w:r>
    </w:p>
    <w:p w:rsidR="00094836" w:rsidRPr="00B45B4F" w:rsidRDefault="00154907" w:rsidP="006D28EA">
      <w:pPr>
        <w:spacing w:before="120" w:after="120"/>
        <w:jc w:val="both"/>
        <w:rPr>
          <w:rFonts w:ascii="Verdana" w:hAnsi="Verdana"/>
          <w:sz w:val="20"/>
          <w:szCs w:val="20"/>
          <w:lang w:val="bg-BG"/>
        </w:rPr>
      </w:pPr>
      <w:r>
        <w:rPr>
          <w:rFonts w:ascii="Verdana" w:hAnsi="Verdana"/>
          <w:sz w:val="20"/>
          <w:szCs w:val="20"/>
          <w:lang w:val="bg-BG"/>
        </w:rPr>
        <w:t xml:space="preserve">Потребностите </w:t>
      </w:r>
      <w:r w:rsidR="00094836" w:rsidRPr="00B45B4F">
        <w:rPr>
          <w:rFonts w:ascii="Verdana" w:hAnsi="Verdana"/>
          <w:sz w:val="20"/>
          <w:szCs w:val="20"/>
          <w:lang w:val="bg-BG"/>
        </w:rPr>
        <w:t xml:space="preserve">по отношение на </w:t>
      </w:r>
      <w:r w:rsidR="002B50BA" w:rsidRPr="00B45B4F">
        <w:rPr>
          <w:rFonts w:ascii="Verdana" w:hAnsi="Verdana"/>
          <w:sz w:val="20"/>
          <w:szCs w:val="20"/>
          <w:lang w:val="bg-BG"/>
        </w:rPr>
        <w:t xml:space="preserve">връзката </w:t>
      </w:r>
      <w:r w:rsidR="006B14C7">
        <w:rPr>
          <w:rFonts w:ascii="Verdana" w:hAnsi="Verdana"/>
          <w:sz w:val="20"/>
          <w:szCs w:val="20"/>
          <w:lang w:val="bg-BG"/>
        </w:rPr>
        <w:t>„</w:t>
      </w:r>
      <w:r w:rsidR="00094836" w:rsidRPr="00B45B4F">
        <w:rPr>
          <w:rFonts w:ascii="Verdana" w:hAnsi="Verdana"/>
          <w:sz w:val="20"/>
          <w:szCs w:val="20"/>
          <w:lang w:val="bg-BG"/>
        </w:rPr>
        <w:t>висше образование – публичен сектор</w:t>
      </w:r>
      <w:r w:rsidR="006B14C7">
        <w:rPr>
          <w:rFonts w:ascii="Verdana" w:hAnsi="Verdana"/>
          <w:sz w:val="20"/>
          <w:szCs w:val="20"/>
          <w:lang w:val="bg-BG"/>
        </w:rPr>
        <w:t>“</w:t>
      </w:r>
      <w:r w:rsidR="00D737F0">
        <w:rPr>
          <w:rFonts w:ascii="Verdana" w:hAnsi="Verdana"/>
          <w:sz w:val="20"/>
          <w:szCs w:val="20"/>
          <w:lang w:val="bg-BG"/>
        </w:rPr>
        <w:t xml:space="preserve"> </w:t>
      </w:r>
      <w:r w:rsidR="002B50BA" w:rsidRPr="00B45B4F">
        <w:rPr>
          <w:rFonts w:ascii="Verdana" w:hAnsi="Verdana"/>
          <w:sz w:val="20"/>
          <w:szCs w:val="20"/>
          <w:lang w:val="bg-BG"/>
        </w:rPr>
        <w:t xml:space="preserve">се нуждаят от внимание </w:t>
      </w:r>
      <w:r w:rsidR="00094836" w:rsidRPr="00B45B4F">
        <w:rPr>
          <w:rFonts w:ascii="Verdana" w:hAnsi="Verdana"/>
          <w:sz w:val="20"/>
          <w:szCs w:val="20"/>
          <w:lang w:val="bg-BG"/>
        </w:rPr>
        <w:t>с цел адресиране на нуждите на местните общности.</w:t>
      </w:r>
      <w:r w:rsidR="00DD40AA" w:rsidRPr="00B45B4F">
        <w:rPr>
          <w:rFonts w:ascii="Verdana" w:hAnsi="Verdana"/>
          <w:sz w:val="20"/>
          <w:szCs w:val="20"/>
          <w:lang w:val="bg-BG"/>
        </w:rPr>
        <w:t xml:space="preserve"> В това отношение е възможна по-добра </w:t>
      </w:r>
      <w:r w:rsidR="00E2778E" w:rsidRPr="00B45B4F">
        <w:rPr>
          <w:rFonts w:ascii="Verdana" w:hAnsi="Verdana"/>
          <w:sz w:val="20"/>
          <w:szCs w:val="20"/>
          <w:lang w:val="bg-BG"/>
        </w:rPr>
        <w:t xml:space="preserve">съгласуваност между ОПНОИР и </w:t>
      </w:r>
      <w:r w:rsidR="00DD40AA" w:rsidRPr="00B45B4F">
        <w:rPr>
          <w:rFonts w:ascii="Verdana" w:hAnsi="Verdana"/>
          <w:sz w:val="20"/>
          <w:szCs w:val="20"/>
          <w:lang w:val="bg-BG"/>
        </w:rPr>
        <w:t>ОПДУ.</w:t>
      </w:r>
    </w:p>
    <w:p w:rsidR="009E0517" w:rsidRPr="00B45B4F" w:rsidRDefault="009E0517" w:rsidP="006D28EA">
      <w:pPr>
        <w:spacing w:before="120" w:after="120"/>
        <w:jc w:val="both"/>
        <w:rPr>
          <w:rFonts w:ascii="Verdana" w:hAnsi="Verdana"/>
          <w:sz w:val="20"/>
          <w:szCs w:val="20"/>
          <w:lang w:val="bg-BG"/>
        </w:rPr>
      </w:pPr>
      <w:r w:rsidRPr="00B45B4F">
        <w:rPr>
          <w:rFonts w:ascii="Verdana" w:hAnsi="Verdana"/>
          <w:sz w:val="20"/>
          <w:szCs w:val="20"/>
          <w:lang w:val="bg-BG"/>
        </w:rPr>
        <w:t xml:space="preserve">Опитът от изпълнението на проекти в досегашния програмен проект посочва, че малките проекти не водят до голяма добавена стойност, особено по отношение на подкрепата за човешките ресурси </w:t>
      </w:r>
      <w:r w:rsidR="00094836" w:rsidRPr="00B45B4F">
        <w:rPr>
          <w:rFonts w:ascii="Verdana" w:hAnsi="Verdana"/>
          <w:sz w:val="20"/>
          <w:szCs w:val="20"/>
          <w:lang w:val="bg-BG"/>
        </w:rPr>
        <w:t>–</w:t>
      </w:r>
      <w:r w:rsidRPr="00B45B4F">
        <w:rPr>
          <w:rFonts w:ascii="Verdana" w:hAnsi="Verdana"/>
          <w:sz w:val="20"/>
          <w:szCs w:val="20"/>
          <w:lang w:val="bg-BG"/>
        </w:rPr>
        <w:t xml:space="preserve"> докторанти</w:t>
      </w:r>
      <w:r w:rsidR="00094836" w:rsidRPr="00B45B4F">
        <w:rPr>
          <w:rFonts w:ascii="Verdana" w:hAnsi="Verdana"/>
          <w:sz w:val="20"/>
          <w:szCs w:val="20"/>
          <w:lang w:val="bg-BG"/>
        </w:rPr>
        <w:t xml:space="preserve">, студенти, стажове, стипендии. По-голям ефект би се получил от окрупняване на проектите на национално ниво. </w:t>
      </w:r>
    </w:p>
    <w:p w:rsidR="00DB7D03" w:rsidRPr="00B45B4F" w:rsidRDefault="00DB7D03" w:rsidP="006D28EA">
      <w:pPr>
        <w:spacing w:before="120" w:after="120"/>
        <w:jc w:val="both"/>
        <w:rPr>
          <w:rFonts w:ascii="Verdana" w:hAnsi="Verdana"/>
          <w:sz w:val="20"/>
          <w:szCs w:val="20"/>
          <w:lang w:val="bg-BG"/>
        </w:rPr>
      </w:pPr>
      <w:r w:rsidRPr="00B45B4F">
        <w:rPr>
          <w:rFonts w:ascii="Verdana" w:hAnsi="Verdana"/>
          <w:sz w:val="20"/>
          <w:szCs w:val="20"/>
          <w:lang w:val="bg-BG"/>
        </w:rPr>
        <w:t xml:space="preserve">По отношение на </w:t>
      </w:r>
      <w:r w:rsidR="00094836" w:rsidRPr="00B45B4F">
        <w:rPr>
          <w:rFonts w:ascii="Verdana" w:hAnsi="Verdana"/>
          <w:color w:val="548DD4" w:themeColor="text2" w:themeTint="99"/>
          <w:sz w:val="20"/>
          <w:szCs w:val="20"/>
          <w:lang w:val="bg-BG"/>
        </w:rPr>
        <w:t xml:space="preserve">училищното образованието </w:t>
      </w:r>
      <w:r w:rsidR="00DD40AA" w:rsidRPr="00B45B4F">
        <w:rPr>
          <w:rFonts w:ascii="Verdana" w:hAnsi="Verdana"/>
          <w:sz w:val="20"/>
          <w:szCs w:val="20"/>
          <w:lang w:val="bg-BG"/>
        </w:rPr>
        <w:t>ясно се откроява нуждата от реформа</w:t>
      </w:r>
      <w:r w:rsidR="00D737F0">
        <w:rPr>
          <w:rFonts w:ascii="Verdana" w:hAnsi="Verdana"/>
          <w:sz w:val="20"/>
          <w:szCs w:val="20"/>
          <w:lang w:val="bg-BG"/>
        </w:rPr>
        <w:t xml:space="preserve"> </w:t>
      </w:r>
      <w:r w:rsidR="00BC78F8" w:rsidRPr="00B45B4F">
        <w:rPr>
          <w:rFonts w:ascii="Verdana" w:hAnsi="Verdana"/>
          <w:sz w:val="20"/>
          <w:szCs w:val="20"/>
          <w:lang w:val="bg-BG"/>
        </w:rPr>
        <w:t xml:space="preserve">и приоритизиране на инвестициите и в същото време </w:t>
      </w:r>
      <w:r w:rsidR="00E2778E" w:rsidRPr="00B45B4F">
        <w:rPr>
          <w:rFonts w:ascii="Verdana" w:hAnsi="Verdana"/>
          <w:sz w:val="20"/>
          <w:szCs w:val="20"/>
          <w:lang w:val="bg-BG"/>
        </w:rPr>
        <w:t xml:space="preserve">от </w:t>
      </w:r>
      <w:r w:rsidR="00BC78F8" w:rsidRPr="00B45B4F">
        <w:rPr>
          <w:rFonts w:ascii="Verdana" w:hAnsi="Verdana"/>
          <w:sz w:val="20"/>
          <w:szCs w:val="20"/>
          <w:lang w:val="bg-BG"/>
        </w:rPr>
        <w:t>децентрализация на подкрепата за училищата чрез местната власт.</w:t>
      </w:r>
      <w:r w:rsidR="00E90AB9" w:rsidRPr="00B45B4F">
        <w:rPr>
          <w:rFonts w:ascii="Verdana" w:hAnsi="Verdana"/>
          <w:sz w:val="20"/>
          <w:szCs w:val="20"/>
          <w:lang w:val="bg-BG"/>
        </w:rPr>
        <w:t xml:space="preserve"> Основен акцент трябва да се постави върху подобряване на качеството на образование</w:t>
      </w:r>
      <w:r w:rsidR="00E2778E" w:rsidRPr="00B45B4F">
        <w:rPr>
          <w:rFonts w:ascii="Verdana" w:hAnsi="Verdana"/>
          <w:sz w:val="20"/>
          <w:szCs w:val="20"/>
          <w:lang w:val="bg-BG"/>
        </w:rPr>
        <w:t>то</w:t>
      </w:r>
      <w:r w:rsidR="00E90AB9" w:rsidRPr="00B45B4F">
        <w:rPr>
          <w:rFonts w:ascii="Verdana" w:hAnsi="Verdana"/>
          <w:sz w:val="20"/>
          <w:szCs w:val="20"/>
          <w:lang w:val="bg-BG"/>
        </w:rPr>
        <w:t xml:space="preserve"> и неговото модернизиране. Необходимо е разглеждане и адресиране на регионалните проблеми пред </w:t>
      </w:r>
      <w:r w:rsidR="00E2778E" w:rsidRPr="00B45B4F">
        <w:rPr>
          <w:rFonts w:ascii="Verdana" w:hAnsi="Verdana"/>
          <w:sz w:val="20"/>
          <w:szCs w:val="20"/>
          <w:lang w:val="bg-BG"/>
        </w:rPr>
        <w:t xml:space="preserve">предучилищното и </w:t>
      </w:r>
      <w:r w:rsidR="00E90AB9" w:rsidRPr="00B45B4F">
        <w:rPr>
          <w:rFonts w:ascii="Verdana" w:hAnsi="Verdana"/>
          <w:sz w:val="20"/>
          <w:szCs w:val="20"/>
          <w:lang w:val="bg-BG"/>
        </w:rPr>
        <w:t>училищното образование и детските градини.</w:t>
      </w:r>
      <w:r w:rsidR="0090754B" w:rsidRPr="00B45B4F">
        <w:rPr>
          <w:rFonts w:ascii="Verdana" w:hAnsi="Verdana"/>
          <w:sz w:val="20"/>
          <w:szCs w:val="20"/>
          <w:lang w:val="bg-BG"/>
        </w:rPr>
        <w:t xml:space="preserve"> В настоящия </w:t>
      </w:r>
      <w:r w:rsidR="00E2778E" w:rsidRPr="00B45B4F">
        <w:rPr>
          <w:rFonts w:ascii="Verdana" w:hAnsi="Verdana"/>
          <w:sz w:val="20"/>
          <w:szCs w:val="20"/>
          <w:lang w:val="bg-BG"/>
        </w:rPr>
        <w:t xml:space="preserve">си вариант </w:t>
      </w:r>
      <w:r w:rsidR="0090754B" w:rsidRPr="00B45B4F">
        <w:rPr>
          <w:rFonts w:ascii="Verdana" w:hAnsi="Verdana"/>
          <w:sz w:val="20"/>
          <w:szCs w:val="20"/>
          <w:lang w:val="bg-BG"/>
        </w:rPr>
        <w:t>програмата е твърде детайлна по отношение на подкрепата, докато виждането на участниците във фокус групата е, че тя</w:t>
      </w:r>
      <w:r w:rsidR="00BD61F8">
        <w:rPr>
          <w:rFonts w:ascii="Verdana" w:hAnsi="Verdana"/>
          <w:sz w:val="20"/>
          <w:szCs w:val="20"/>
          <w:lang w:val="bg-BG"/>
        </w:rPr>
        <w:t xml:space="preserve"> трябва да адресира преди всичко</w:t>
      </w:r>
      <w:r w:rsidR="0090754B" w:rsidRPr="00B45B4F">
        <w:rPr>
          <w:rFonts w:ascii="Verdana" w:hAnsi="Verdana"/>
          <w:sz w:val="20"/>
          <w:szCs w:val="20"/>
          <w:lang w:val="bg-BG"/>
        </w:rPr>
        <w:t xml:space="preserve"> приоритетите и да не се разсейва ресурс в дейности, които като цяло са задължение на администрацията – като актуализиране на учебни планове и програми.</w:t>
      </w:r>
    </w:p>
    <w:p w:rsidR="00BC78F8" w:rsidRPr="00B45B4F" w:rsidRDefault="00BC78F8" w:rsidP="006D28EA">
      <w:pPr>
        <w:spacing w:before="120" w:after="120"/>
        <w:jc w:val="both"/>
        <w:rPr>
          <w:rFonts w:ascii="Verdana" w:hAnsi="Verdana"/>
          <w:sz w:val="20"/>
          <w:szCs w:val="20"/>
          <w:lang w:val="bg-BG"/>
        </w:rPr>
      </w:pPr>
      <w:r w:rsidRPr="00B45B4F">
        <w:rPr>
          <w:rFonts w:ascii="Verdana" w:hAnsi="Verdana"/>
          <w:sz w:val="20"/>
          <w:szCs w:val="20"/>
          <w:lang w:val="bg-BG"/>
        </w:rPr>
        <w:t>Интеграция</w:t>
      </w:r>
      <w:r w:rsidR="006B14C7">
        <w:rPr>
          <w:rFonts w:ascii="Verdana" w:hAnsi="Verdana"/>
          <w:sz w:val="20"/>
          <w:szCs w:val="20"/>
          <w:lang w:val="bg-BG"/>
        </w:rPr>
        <w:t>та</w:t>
      </w:r>
      <w:r w:rsidRPr="00B45B4F">
        <w:rPr>
          <w:rFonts w:ascii="Verdana" w:hAnsi="Verdana"/>
          <w:sz w:val="20"/>
          <w:szCs w:val="20"/>
          <w:lang w:val="bg-BG"/>
        </w:rPr>
        <w:t xml:space="preserve"> в образованието на </w:t>
      </w:r>
      <w:proofErr w:type="spellStart"/>
      <w:r w:rsidRPr="00B45B4F">
        <w:rPr>
          <w:rFonts w:ascii="Verdana" w:hAnsi="Verdana"/>
          <w:sz w:val="20"/>
          <w:szCs w:val="20"/>
          <w:lang w:val="bg-BG"/>
        </w:rPr>
        <w:t>ма</w:t>
      </w:r>
      <w:r w:rsidR="00594C30">
        <w:rPr>
          <w:rFonts w:ascii="Verdana" w:hAnsi="Verdana"/>
          <w:sz w:val="20"/>
          <w:szCs w:val="20"/>
          <w:lang w:val="bg-BG"/>
        </w:rPr>
        <w:t>ргинализирани</w:t>
      </w:r>
      <w:proofErr w:type="spellEnd"/>
      <w:r w:rsidR="00594C30">
        <w:rPr>
          <w:rFonts w:ascii="Verdana" w:hAnsi="Verdana"/>
          <w:sz w:val="20"/>
          <w:szCs w:val="20"/>
          <w:lang w:val="bg-BG"/>
        </w:rPr>
        <w:t xml:space="preserve"> общности не бива д</w:t>
      </w:r>
      <w:r w:rsidRPr="00B45B4F">
        <w:rPr>
          <w:rFonts w:ascii="Verdana" w:hAnsi="Verdana"/>
          <w:sz w:val="20"/>
          <w:szCs w:val="20"/>
          <w:lang w:val="bg-BG"/>
        </w:rPr>
        <w:t xml:space="preserve">а се </w:t>
      </w:r>
      <w:r w:rsidR="002B50BA" w:rsidRPr="00B45B4F">
        <w:rPr>
          <w:rFonts w:ascii="Verdana" w:hAnsi="Verdana"/>
          <w:sz w:val="20"/>
          <w:szCs w:val="20"/>
          <w:lang w:val="bg-BG"/>
        </w:rPr>
        <w:t>ограничава</w:t>
      </w:r>
      <w:r w:rsidRPr="00B45B4F">
        <w:rPr>
          <w:rFonts w:ascii="Verdana" w:hAnsi="Verdana"/>
          <w:sz w:val="20"/>
          <w:szCs w:val="20"/>
          <w:lang w:val="bg-BG"/>
        </w:rPr>
        <w:t xml:space="preserve"> само до ромите. Нарасналият миграционен поток към страната налага разглеждането на проблема в по-широк аспект, включително </w:t>
      </w:r>
      <w:r w:rsidR="00E90AB9" w:rsidRPr="00B45B4F">
        <w:rPr>
          <w:rFonts w:ascii="Verdana" w:hAnsi="Verdana"/>
          <w:sz w:val="20"/>
          <w:szCs w:val="20"/>
          <w:lang w:val="bg-BG"/>
        </w:rPr>
        <w:t>за решаване на демографски проблеми.</w:t>
      </w:r>
    </w:p>
    <w:p w:rsidR="00914D85" w:rsidRPr="00B45B4F" w:rsidRDefault="00914D85" w:rsidP="00914D85">
      <w:pPr>
        <w:spacing w:before="120" w:after="120"/>
        <w:jc w:val="both"/>
        <w:rPr>
          <w:rFonts w:ascii="Verdana" w:hAnsi="Verdana"/>
          <w:sz w:val="20"/>
          <w:szCs w:val="20"/>
          <w:lang w:val="bg-BG"/>
        </w:rPr>
      </w:pPr>
      <w:r w:rsidRPr="00B45B4F">
        <w:rPr>
          <w:rFonts w:ascii="Verdana" w:hAnsi="Verdana"/>
          <w:sz w:val="20"/>
          <w:szCs w:val="20"/>
          <w:lang w:val="bg-BG"/>
        </w:rPr>
        <w:t xml:space="preserve">Подкрепата за кариерното развитие на </w:t>
      </w:r>
      <w:r w:rsidR="00E2778E" w:rsidRPr="00B45B4F">
        <w:rPr>
          <w:rFonts w:ascii="Verdana" w:hAnsi="Verdana"/>
          <w:sz w:val="20"/>
          <w:szCs w:val="20"/>
          <w:lang w:val="bg-BG"/>
        </w:rPr>
        <w:t>учителите може да е по-ефективна</w:t>
      </w:r>
      <w:r w:rsidRPr="00B45B4F">
        <w:rPr>
          <w:rFonts w:ascii="Verdana" w:hAnsi="Verdana"/>
          <w:sz w:val="20"/>
          <w:szCs w:val="20"/>
          <w:lang w:val="bg-BG"/>
        </w:rPr>
        <w:t xml:space="preserve"> ако стъпи на съществуващите механизми за кариерно развитие, включително </w:t>
      </w:r>
      <w:r w:rsidR="002B50BA" w:rsidRPr="00B45B4F">
        <w:rPr>
          <w:rFonts w:ascii="Verdana" w:hAnsi="Verdana"/>
          <w:sz w:val="20"/>
          <w:szCs w:val="20"/>
          <w:lang w:val="bg-BG"/>
        </w:rPr>
        <w:t xml:space="preserve">по отношение на </w:t>
      </w:r>
      <w:r w:rsidRPr="00B45B4F">
        <w:rPr>
          <w:rFonts w:ascii="Verdana" w:hAnsi="Verdana"/>
          <w:sz w:val="20"/>
          <w:szCs w:val="20"/>
          <w:lang w:val="bg-BG"/>
        </w:rPr>
        <w:t>осигуряване на мобилност на учителите.</w:t>
      </w:r>
    </w:p>
    <w:p w:rsidR="00DD40AA" w:rsidRPr="00B45B4F" w:rsidRDefault="00DD40AA" w:rsidP="006D28EA">
      <w:pPr>
        <w:spacing w:before="120" w:after="120"/>
        <w:jc w:val="both"/>
        <w:rPr>
          <w:rFonts w:ascii="Verdana" w:hAnsi="Verdana"/>
          <w:sz w:val="20"/>
          <w:szCs w:val="20"/>
          <w:lang w:val="bg-BG"/>
        </w:rPr>
      </w:pPr>
      <w:r w:rsidRPr="00B45B4F">
        <w:rPr>
          <w:rFonts w:ascii="Verdana" w:hAnsi="Verdana"/>
          <w:sz w:val="20"/>
          <w:szCs w:val="20"/>
          <w:lang w:val="bg-BG"/>
        </w:rPr>
        <w:t>По отношение на човешките ресурси</w:t>
      </w:r>
      <w:r w:rsidR="00E2778E" w:rsidRPr="00B45B4F">
        <w:rPr>
          <w:rFonts w:ascii="Verdana" w:hAnsi="Verdana"/>
          <w:sz w:val="20"/>
          <w:szCs w:val="20"/>
          <w:lang w:val="bg-BG"/>
        </w:rPr>
        <w:t>,</w:t>
      </w:r>
      <w:r w:rsidRPr="00B45B4F">
        <w:rPr>
          <w:rFonts w:ascii="Verdana" w:hAnsi="Verdana"/>
          <w:sz w:val="20"/>
          <w:szCs w:val="20"/>
          <w:lang w:val="bg-BG"/>
        </w:rPr>
        <w:t xml:space="preserve"> във всички сфери </w:t>
      </w:r>
      <w:r w:rsidR="00E2778E" w:rsidRPr="00B45B4F">
        <w:rPr>
          <w:rFonts w:ascii="Verdana" w:hAnsi="Verdana"/>
          <w:sz w:val="20"/>
          <w:szCs w:val="20"/>
          <w:lang w:val="bg-BG"/>
        </w:rPr>
        <w:t xml:space="preserve">като </w:t>
      </w:r>
      <w:r w:rsidRPr="00B45B4F">
        <w:rPr>
          <w:rFonts w:ascii="Verdana" w:hAnsi="Verdana"/>
          <w:sz w:val="20"/>
          <w:szCs w:val="20"/>
          <w:lang w:val="bg-BG"/>
        </w:rPr>
        <w:t xml:space="preserve">основен проблем </w:t>
      </w:r>
      <w:r w:rsidR="00E2778E" w:rsidRPr="00B45B4F">
        <w:rPr>
          <w:rFonts w:ascii="Verdana" w:hAnsi="Verdana"/>
          <w:sz w:val="20"/>
          <w:szCs w:val="20"/>
          <w:lang w:val="bg-BG"/>
        </w:rPr>
        <w:t xml:space="preserve">се явява </w:t>
      </w:r>
      <w:r w:rsidRPr="00B45B4F">
        <w:rPr>
          <w:rFonts w:ascii="Verdana" w:hAnsi="Verdana"/>
          <w:sz w:val="20"/>
          <w:szCs w:val="20"/>
          <w:lang w:val="bg-BG"/>
        </w:rPr>
        <w:t>заплащането на труда</w:t>
      </w:r>
      <w:r w:rsidR="00E2778E" w:rsidRPr="00B45B4F">
        <w:rPr>
          <w:rFonts w:ascii="Verdana" w:hAnsi="Verdana"/>
          <w:sz w:val="20"/>
          <w:szCs w:val="20"/>
          <w:lang w:val="bg-BG"/>
        </w:rPr>
        <w:t xml:space="preserve"> –</w:t>
      </w:r>
      <w:r w:rsidRPr="00B45B4F">
        <w:rPr>
          <w:rFonts w:ascii="Verdana" w:hAnsi="Verdana"/>
          <w:sz w:val="20"/>
          <w:szCs w:val="20"/>
          <w:lang w:val="bg-BG"/>
        </w:rPr>
        <w:t xml:space="preserve"> проблем</w:t>
      </w:r>
      <w:r w:rsidR="00E2778E" w:rsidRPr="00B45B4F">
        <w:rPr>
          <w:rFonts w:ascii="Verdana" w:hAnsi="Verdana"/>
          <w:sz w:val="20"/>
          <w:szCs w:val="20"/>
          <w:lang w:val="bg-BG"/>
        </w:rPr>
        <w:t>,</w:t>
      </w:r>
      <w:r w:rsidRPr="00B45B4F">
        <w:rPr>
          <w:rFonts w:ascii="Verdana" w:hAnsi="Verdana"/>
          <w:sz w:val="20"/>
          <w:szCs w:val="20"/>
          <w:lang w:val="bg-BG"/>
        </w:rPr>
        <w:t xml:space="preserve"> който не се разглежда и анализира и </w:t>
      </w:r>
      <w:r w:rsidR="002B50BA" w:rsidRPr="00B45B4F">
        <w:rPr>
          <w:rFonts w:ascii="Verdana" w:hAnsi="Verdana"/>
          <w:sz w:val="20"/>
          <w:szCs w:val="20"/>
          <w:lang w:val="bg-BG"/>
        </w:rPr>
        <w:t>за ко</w:t>
      </w:r>
      <w:r w:rsidR="00BD61F8">
        <w:rPr>
          <w:rFonts w:ascii="Verdana" w:hAnsi="Verdana"/>
          <w:sz w:val="20"/>
          <w:szCs w:val="20"/>
          <w:lang w:val="bg-BG"/>
        </w:rPr>
        <w:t xml:space="preserve">йто </w:t>
      </w:r>
      <w:r w:rsidRPr="00B45B4F">
        <w:rPr>
          <w:rFonts w:ascii="Verdana" w:hAnsi="Verdana"/>
          <w:sz w:val="20"/>
          <w:szCs w:val="20"/>
          <w:lang w:val="bg-BG"/>
        </w:rPr>
        <w:t xml:space="preserve">съответно не са предвидени решения. </w:t>
      </w:r>
    </w:p>
    <w:p w:rsidR="00914D85" w:rsidRPr="00B45B4F" w:rsidRDefault="00914D85" w:rsidP="006D28EA">
      <w:pPr>
        <w:spacing w:before="120" w:after="120"/>
        <w:jc w:val="both"/>
        <w:rPr>
          <w:rFonts w:ascii="Verdana" w:hAnsi="Verdana"/>
          <w:sz w:val="20"/>
          <w:szCs w:val="20"/>
          <w:lang w:val="bg-BG"/>
        </w:rPr>
      </w:pPr>
      <w:r w:rsidRPr="00B45B4F">
        <w:rPr>
          <w:rFonts w:ascii="Verdana" w:hAnsi="Verdana"/>
          <w:sz w:val="20"/>
          <w:szCs w:val="20"/>
          <w:lang w:val="bg-BG"/>
        </w:rPr>
        <w:t>В допълнение бяха отправени следните общи препоръки:</w:t>
      </w:r>
    </w:p>
    <w:p w:rsidR="00914D85" w:rsidRPr="00B45B4F" w:rsidRDefault="00914D85" w:rsidP="006861B0">
      <w:pPr>
        <w:pStyle w:val="ListParagraph"/>
        <w:numPr>
          <w:ilvl w:val="0"/>
          <w:numId w:val="55"/>
        </w:numPr>
        <w:spacing w:before="120" w:after="120"/>
        <w:jc w:val="both"/>
        <w:rPr>
          <w:rFonts w:ascii="Verdana" w:hAnsi="Verdana"/>
          <w:sz w:val="20"/>
          <w:szCs w:val="20"/>
          <w:lang w:val="bg-BG"/>
        </w:rPr>
      </w:pPr>
      <w:r w:rsidRPr="00B45B4F">
        <w:rPr>
          <w:rFonts w:ascii="Verdana" w:hAnsi="Verdana"/>
          <w:sz w:val="20"/>
          <w:szCs w:val="20"/>
          <w:lang w:val="bg-BG"/>
        </w:rPr>
        <w:t>Да се потърси сътрудничеството на специализираните дирекции в МОН за подобряване на анализите в текста на програмата;</w:t>
      </w:r>
    </w:p>
    <w:p w:rsidR="00914D85" w:rsidRPr="00B45B4F" w:rsidRDefault="00914D85" w:rsidP="006861B0">
      <w:pPr>
        <w:pStyle w:val="ListParagraph"/>
        <w:numPr>
          <w:ilvl w:val="0"/>
          <w:numId w:val="55"/>
        </w:numPr>
        <w:spacing w:before="120" w:after="120"/>
        <w:jc w:val="both"/>
        <w:rPr>
          <w:rFonts w:ascii="Verdana" w:hAnsi="Verdana"/>
          <w:sz w:val="20"/>
          <w:szCs w:val="20"/>
          <w:lang w:val="bg-BG"/>
        </w:rPr>
      </w:pPr>
      <w:r w:rsidRPr="00B45B4F">
        <w:rPr>
          <w:rFonts w:ascii="Verdana" w:hAnsi="Verdana"/>
          <w:sz w:val="20"/>
          <w:szCs w:val="20"/>
          <w:lang w:val="bg-BG"/>
        </w:rPr>
        <w:t>Да се окрупнят темите и дейностите;</w:t>
      </w:r>
    </w:p>
    <w:p w:rsidR="00914D85" w:rsidRPr="00B45B4F" w:rsidRDefault="00914D85" w:rsidP="006861B0">
      <w:pPr>
        <w:pStyle w:val="ListParagraph"/>
        <w:numPr>
          <w:ilvl w:val="0"/>
          <w:numId w:val="55"/>
        </w:numPr>
        <w:spacing w:before="120" w:after="120"/>
        <w:jc w:val="both"/>
        <w:rPr>
          <w:rFonts w:ascii="Verdana" w:hAnsi="Verdana"/>
          <w:sz w:val="20"/>
          <w:szCs w:val="20"/>
          <w:lang w:val="bg-BG"/>
        </w:rPr>
      </w:pPr>
      <w:r w:rsidRPr="00B45B4F">
        <w:rPr>
          <w:rFonts w:ascii="Verdana" w:hAnsi="Verdana"/>
          <w:sz w:val="20"/>
          <w:szCs w:val="20"/>
          <w:lang w:val="bg-BG"/>
        </w:rPr>
        <w:t>Да се прецизират индикаторите.</w:t>
      </w:r>
    </w:p>
    <w:p w:rsidR="00DD40AA" w:rsidRPr="00B45B4F" w:rsidRDefault="002B50BA" w:rsidP="006D28EA">
      <w:pPr>
        <w:spacing w:before="120" w:after="120"/>
        <w:jc w:val="both"/>
        <w:rPr>
          <w:rFonts w:ascii="Verdana" w:hAnsi="Verdana"/>
          <w:sz w:val="20"/>
          <w:szCs w:val="20"/>
          <w:lang w:val="bg-BG"/>
        </w:rPr>
      </w:pPr>
      <w:r w:rsidRPr="00B45B4F">
        <w:rPr>
          <w:rFonts w:ascii="Verdana" w:hAnsi="Verdana"/>
          <w:sz w:val="20"/>
          <w:szCs w:val="20"/>
          <w:lang w:val="bg-BG"/>
        </w:rPr>
        <w:lastRenderedPageBreak/>
        <w:t>Получената информация чрез онлайн проучването в голяма степен потвърждава вижданията, изразени по време на фокус групата.</w:t>
      </w:r>
    </w:p>
    <w:p w:rsidR="002B50BA" w:rsidRPr="00B45B4F" w:rsidRDefault="0090754B" w:rsidP="006D28EA">
      <w:pPr>
        <w:spacing w:before="120" w:after="120"/>
        <w:jc w:val="both"/>
        <w:rPr>
          <w:rFonts w:ascii="Verdana" w:hAnsi="Verdana"/>
          <w:sz w:val="20"/>
          <w:szCs w:val="20"/>
          <w:lang w:val="bg-BG"/>
        </w:rPr>
      </w:pPr>
      <w:r w:rsidRPr="00B45B4F">
        <w:rPr>
          <w:rFonts w:ascii="Verdana" w:hAnsi="Verdana"/>
          <w:sz w:val="20"/>
          <w:szCs w:val="20"/>
          <w:lang w:val="bg-BG"/>
        </w:rPr>
        <w:t>Като основни проблеми, които трябва да бъдат приоритетно разгледани</w:t>
      </w:r>
      <w:r w:rsidR="00CA727B">
        <w:rPr>
          <w:rFonts w:ascii="Verdana" w:hAnsi="Verdana"/>
          <w:sz w:val="20"/>
          <w:szCs w:val="20"/>
          <w:lang w:val="bg-BG"/>
        </w:rPr>
        <w:t>,</w:t>
      </w:r>
      <w:r w:rsidRPr="00B45B4F">
        <w:rPr>
          <w:rFonts w:ascii="Verdana" w:hAnsi="Verdana"/>
          <w:sz w:val="20"/>
          <w:szCs w:val="20"/>
          <w:lang w:val="bg-BG"/>
        </w:rPr>
        <w:t xml:space="preserve"> са посочени повишаване качеството на училищното</w:t>
      </w:r>
      <w:r w:rsidR="00E655E4" w:rsidRPr="00B45B4F">
        <w:rPr>
          <w:rFonts w:ascii="Verdana" w:hAnsi="Verdana"/>
          <w:sz w:val="20"/>
          <w:szCs w:val="20"/>
          <w:lang w:val="bg-BG"/>
        </w:rPr>
        <w:t>,</w:t>
      </w:r>
      <w:r w:rsidRPr="00B45B4F">
        <w:rPr>
          <w:rFonts w:ascii="Verdana" w:hAnsi="Verdana"/>
          <w:sz w:val="20"/>
          <w:szCs w:val="20"/>
          <w:lang w:val="bg-BG"/>
        </w:rPr>
        <w:t xml:space="preserve"> висшето и професионалното образоване, следвани от развитието на науката и научните изследвания и развитие</w:t>
      </w:r>
      <w:r w:rsidR="00E2778E" w:rsidRPr="00B45B4F">
        <w:rPr>
          <w:rFonts w:ascii="Verdana" w:hAnsi="Verdana"/>
          <w:sz w:val="20"/>
          <w:szCs w:val="20"/>
          <w:lang w:val="bg-BG"/>
        </w:rPr>
        <w:t>то</w:t>
      </w:r>
      <w:r w:rsidRPr="00B45B4F">
        <w:rPr>
          <w:rFonts w:ascii="Verdana" w:hAnsi="Verdana"/>
          <w:sz w:val="20"/>
          <w:szCs w:val="20"/>
          <w:lang w:val="bg-BG"/>
        </w:rPr>
        <w:t xml:space="preserve"> на </w:t>
      </w:r>
      <w:proofErr w:type="spellStart"/>
      <w:r w:rsidRPr="00B45B4F">
        <w:rPr>
          <w:rFonts w:ascii="Verdana" w:hAnsi="Verdana"/>
          <w:sz w:val="20"/>
          <w:szCs w:val="20"/>
          <w:lang w:val="bg-BG"/>
        </w:rPr>
        <w:t>синергични</w:t>
      </w:r>
      <w:proofErr w:type="spellEnd"/>
      <w:r w:rsidRPr="00B45B4F">
        <w:rPr>
          <w:rFonts w:ascii="Verdana" w:hAnsi="Verdana"/>
          <w:sz w:val="20"/>
          <w:szCs w:val="20"/>
          <w:lang w:val="bg-BG"/>
        </w:rPr>
        <w:t xml:space="preserve"> връзки между бизнеса, науката и образованието (</w:t>
      </w:r>
      <w:r w:rsidR="00BD61F8">
        <w:rPr>
          <w:rFonts w:ascii="Verdana" w:hAnsi="Verdana"/>
          <w:sz w:val="20"/>
          <w:szCs w:val="20"/>
          <w:lang w:val="bg-BG"/>
        </w:rPr>
        <w:t xml:space="preserve">Фигура </w:t>
      </w:r>
      <w:r w:rsidR="00E054C6">
        <w:rPr>
          <w:rFonts w:ascii="Verdana" w:hAnsi="Verdana"/>
          <w:sz w:val="20"/>
          <w:szCs w:val="20"/>
          <w:lang w:val="bg-BG"/>
        </w:rPr>
        <w:t>5</w:t>
      </w:r>
      <w:r w:rsidRPr="00B45B4F">
        <w:rPr>
          <w:rFonts w:ascii="Verdana" w:hAnsi="Verdana"/>
          <w:sz w:val="20"/>
          <w:szCs w:val="20"/>
          <w:lang w:val="bg-BG"/>
        </w:rPr>
        <w:t>).</w:t>
      </w:r>
    </w:p>
    <w:p w:rsidR="002B50BA" w:rsidRPr="00B45B4F" w:rsidRDefault="00E655E4" w:rsidP="006D28EA">
      <w:pPr>
        <w:spacing w:before="120" w:after="120"/>
        <w:jc w:val="both"/>
        <w:rPr>
          <w:rFonts w:ascii="Verdana" w:hAnsi="Verdana"/>
          <w:sz w:val="20"/>
          <w:szCs w:val="20"/>
          <w:lang w:val="bg-BG"/>
        </w:rPr>
      </w:pPr>
      <w:r w:rsidRPr="00B45B4F">
        <w:rPr>
          <w:rFonts w:ascii="Verdana" w:hAnsi="Verdana"/>
          <w:sz w:val="20"/>
          <w:szCs w:val="20"/>
          <w:lang w:val="bg-BG"/>
        </w:rPr>
        <w:t xml:space="preserve">Отговорите на респондентите на онлайн въпросника са представени в Приложение 4 на настоящия доклад. </w:t>
      </w:r>
    </w:p>
    <w:p w:rsidR="002B50BA" w:rsidRPr="00B45B4F" w:rsidRDefault="00AD2C4F" w:rsidP="001E66F2">
      <w:pPr>
        <w:spacing w:before="120" w:after="120"/>
        <w:jc w:val="both"/>
        <w:rPr>
          <w:rFonts w:ascii="Verdana" w:hAnsi="Verdana"/>
          <w:sz w:val="20"/>
          <w:szCs w:val="20"/>
          <w:lang w:val="bg-BG"/>
        </w:rPr>
      </w:pPr>
      <w:r w:rsidRPr="00AD2C4F">
        <w:rPr>
          <w:rFonts w:ascii="Verdana" w:hAnsi="Verdana"/>
          <w:noProof/>
          <w:sz w:val="20"/>
          <w:szCs w:val="20"/>
          <w:lang w:val="bg-BG" w:eastAsia="bg-BG"/>
        </w:rPr>
        <w:drawing>
          <wp:inline distT="0" distB="0" distL="0" distR="0" wp14:anchorId="26B142DD" wp14:editId="795EE6B5">
            <wp:extent cx="5772150" cy="5629275"/>
            <wp:effectExtent l="0" t="0" r="0" b="9525"/>
            <wp:docPr id="2" name="New picture"/>
            <wp:cNvGraphicFramePr/>
            <a:graphic xmlns:a="http://schemas.openxmlformats.org/drawingml/2006/main">
              <a:graphicData uri="http://schemas.openxmlformats.org/drawingml/2006/picture">
                <pic:pic xmlns:pic="http://schemas.openxmlformats.org/drawingml/2006/picture">
                  <pic:nvPicPr>
                    <pic:cNvPr id="2" name="New picture"/>
                    <pic:cNvPicPr/>
                  </pic:nvPicPr>
                  <pic:blipFill>
                    <a:blip r:embed="rId45"/>
                    <a:srcRect/>
                    <a:stretch>
                      <a:fillRect/>
                    </a:stretch>
                  </pic:blipFill>
                  <pic:spPr>
                    <a:xfrm>
                      <a:off x="0" y="0"/>
                      <a:ext cx="5772150" cy="5629275"/>
                    </a:xfrm>
                    <a:prstGeom prst="rect">
                      <a:avLst/>
                    </a:prstGeom>
                    <a:ln>
                      <a:noFill/>
                    </a:ln>
                  </pic:spPr>
                </pic:pic>
              </a:graphicData>
            </a:graphic>
          </wp:inline>
        </w:drawing>
      </w:r>
    </w:p>
    <w:p w:rsidR="003B078D" w:rsidRPr="00BD61F8" w:rsidRDefault="003B078D" w:rsidP="00B84582">
      <w:pPr>
        <w:jc w:val="both"/>
        <w:rPr>
          <w:rFonts w:ascii="Verdana" w:hAnsi="Verdana"/>
          <w:color w:val="006CB6"/>
          <w:sz w:val="16"/>
          <w:szCs w:val="16"/>
          <w:lang w:val="bg-BG"/>
        </w:rPr>
      </w:pPr>
      <w:bookmarkStart w:id="108" w:name="_Ref384994195"/>
      <w:bookmarkStart w:id="109" w:name="_Ref384994183"/>
      <w:r w:rsidRPr="00BD61F8">
        <w:rPr>
          <w:rFonts w:ascii="Verdana" w:hAnsi="Verdana"/>
          <w:i/>
          <w:sz w:val="16"/>
          <w:szCs w:val="16"/>
          <w:lang w:val="bg-BG" w:eastAsia="bg-BG"/>
        </w:rPr>
        <w:t>Източник: Онлайн проучване сред потенциални бенефициенти на програмата, членове на работната група за подготовка на програмата и експерти от УО.</w:t>
      </w:r>
    </w:p>
    <w:p w:rsidR="0090754B" w:rsidRPr="00B45B4F" w:rsidRDefault="0090754B" w:rsidP="0090754B">
      <w:pPr>
        <w:pStyle w:val="Caption"/>
        <w:jc w:val="center"/>
        <w:rPr>
          <w:rFonts w:ascii="Verdana" w:hAnsi="Verdana"/>
          <w:color w:val="006CB6"/>
        </w:rPr>
      </w:pPr>
      <w:bookmarkStart w:id="110" w:name="_Toc395609459"/>
      <w:r w:rsidRPr="00B45B4F">
        <w:rPr>
          <w:rFonts w:ascii="Verdana" w:hAnsi="Verdana"/>
          <w:color w:val="006CB6"/>
        </w:rPr>
        <w:t xml:space="preserve">Фигура </w:t>
      </w:r>
      <w:r w:rsidR="00BF1936" w:rsidRPr="00B45B4F">
        <w:rPr>
          <w:rFonts w:ascii="Verdana" w:hAnsi="Verdana"/>
          <w:color w:val="006CB6"/>
        </w:rPr>
        <w:fldChar w:fldCharType="begin"/>
      </w:r>
      <w:r w:rsidRPr="00B45B4F">
        <w:rPr>
          <w:rFonts w:ascii="Verdana" w:hAnsi="Verdana"/>
          <w:color w:val="006CB6"/>
        </w:rPr>
        <w:instrText xml:space="preserve"> SEQ Фигура \* ARABIC </w:instrText>
      </w:r>
      <w:r w:rsidR="00BF1936" w:rsidRPr="00B45B4F">
        <w:rPr>
          <w:rFonts w:ascii="Verdana" w:hAnsi="Verdana"/>
          <w:color w:val="006CB6"/>
        </w:rPr>
        <w:fldChar w:fldCharType="separate"/>
      </w:r>
      <w:r w:rsidR="001361E0">
        <w:rPr>
          <w:rFonts w:ascii="Verdana" w:hAnsi="Verdana"/>
          <w:noProof/>
          <w:color w:val="006CB6"/>
        </w:rPr>
        <w:t>5</w:t>
      </w:r>
      <w:r w:rsidR="00BF1936" w:rsidRPr="00B45B4F">
        <w:rPr>
          <w:rFonts w:ascii="Verdana" w:hAnsi="Verdana"/>
          <w:color w:val="006CB6"/>
        </w:rPr>
        <w:fldChar w:fldCharType="end"/>
      </w:r>
      <w:bookmarkEnd w:id="108"/>
      <w:r w:rsidRPr="00B45B4F">
        <w:rPr>
          <w:rFonts w:ascii="Verdana" w:hAnsi="Verdana"/>
          <w:color w:val="006CB6"/>
        </w:rPr>
        <w:t>: Приоритетни области на подкрепа според проведеното онлайн проучване</w:t>
      </w:r>
      <w:bookmarkEnd w:id="109"/>
      <w:bookmarkEnd w:id="110"/>
    </w:p>
    <w:tbl>
      <w:tblPr>
        <w:tblW w:w="0" w:type="auto"/>
        <w:tblInd w:w="108" w:type="dxa"/>
        <w:tblBorders>
          <w:top w:val="single" w:sz="4" w:space="0" w:color="auto"/>
          <w:bottom w:val="single" w:sz="4" w:space="0" w:color="auto"/>
        </w:tblBorders>
        <w:tblLook w:val="04A0" w:firstRow="1" w:lastRow="0" w:firstColumn="1" w:lastColumn="0" w:noHBand="0" w:noVBand="1"/>
      </w:tblPr>
      <w:tblGrid>
        <w:gridCol w:w="720"/>
        <w:gridCol w:w="8460"/>
      </w:tblGrid>
      <w:tr w:rsidR="006D28EA" w:rsidRPr="00B45B4F" w:rsidTr="0054272A">
        <w:tc>
          <w:tcPr>
            <w:tcW w:w="720" w:type="dxa"/>
            <w:vAlign w:val="center"/>
          </w:tcPr>
          <w:p w:rsidR="006D28EA" w:rsidRPr="00B45B4F" w:rsidRDefault="0054272A" w:rsidP="0054272A">
            <w:pPr>
              <w:pStyle w:val="BodyText"/>
              <w:keepNext/>
              <w:spacing w:after="0" w:line="276" w:lineRule="auto"/>
              <w:jc w:val="center"/>
              <w:rPr>
                <w:rFonts w:ascii="Verdana" w:hAnsi="Verdana"/>
                <w:color w:val="548DD4"/>
                <w:sz w:val="36"/>
                <w:szCs w:val="36"/>
              </w:rPr>
            </w:pPr>
            <w:r w:rsidRPr="00B45B4F">
              <w:rPr>
                <w:rFonts w:ascii="Verdana" w:eastAsia="Times New Roman" w:hAnsi="Verdana"/>
                <w:b/>
                <w:color w:val="548DD4"/>
                <w:sz w:val="36"/>
                <w:szCs w:val="36"/>
              </w:rPr>
              <w:lastRenderedPageBreak/>
              <w:t>?</w:t>
            </w:r>
          </w:p>
        </w:tc>
        <w:tc>
          <w:tcPr>
            <w:tcW w:w="8460" w:type="dxa"/>
            <w:shd w:val="clear" w:color="auto" w:fill="B8CCE4"/>
          </w:tcPr>
          <w:p w:rsidR="006D28EA" w:rsidRPr="00BD61F8" w:rsidRDefault="006D28EA" w:rsidP="0054272A">
            <w:pPr>
              <w:keepNext/>
              <w:autoSpaceDE w:val="0"/>
              <w:autoSpaceDN w:val="0"/>
              <w:adjustRightInd w:val="0"/>
              <w:spacing w:after="120" w:line="240" w:lineRule="auto"/>
              <w:ind w:left="72"/>
              <w:rPr>
                <w:rFonts w:ascii="Verdana" w:hAnsi="Verdana"/>
                <w:sz w:val="20"/>
                <w:szCs w:val="20"/>
                <w:lang w:val="bg-BG"/>
              </w:rPr>
            </w:pPr>
            <w:r w:rsidRPr="00BD61F8">
              <w:rPr>
                <w:rFonts w:ascii="Verdana" w:hAnsi="Verdana"/>
                <w:sz w:val="20"/>
                <w:szCs w:val="20"/>
                <w:lang w:val="bg-BG"/>
              </w:rPr>
              <w:t>Оценка на интегрирането на хоризонталните принцип</w:t>
            </w:r>
            <w:r w:rsidR="001C4B40" w:rsidRPr="00BD61F8">
              <w:rPr>
                <w:rFonts w:ascii="Verdana" w:hAnsi="Verdana"/>
                <w:sz w:val="20"/>
                <w:szCs w:val="20"/>
                <w:lang w:val="bg-BG"/>
              </w:rPr>
              <w:t>и</w:t>
            </w:r>
          </w:p>
          <w:p w:rsidR="006D28EA" w:rsidRPr="00B45B4F" w:rsidRDefault="006D28EA" w:rsidP="006861B0">
            <w:pPr>
              <w:pStyle w:val="ListParagraph"/>
              <w:keepNext/>
              <w:numPr>
                <w:ilvl w:val="0"/>
                <w:numId w:val="57"/>
              </w:numPr>
              <w:autoSpaceDE w:val="0"/>
              <w:autoSpaceDN w:val="0"/>
              <w:adjustRightInd w:val="0"/>
              <w:spacing w:before="120" w:after="120" w:line="240" w:lineRule="auto"/>
              <w:ind w:left="522"/>
              <w:rPr>
                <w:rFonts w:ascii="Verdana" w:hAnsi="Verdana"/>
                <w:sz w:val="20"/>
                <w:szCs w:val="20"/>
                <w:lang w:val="bg-BG"/>
              </w:rPr>
            </w:pPr>
            <w:r w:rsidRPr="00B45B4F">
              <w:rPr>
                <w:rFonts w:ascii="Verdana" w:hAnsi="Verdana"/>
                <w:sz w:val="20"/>
                <w:szCs w:val="20"/>
                <w:lang w:val="bg-BG"/>
              </w:rPr>
              <w:t xml:space="preserve">Анализ на степента, в която принципът за равенство и </w:t>
            </w:r>
            <w:proofErr w:type="spellStart"/>
            <w:r w:rsidRPr="00B45B4F">
              <w:rPr>
                <w:rFonts w:ascii="Verdana" w:hAnsi="Verdana"/>
                <w:sz w:val="20"/>
                <w:szCs w:val="20"/>
                <w:lang w:val="bg-BG"/>
              </w:rPr>
              <w:t>недискриминация</w:t>
            </w:r>
            <w:proofErr w:type="spellEnd"/>
            <w:r w:rsidRPr="00B45B4F">
              <w:rPr>
                <w:rFonts w:ascii="Verdana" w:hAnsi="Verdana"/>
                <w:sz w:val="20"/>
                <w:szCs w:val="20"/>
                <w:lang w:val="bg-BG"/>
              </w:rPr>
              <w:t xml:space="preserve"> е залегнал в програмния документ и степента, в която фигурира в различните части на програмата;</w:t>
            </w:r>
          </w:p>
          <w:p w:rsidR="006D28EA" w:rsidRPr="00B45B4F" w:rsidRDefault="006D28EA" w:rsidP="006861B0">
            <w:pPr>
              <w:pStyle w:val="ListParagraph"/>
              <w:keepNext/>
              <w:numPr>
                <w:ilvl w:val="0"/>
                <w:numId w:val="57"/>
              </w:numPr>
              <w:autoSpaceDE w:val="0"/>
              <w:autoSpaceDN w:val="0"/>
              <w:adjustRightInd w:val="0"/>
              <w:spacing w:before="120" w:after="120" w:line="240" w:lineRule="auto"/>
              <w:ind w:left="522"/>
              <w:rPr>
                <w:rFonts w:ascii="Verdana" w:hAnsi="Verdana"/>
                <w:sz w:val="18"/>
                <w:szCs w:val="18"/>
                <w:lang w:val="bg-BG"/>
              </w:rPr>
            </w:pPr>
            <w:r w:rsidRPr="00B45B4F">
              <w:rPr>
                <w:rFonts w:ascii="Verdana" w:hAnsi="Verdana"/>
                <w:sz w:val="20"/>
                <w:szCs w:val="20"/>
                <w:lang w:val="bg-BG"/>
              </w:rPr>
              <w:t xml:space="preserve">Оценка на потенциалния принос на програмата към насърчаването на равните възможности между половете и </w:t>
            </w:r>
            <w:proofErr w:type="spellStart"/>
            <w:r w:rsidRPr="00B45B4F">
              <w:rPr>
                <w:rFonts w:ascii="Verdana" w:hAnsi="Verdana"/>
                <w:sz w:val="20"/>
                <w:szCs w:val="20"/>
                <w:lang w:val="bg-BG"/>
              </w:rPr>
              <w:t>недискриминацията</w:t>
            </w:r>
            <w:proofErr w:type="spellEnd"/>
            <w:r w:rsidRPr="00B45B4F">
              <w:rPr>
                <w:rFonts w:ascii="Verdana" w:hAnsi="Verdana"/>
                <w:sz w:val="20"/>
                <w:szCs w:val="20"/>
                <w:lang w:val="bg-BG"/>
              </w:rPr>
              <w:t>;</w:t>
            </w:r>
          </w:p>
        </w:tc>
      </w:tr>
    </w:tbl>
    <w:p w:rsidR="00BF28D4" w:rsidRPr="00B45B4F" w:rsidRDefault="00BF28D4" w:rsidP="00D51B87">
      <w:pPr>
        <w:keepNext/>
        <w:pBdr>
          <w:bottom w:val="single" w:sz="4" w:space="1" w:color="0070C0"/>
        </w:pBdr>
        <w:spacing w:before="360" w:after="120"/>
        <w:ind w:right="27"/>
        <w:jc w:val="both"/>
        <w:rPr>
          <w:rFonts w:ascii="Verdana" w:hAnsi="Verdana"/>
          <w:color w:val="0070C0"/>
          <w:sz w:val="20"/>
          <w:szCs w:val="20"/>
          <w:lang w:val="bg-BG" w:eastAsia="cs-CZ"/>
        </w:rPr>
      </w:pPr>
      <w:r w:rsidRPr="00B45B4F">
        <w:rPr>
          <w:rFonts w:ascii="Verdana" w:hAnsi="Verdana"/>
          <w:color w:val="0070C0"/>
          <w:sz w:val="20"/>
          <w:szCs w:val="20"/>
          <w:lang w:val="bg-BG" w:eastAsia="cs-CZ"/>
        </w:rPr>
        <w:t xml:space="preserve">Хоризонтални принципи, залегнали в основните регламенти за периода </w:t>
      </w:r>
      <w:r w:rsidR="005106CE" w:rsidRPr="00B45B4F">
        <w:rPr>
          <w:rFonts w:ascii="Verdana" w:hAnsi="Verdana"/>
          <w:color w:val="0070C0"/>
          <w:sz w:val="20"/>
          <w:szCs w:val="20"/>
          <w:lang w:val="bg-BG" w:eastAsia="cs-CZ"/>
        </w:rPr>
        <w:t>2014–2020</w:t>
      </w:r>
      <w:r w:rsidRPr="00B45B4F">
        <w:rPr>
          <w:rFonts w:ascii="Verdana" w:hAnsi="Verdana"/>
          <w:color w:val="0070C0"/>
          <w:sz w:val="20"/>
          <w:szCs w:val="20"/>
          <w:lang w:val="bg-BG" w:eastAsia="cs-CZ"/>
        </w:rPr>
        <w:t xml:space="preserve"> г.</w:t>
      </w:r>
    </w:p>
    <w:p w:rsidR="00BF28D4" w:rsidRPr="00B45B4F" w:rsidRDefault="00BF28D4" w:rsidP="00BF28D4">
      <w:pPr>
        <w:spacing w:before="120" w:after="120"/>
        <w:jc w:val="both"/>
        <w:rPr>
          <w:rFonts w:ascii="Verdana" w:hAnsi="Verdana"/>
          <w:sz w:val="20"/>
          <w:szCs w:val="20"/>
          <w:lang w:val="bg-BG"/>
        </w:rPr>
      </w:pPr>
      <w:r w:rsidRPr="00B45B4F">
        <w:rPr>
          <w:rFonts w:ascii="Verdana" w:hAnsi="Verdana"/>
          <w:sz w:val="20"/>
          <w:szCs w:val="20"/>
          <w:lang w:val="bg-BG"/>
        </w:rPr>
        <w:t xml:space="preserve">Хоризонталните принципи, посочени в основните регламенти за програмен период </w:t>
      </w:r>
      <w:r w:rsidR="005106CE" w:rsidRPr="00B45B4F">
        <w:rPr>
          <w:rFonts w:ascii="Verdana" w:hAnsi="Verdana"/>
          <w:sz w:val="20"/>
          <w:szCs w:val="20"/>
          <w:lang w:val="bg-BG"/>
        </w:rPr>
        <w:t>2014–2020</w:t>
      </w:r>
      <w:r w:rsidRPr="00B45B4F">
        <w:rPr>
          <w:rFonts w:ascii="Verdana" w:hAnsi="Verdana"/>
          <w:sz w:val="20"/>
          <w:szCs w:val="20"/>
          <w:lang w:val="bg-BG"/>
        </w:rPr>
        <w:t xml:space="preserve"> г., както и в проекта на </w:t>
      </w:r>
      <w:r w:rsidR="005D52A8" w:rsidRPr="00B45B4F">
        <w:rPr>
          <w:rFonts w:ascii="Verdana" w:hAnsi="Verdana"/>
          <w:sz w:val="20"/>
          <w:szCs w:val="20"/>
          <w:lang w:val="bg-BG"/>
        </w:rPr>
        <w:t>С</w:t>
      </w:r>
      <w:r w:rsidRPr="00B45B4F">
        <w:rPr>
          <w:rFonts w:ascii="Verdana" w:hAnsi="Verdana"/>
          <w:sz w:val="20"/>
          <w:szCs w:val="20"/>
          <w:lang w:val="bg-BG"/>
        </w:rPr>
        <w:t xml:space="preserve">поразумението за партньорство между Република България и ЕК, са систематизирани в </w:t>
      </w:r>
      <w:r w:rsidR="007C4372">
        <w:fldChar w:fldCharType="begin"/>
      </w:r>
      <w:r w:rsidR="007C4372">
        <w:instrText xml:space="preserve"> REF _Ref366664420 \h  \* MERGEFORMAT </w:instrText>
      </w:r>
      <w:r w:rsidR="007C4372">
        <w:fldChar w:fldCharType="separate"/>
      </w:r>
      <w:r w:rsidR="001361E0" w:rsidRPr="001361E0">
        <w:rPr>
          <w:rFonts w:ascii="Verdana" w:hAnsi="Verdana"/>
          <w:sz w:val="20"/>
          <w:szCs w:val="20"/>
          <w:lang w:val="bg-BG"/>
        </w:rPr>
        <w:t>Таблица 32</w:t>
      </w:r>
      <w:r w:rsidR="007C4372">
        <w:fldChar w:fldCharType="end"/>
      </w:r>
      <w:r w:rsidRPr="00B45B4F">
        <w:rPr>
          <w:rFonts w:ascii="Verdana" w:hAnsi="Verdana"/>
          <w:sz w:val="20"/>
          <w:szCs w:val="20"/>
          <w:lang w:val="bg-BG"/>
        </w:rPr>
        <w:t>.</w:t>
      </w:r>
    </w:p>
    <w:p w:rsidR="00BF28D4" w:rsidRPr="00B45B4F" w:rsidRDefault="00BF28D4" w:rsidP="000401BF">
      <w:pPr>
        <w:pStyle w:val="Caption"/>
        <w:keepNext/>
        <w:spacing w:after="120"/>
        <w:jc w:val="both"/>
        <w:rPr>
          <w:rFonts w:ascii="Verdana" w:hAnsi="Verdana"/>
          <w:color w:val="548DD4" w:themeColor="text2" w:themeTint="99"/>
        </w:rPr>
      </w:pPr>
      <w:bookmarkStart w:id="111" w:name="_Ref366664420"/>
      <w:bookmarkStart w:id="112" w:name="_Toc373747285"/>
      <w:bookmarkStart w:id="113" w:name="_Toc381712224"/>
      <w:bookmarkStart w:id="114" w:name="_Toc395612588"/>
      <w:r w:rsidRPr="00B45B4F">
        <w:rPr>
          <w:rFonts w:ascii="Verdana" w:hAnsi="Verdana"/>
          <w:color w:val="548DD4" w:themeColor="text2" w:themeTint="99"/>
        </w:rPr>
        <w:t xml:space="preserve">Таблица </w:t>
      </w:r>
      <w:r w:rsidR="00BF1936" w:rsidRPr="00B45B4F">
        <w:rPr>
          <w:rFonts w:ascii="Verdana" w:hAnsi="Verdana"/>
          <w:color w:val="548DD4" w:themeColor="text2" w:themeTint="99"/>
        </w:rPr>
        <w:fldChar w:fldCharType="begin"/>
      </w:r>
      <w:r w:rsidRPr="00B45B4F">
        <w:rPr>
          <w:rFonts w:ascii="Verdana" w:hAnsi="Verdana"/>
          <w:color w:val="548DD4" w:themeColor="text2" w:themeTint="99"/>
        </w:rPr>
        <w:instrText xml:space="preserve"> SEQ таблица \* ARABIC </w:instrText>
      </w:r>
      <w:r w:rsidR="00BF1936" w:rsidRPr="00B45B4F">
        <w:rPr>
          <w:rFonts w:ascii="Verdana" w:hAnsi="Verdana"/>
          <w:color w:val="548DD4" w:themeColor="text2" w:themeTint="99"/>
        </w:rPr>
        <w:fldChar w:fldCharType="separate"/>
      </w:r>
      <w:r w:rsidR="001361E0">
        <w:rPr>
          <w:rFonts w:ascii="Verdana" w:hAnsi="Verdana"/>
          <w:noProof/>
          <w:color w:val="548DD4" w:themeColor="text2" w:themeTint="99"/>
        </w:rPr>
        <w:t>32</w:t>
      </w:r>
      <w:r w:rsidR="00BF1936" w:rsidRPr="00B45B4F">
        <w:rPr>
          <w:rFonts w:ascii="Verdana" w:hAnsi="Verdana"/>
          <w:color w:val="548DD4" w:themeColor="text2" w:themeTint="99"/>
        </w:rPr>
        <w:fldChar w:fldCharType="end"/>
      </w:r>
      <w:bookmarkEnd w:id="111"/>
      <w:r w:rsidRPr="00B45B4F">
        <w:rPr>
          <w:rFonts w:ascii="Verdana" w:hAnsi="Verdana"/>
          <w:color w:val="548DD4" w:themeColor="text2" w:themeTint="99"/>
        </w:rPr>
        <w:t>. Хоризонтални принципи,</w:t>
      </w:r>
      <w:r w:rsidR="005D52A8" w:rsidRPr="00B45B4F">
        <w:rPr>
          <w:rFonts w:ascii="Verdana" w:hAnsi="Verdana"/>
          <w:color w:val="548DD4" w:themeColor="text2" w:themeTint="99"/>
        </w:rPr>
        <w:t xml:space="preserve"> посочени в регламенти </w:t>
      </w:r>
      <w:r w:rsidRPr="00B45B4F">
        <w:rPr>
          <w:rFonts w:ascii="Verdana" w:hAnsi="Verdana"/>
          <w:color w:val="548DD4" w:themeColor="text2" w:themeTint="99"/>
        </w:rPr>
        <w:t xml:space="preserve">за периода </w:t>
      </w:r>
      <w:r w:rsidR="005106CE" w:rsidRPr="00B45B4F">
        <w:rPr>
          <w:rFonts w:ascii="Verdana" w:hAnsi="Verdana"/>
          <w:color w:val="548DD4" w:themeColor="text2" w:themeTint="99"/>
        </w:rPr>
        <w:t>2014–2020</w:t>
      </w:r>
      <w:r w:rsidRPr="00B45B4F">
        <w:rPr>
          <w:rFonts w:ascii="Verdana" w:hAnsi="Verdana"/>
          <w:color w:val="548DD4" w:themeColor="text2" w:themeTint="99"/>
        </w:rPr>
        <w:t xml:space="preserve"> г. и в Споразумението за партньорство</w:t>
      </w:r>
      <w:bookmarkEnd w:id="112"/>
      <w:bookmarkEnd w:id="113"/>
      <w:bookmarkEnd w:id="114"/>
    </w:p>
    <w:tbl>
      <w:tblPr>
        <w:tblStyle w:val="TableGrid"/>
        <w:tblW w:w="0" w:type="auto"/>
        <w:tblInd w:w="108" w:type="dxa"/>
        <w:tblBorders>
          <w:top w:val="single" w:sz="8" w:space="0" w:color="17365D"/>
          <w:left w:val="single" w:sz="8" w:space="0" w:color="17365D"/>
          <w:bottom w:val="single" w:sz="8" w:space="0" w:color="17365D"/>
          <w:right w:val="single" w:sz="8" w:space="0" w:color="17365D"/>
          <w:insideH w:val="single" w:sz="8" w:space="0" w:color="17365D"/>
          <w:insideV w:val="single" w:sz="8" w:space="0" w:color="17365D"/>
        </w:tblBorders>
        <w:tblLook w:val="04A0" w:firstRow="1" w:lastRow="0" w:firstColumn="1" w:lastColumn="0" w:noHBand="0" w:noVBand="1"/>
      </w:tblPr>
      <w:tblGrid>
        <w:gridCol w:w="2581"/>
        <w:gridCol w:w="3969"/>
        <w:gridCol w:w="2540"/>
      </w:tblGrid>
      <w:tr w:rsidR="00BF28D4" w:rsidRPr="00BD61F8" w:rsidTr="003954E5">
        <w:tc>
          <w:tcPr>
            <w:tcW w:w="2581" w:type="dxa"/>
            <w:shd w:val="clear" w:color="auto" w:fill="548DD4" w:themeFill="text2" w:themeFillTint="99"/>
            <w:vAlign w:val="center"/>
          </w:tcPr>
          <w:p w:rsidR="00BF28D4" w:rsidRPr="00BD61F8" w:rsidRDefault="00BF28D4" w:rsidP="00145806">
            <w:pPr>
              <w:autoSpaceDE w:val="0"/>
              <w:autoSpaceDN w:val="0"/>
              <w:adjustRightInd w:val="0"/>
              <w:spacing w:after="0" w:line="240" w:lineRule="auto"/>
              <w:jc w:val="center"/>
              <w:rPr>
                <w:rFonts w:ascii="Verdana" w:hAnsi="Verdana"/>
                <w:b/>
                <w:color w:val="FFFFFF" w:themeColor="background1"/>
                <w:sz w:val="18"/>
                <w:szCs w:val="18"/>
                <w:lang w:val="bg-BG"/>
              </w:rPr>
            </w:pPr>
            <w:r w:rsidRPr="00BD61F8">
              <w:rPr>
                <w:rFonts w:ascii="Verdana" w:hAnsi="Verdana"/>
                <w:b/>
                <w:color w:val="FFFFFF" w:themeColor="background1"/>
                <w:sz w:val="18"/>
                <w:szCs w:val="18"/>
                <w:lang w:val="bg-BG"/>
              </w:rPr>
              <w:t xml:space="preserve">Регламент за </w:t>
            </w:r>
            <w:proofErr w:type="spellStart"/>
            <w:r w:rsidRPr="00BD61F8">
              <w:rPr>
                <w:rFonts w:ascii="Verdana" w:hAnsi="Verdana"/>
                <w:b/>
                <w:color w:val="FFFFFF" w:themeColor="background1"/>
                <w:sz w:val="18"/>
                <w:szCs w:val="18"/>
                <w:lang w:val="bg-BG"/>
              </w:rPr>
              <w:t>общоприложимите</w:t>
            </w:r>
            <w:proofErr w:type="spellEnd"/>
            <w:r w:rsidRPr="00BD61F8">
              <w:rPr>
                <w:rFonts w:ascii="Verdana" w:hAnsi="Verdana"/>
                <w:b/>
                <w:color w:val="FFFFFF" w:themeColor="background1"/>
                <w:sz w:val="18"/>
                <w:szCs w:val="18"/>
                <w:lang w:val="bg-BG"/>
              </w:rPr>
              <w:t xml:space="preserve"> разпоредби</w:t>
            </w:r>
            <w:r w:rsidRPr="00BD61F8">
              <w:rPr>
                <w:rStyle w:val="FootnoteReference"/>
                <w:rFonts w:ascii="Verdana" w:hAnsi="Verdana"/>
                <w:b/>
                <w:color w:val="FFFFFF" w:themeColor="background1"/>
                <w:sz w:val="18"/>
                <w:szCs w:val="18"/>
                <w:lang w:val="bg-BG"/>
              </w:rPr>
              <w:footnoteReference w:id="4"/>
            </w:r>
          </w:p>
        </w:tc>
        <w:tc>
          <w:tcPr>
            <w:tcW w:w="3969" w:type="dxa"/>
            <w:shd w:val="clear" w:color="auto" w:fill="548DD4" w:themeFill="text2" w:themeFillTint="99"/>
            <w:vAlign w:val="center"/>
          </w:tcPr>
          <w:p w:rsidR="00BF28D4" w:rsidRPr="00BD61F8" w:rsidRDefault="00BF28D4" w:rsidP="00145806">
            <w:pPr>
              <w:spacing w:after="0" w:line="240" w:lineRule="auto"/>
              <w:jc w:val="center"/>
              <w:rPr>
                <w:rFonts w:ascii="Verdana" w:hAnsi="Verdana"/>
                <w:b/>
                <w:color w:val="FFFFFF" w:themeColor="background1"/>
                <w:sz w:val="18"/>
                <w:szCs w:val="18"/>
                <w:lang w:val="bg-BG"/>
              </w:rPr>
            </w:pPr>
            <w:r w:rsidRPr="00BD61F8">
              <w:rPr>
                <w:rFonts w:ascii="Verdana" w:hAnsi="Verdana"/>
                <w:b/>
                <w:color w:val="FFFFFF" w:themeColor="background1"/>
                <w:sz w:val="18"/>
                <w:szCs w:val="18"/>
                <w:lang w:val="bg-BG"/>
              </w:rPr>
              <w:t>ЕСФ Регламент</w:t>
            </w:r>
            <w:r w:rsidRPr="00BD61F8">
              <w:rPr>
                <w:rStyle w:val="FootnoteReference"/>
                <w:rFonts w:ascii="Verdana" w:hAnsi="Verdana"/>
                <w:b/>
                <w:color w:val="FFFFFF" w:themeColor="background1"/>
                <w:sz w:val="18"/>
                <w:szCs w:val="18"/>
                <w:lang w:val="bg-BG"/>
              </w:rPr>
              <w:footnoteReference w:id="5"/>
            </w:r>
          </w:p>
        </w:tc>
        <w:tc>
          <w:tcPr>
            <w:tcW w:w="2540" w:type="dxa"/>
            <w:shd w:val="clear" w:color="auto" w:fill="548DD4" w:themeFill="text2" w:themeFillTint="99"/>
            <w:vAlign w:val="center"/>
          </w:tcPr>
          <w:p w:rsidR="00BF28D4" w:rsidRPr="00BD61F8" w:rsidRDefault="00BF28D4" w:rsidP="00B045AA">
            <w:pPr>
              <w:spacing w:after="0" w:line="240" w:lineRule="auto"/>
              <w:jc w:val="center"/>
              <w:rPr>
                <w:rFonts w:ascii="Verdana" w:hAnsi="Verdana"/>
                <w:b/>
                <w:color w:val="FFFFFF" w:themeColor="background1"/>
                <w:sz w:val="18"/>
                <w:szCs w:val="18"/>
                <w:lang w:val="bg-BG"/>
              </w:rPr>
            </w:pPr>
            <w:r w:rsidRPr="00BD61F8">
              <w:rPr>
                <w:rFonts w:ascii="Verdana" w:hAnsi="Verdana"/>
                <w:b/>
                <w:color w:val="FFFFFF" w:themeColor="background1"/>
                <w:sz w:val="18"/>
                <w:szCs w:val="18"/>
                <w:lang w:val="bg-BG"/>
              </w:rPr>
              <w:t>Споразумение за партньорство</w:t>
            </w:r>
          </w:p>
        </w:tc>
      </w:tr>
      <w:tr w:rsidR="00BF28D4" w:rsidRPr="00BD61F8" w:rsidTr="003954E5">
        <w:tc>
          <w:tcPr>
            <w:tcW w:w="2581" w:type="dxa"/>
          </w:tcPr>
          <w:p w:rsidR="00BF28D4" w:rsidRPr="00BD61F8" w:rsidRDefault="00BF28D4" w:rsidP="006861B0">
            <w:pPr>
              <w:pStyle w:val="BodyText"/>
              <w:numPr>
                <w:ilvl w:val="0"/>
                <w:numId w:val="29"/>
              </w:numPr>
              <w:tabs>
                <w:tab w:val="left" w:pos="0"/>
                <w:tab w:val="left" w:pos="1418"/>
                <w:tab w:val="right" w:pos="9214"/>
              </w:tabs>
              <w:spacing w:after="60"/>
              <w:ind w:left="284" w:hanging="284"/>
              <w:jc w:val="both"/>
              <w:rPr>
                <w:rFonts w:ascii="Verdana" w:hAnsi="Verdana"/>
                <w:sz w:val="18"/>
                <w:szCs w:val="18"/>
              </w:rPr>
            </w:pPr>
            <w:r w:rsidRPr="00BD61F8">
              <w:rPr>
                <w:rFonts w:ascii="Verdana" w:hAnsi="Verdana"/>
                <w:sz w:val="18"/>
                <w:szCs w:val="18"/>
              </w:rPr>
              <w:t>Партньорство и многостепенно управление</w:t>
            </w:r>
          </w:p>
          <w:p w:rsidR="00BF28D4" w:rsidRPr="00BD61F8" w:rsidRDefault="00BF28D4" w:rsidP="006861B0">
            <w:pPr>
              <w:pStyle w:val="BodyText"/>
              <w:numPr>
                <w:ilvl w:val="0"/>
                <w:numId w:val="29"/>
              </w:numPr>
              <w:tabs>
                <w:tab w:val="left" w:pos="0"/>
                <w:tab w:val="left" w:pos="1418"/>
                <w:tab w:val="right" w:pos="9214"/>
              </w:tabs>
              <w:spacing w:after="60"/>
              <w:ind w:left="284" w:hanging="284"/>
              <w:jc w:val="both"/>
              <w:rPr>
                <w:rFonts w:ascii="Verdana" w:hAnsi="Verdana"/>
                <w:sz w:val="18"/>
                <w:szCs w:val="18"/>
              </w:rPr>
            </w:pPr>
            <w:r w:rsidRPr="00BD61F8">
              <w:rPr>
                <w:rFonts w:ascii="Verdana" w:hAnsi="Verdana"/>
                <w:sz w:val="18"/>
                <w:szCs w:val="18"/>
              </w:rPr>
              <w:t xml:space="preserve">Насърчаване равенство между мъжете и жените и </w:t>
            </w:r>
            <w:proofErr w:type="spellStart"/>
            <w:r w:rsidRPr="00BD61F8">
              <w:rPr>
                <w:rFonts w:ascii="Verdana" w:hAnsi="Verdana"/>
                <w:sz w:val="18"/>
                <w:szCs w:val="18"/>
              </w:rPr>
              <w:t>недискриминация</w:t>
            </w:r>
            <w:proofErr w:type="spellEnd"/>
          </w:p>
          <w:p w:rsidR="00BF28D4" w:rsidRPr="00BD61F8" w:rsidRDefault="00BF28D4" w:rsidP="006861B0">
            <w:pPr>
              <w:pStyle w:val="BodyText"/>
              <w:numPr>
                <w:ilvl w:val="0"/>
                <w:numId w:val="29"/>
              </w:numPr>
              <w:tabs>
                <w:tab w:val="left" w:pos="0"/>
                <w:tab w:val="left" w:pos="1418"/>
                <w:tab w:val="right" w:pos="9214"/>
              </w:tabs>
              <w:spacing w:after="60"/>
              <w:ind w:left="284" w:hanging="284"/>
              <w:jc w:val="both"/>
              <w:rPr>
                <w:rFonts w:ascii="Verdana" w:hAnsi="Verdana"/>
                <w:sz w:val="18"/>
                <w:szCs w:val="18"/>
              </w:rPr>
            </w:pPr>
            <w:r w:rsidRPr="00BD61F8">
              <w:rPr>
                <w:rFonts w:ascii="Verdana" w:hAnsi="Verdana"/>
                <w:sz w:val="18"/>
                <w:szCs w:val="18"/>
              </w:rPr>
              <w:t>Устойчиво развитие</w:t>
            </w:r>
          </w:p>
        </w:tc>
        <w:tc>
          <w:tcPr>
            <w:tcW w:w="3969" w:type="dxa"/>
          </w:tcPr>
          <w:p w:rsidR="00BF28D4" w:rsidRPr="00BD61F8" w:rsidRDefault="00BF28D4" w:rsidP="006861B0">
            <w:pPr>
              <w:pStyle w:val="BodyText"/>
              <w:numPr>
                <w:ilvl w:val="0"/>
                <w:numId w:val="29"/>
              </w:numPr>
              <w:tabs>
                <w:tab w:val="left" w:pos="0"/>
                <w:tab w:val="left" w:pos="1418"/>
                <w:tab w:val="right" w:pos="9214"/>
              </w:tabs>
              <w:spacing w:after="60"/>
              <w:ind w:left="284" w:hanging="284"/>
              <w:jc w:val="both"/>
              <w:rPr>
                <w:rFonts w:ascii="Verdana" w:hAnsi="Verdana"/>
                <w:sz w:val="18"/>
                <w:szCs w:val="18"/>
              </w:rPr>
            </w:pPr>
            <w:r w:rsidRPr="00BD61F8">
              <w:rPr>
                <w:rFonts w:ascii="Verdana" w:hAnsi="Verdana"/>
                <w:sz w:val="18"/>
                <w:szCs w:val="18"/>
              </w:rPr>
              <w:t>Участие на партньори</w:t>
            </w:r>
          </w:p>
          <w:p w:rsidR="00BF28D4" w:rsidRPr="00BD61F8" w:rsidRDefault="00BF28D4" w:rsidP="006861B0">
            <w:pPr>
              <w:pStyle w:val="BodyText"/>
              <w:numPr>
                <w:ilvl w:val="0"/>
                <w:numId w:val="29"/>
              </w:numPr>
              <w:tabs>
                <w:tab w:val="left" w:pos="0"/>
                <w:tab w:val="left" w:pos="1418"/>
                <w:tab w:val="right" w:pos="9214"/>
              </w:tabs>
              <w:spacing w:after="60"/>
              <w:ind w:left="284" w:hanging="284"/>
              <w:jc w:val="both"/>
              <w:rPr>
                <w:rFonts w:ascii="Verdana" w:hAnsi="Verdana"/>
                <w:sz w:val="18"/>
                <w:szCs w:val="18"/>
              </w:rPr>
            </w:pPr>
            <w:r w:rsidRPr="00BD61F8">
              <w:rPr>
                <w:rFonts w:ascii="Verdana" w:hAnsi="Verdana"/>
                <w:sz w:val="18"/>
                <w:szCs w:val="18"/>
              </w:rPr>
              <w:t>Насърчаване на равенството между мъжете и жените</w:t>
            </w:r>
          </w:p>
          <w:p w:rsidR="00BF28D4" w:rsidRPr="00BD61F8" w:rsidRDefault="00BF28D4" w:rsidP="006861B0">
            <w:pPr>
              <w:pStyle w:val="BodyText"/>
              <w:numPr>
                <w:ilvl w:val="0"/>
                <w:numId w:val="29"/>
              </w:numPr>
              <w:tabs>
                <w:tab w:val="left" w:pos="0"/>
                <w:tab w:val="left" w:pos="1418"/>
                <w:tab w:val="right" w:pos="9214"/>
              </w:tabs>
              <w:spacing w:after="60"/>
              <w:ind w:left="284" w:hanging="284"/>
              <w:jc w:val="both"/>
              <w:rPr>
                <w:rFonts w:ascii="Verdana" w:hAnsi="Verdana"/>
                <w:sz w:val="18"/>
                <w:szCs w:val="18"/>
              </w:rPr>
            </w:pPr>
            <w:r w:rsidRPr="00BD61F8">
              <w:rPr>
                <w:rFonts w:ascii="Verdana" w:hAnsi="Verdana"/>
                <w:sz w:val="18"/>
                <w:szCs w:val="18"/>
              </w:rPr>
              <w:t xml:space="preserve">Насърчаване на равните възможности и </w:t>
            </w:r>
            <w:proofErr w:type="spellStart"/>
            <w:r w:rsidRPr="00BD61F8">
              <w:rPr>
                <w:rFonts w:ascii="Verdana" w:hAnsi="Verdana"/>
                <w:sz w:val="18"/>
                <w:szCs w:val="18"/>
              </w:rPr>
              <w:t>недискриминацията</w:t>
            </w:r>
            <w:proofErr w:type="spellEnd"/>
          </w:p>
          <w:p w:rsidR="00BF28D4" w:rsidRPr="00BD61F8" w:rsidRDefault="00BF28D4" w:rsidP="006861B0">
            <w:pPr>
              <w:pStyle w:val="BodyText"/>
              <w:numPr>
                <w:ilvl w:val="0"/>
                <w:numId w:val="29"/>
              </w:numPr>
              <w:tabs>
                <w:tab w:val="left" w:pos="0"/>
                <w:tab w:val="left" w:pos="1418"/>
                <w:tab w:val="right" w:pos="9214"/>
              </w:tabs>
              <w:spacing w:after="60"/>
              <w:ind w:left="284" w:hanging="284"/>
              <w:jc w:val="both"/>
              <w:rPr>
                <w:rFonts w:ascii="Verdana" w:hAnsi="Verdana"/>
                <w:sz w:val="18"/>
                <w:szCs w:val="18"/>
              </w:rPr>
            </w:pPr>
            <w:r w:rsidRPr="00BD61F8">
              <w:rPr>
                <w:rFonts w:ascii="Verdana" w:hAnsi="Verdana"/>
                <w:sz w:val="18"/>
                <w:szCs w:val="18"/>
              </w:rPr>
              <w:t>Социални иновации</w:t>
            </w:r>
          </w:p>
          <w:p w:rsidR="00BF28D4" w:rsidRPr="00BD61F8" w:rsidRDefault="00BF28D4" w:rsidP="006861B0">
            <w:pPr>
              <w:pStyle w:val="BodyText"/>
              <w:numPr>
                <w:ilvl w:val="0"/>
                <w:numId w:val="29"/>
              </w:numPr>
              <w:tabs>
                <w:tab w:val="left" w:pos="0"/>
                <w:tab w:val="left" w:pos="1418"/>
                <w:tab w:val="right" w:pos="9214"/>
              </w:tabs>
              <w:spacing w:after="60"/>
              <w:ind w:left="284" w:hanging="284"/>
              <w:jc w:val="both"/>
              <w:rPr>
                <w:rFonts w:ascii="Verdana" w:hAnsi="Verdana"/>
                <w:sz w:val="18"/>
                <w:szCs w:val="18"/>
              </w:rPr>
            </w:pPr>
            <w:r w:rsidRPr="00BD61F8">
              <w:rPr>
                <w:rFonts w:ascii="Verdana" w:hAnsi="Verdana"/>
                <w:sz w:val="18"/>
                <w:szCs w:val="18"/>
              </w:rPr>
              <w:t>Транснационално сътрудничество</w:t>
            </w:r>
          </w:p>
        </w:tc>
        <w:tc>
          <w:tcPr>
            <w:tcW w:w="2540" w:type="dxa"/>
          </w:tcPr>
          <w:p w:rsidR="00BF28D4" w:rsidRPr="00BD61F8" w:rsidRDefault="00BF28D4" w:rsidP="006861B0">
            <w:pPr>
              <w:pStyle w:val="BodyText"/>
              <w:numPr>
                <w:ilvl w:val="0"/>
                <w:numId w:val="29"/>
              </w:numPr>
              <w:tabs>
                <w:tab w:val="left" w:pos="0"/>
                <w:tab w:val="left" w:pos="1418"/>
                <w:tab w:val="right" w:pos="9214"/>
              </w:tabs>
              <w:spacing w:after="60"/>
              <w:ind w:left="284" w:hanging="284"/>
              <w:jc w:val="both"/>
              <w:rPr>
                <w:rFonts w:ascii="Verdana" w:hAnsi="Verdana"/>
                <w:sz w:val="18"/>
                <w:szCs w:val="18"/>
              </w:rPr>
            </w:pPr>
            <w:r w:rsidRPr="00BD61F8">
              <w:rPr>
                <w:rFonts w:ascii="Verdana" w:hAnsi="Verdana"/>
                <w:sz w:val="18"/>
                <w:szCs w:val="18"/>
              </w:rPr>
              <w:t>Партньорство</w:t>
            </w:r>
          </w:p>
          <w:p w:rsidR="00BF28D4" w:rsidRPr="00BD61F8" w:rsidRDefault="00BF28D4" w:rsidP="006861B0">
            <w:pPr>
              <w:pStyle w:val="BodyText"/>
              <w:numPr>
                <w:ilvl w:val="0"/>
                <w:numId w:val="29"/>
              </w:numPr>
              <w:tabs>
                <w:tab w:val="left" w:pos="0"/>
                <w:tab w:val="left" w:pos="1418"/>
                <w:tab w:val="right" w:pos="9214"/>
              </w:tabs>
              <w:spacing w:after="60"/>
              <w:ind w:left="284" w:hanging="284"/>
              <w:jc w:val="both"/>
              <w:rPr>
                <w:rFonts w:ascii="Verdana" w:hAnsi="Verdana"/>
                <w:sz w:val="18"/>
                <w:szCs w:val="18"/>
              </w:rPr>
            </w:pPr>
            <w:r w:rsidRPr="00BD61F8">
              <w:rPr>
                <w:rFonts w:ascii="Verdana" w:hAnsi="Verdana"/>
                <w:sz w:val="18"/>
                <w:szCs w:val="18"/>
              </w:rPr>
              <w:t>Насърчаване на равенството между мъжете и жените, недопускане на дискриминация и достъпност</w:t>
            </w:r>
          </w:p>
          <w:p w:rsidR="00BF28D4" w:rsidRPr="00BD61F8" w:rsidRDefault="00BF28D4" w:rsidP="006861B0">
            <w:pPr>
              <w:pStyle w:val="BodyText"/>
              <w:numPr>
                <w:ilvl w:val="0"/>
                <w:numId w:val="29"/>
              </w:numPr>
              <w:tabs>
                <w:tab w:val="left" w:pos="0"/>
                <w:tab w:val="left" w:pos="1418"/>
                <w:tab w:val="right" w:pos="9214"/>
              </w:tabs>
              <w:spacing w:after="60"/>
              <w:ind w:left="284" w:hanging="284"/>
              <w:jc w:val="both"/>
              <w:rPr>
                <w:rFonts w:ascii="Verdana" w:hAnsi="Verdana"/>
                <w:sz w:val="18"/>
                <w:szCs w:val="18"/>
              </w:rPr>
            </w:pPr>
            <w:r w:rsidRPr="00BD61F8">
              <w:rPr>
                <w:rFonts w:ascii="Verdana" w:hAnsi="Verdana"/>
                <w:sz w:val="18"/>
                <w:szCs w:val="18"/>
              </w:rPr>
              <w:t>Устойчиво развитие</w:t>
            </w:r>
          </w:p>
        </w:tc>
      </w:tr>
    </w:tbl>
    <w:p w:rsidR="00BF28D4" w:rsidRPr="00B45B4F" w:rsidRDefault="00BF28D4" w:rsidP="00BF28D4">
      <w:pPr>
        <w:spacing w:before="120" w:after="120"/>
        <w:jc w:val="both"/>
        <w:rPr>
          <w:rFonts w:ascii="Verdana" w:hAnsi="Verdana"/>
          <w:sz w:val="20"/>
          <w:szCs w:val="20"/>
          <w:lang w:val="bg-BG"/>
        </w:rPr>
      </w:pPr>
      <w:r w:rsidRPr="00B45B4F">
        <w:rPr>
          <w:rFonts w:ascii="Verdana" w:hAnsi="Verdana"/>
          <w:sz w:val="20"/>
          <w:szCs w:val="20"/>
          <w:lang w:val="bg-BG"/>
        </w:rPr>
        <w:t>Чл. 55 от Регламента с общите разпоредби предвижда п</w:t>
      </w:r>
      <w:r w:rsidR="005D52A8" w:rsidRPr="00B45B4F">
        <w:rPr>
          <w:rFonts w:ascii="Verdana" w:hAnsi="Verdana"/>
          <w:sz w:val="20"/>
          <w:szCs w:val="20"/>
          <w:lang w:val="bg-BG"/>
        </w:rPr>
        <w:t>редварителната оценка да оцени:</w:t>
      </w:r>
    </w:p>
    <w:p w:rsidR="00BF28D4" w:rsidRPr="00B45B4F" w:rsidRDefault="00BF28D4" w:rsidP="006861B0">
      <w:pPr>
        <w:pStyle w:val="ListParagraph"/>
        <w:numPr>
          <w:ilvl w:val="0"/>
          <w:numId w:val="31"/>
        </w:numPr>
        <w:autoSpaceDE w:val="0"/>
        <w:autoSpaceDN w:val="0"/>
        <w:adjustRightInd w:val="0"/>
        <w:spacing w:after="0" w:line="240" w:lineRule="auto"/>
        <w:rPr>
          <w:rFonts w:ascii="Verdana" w:hAnsi="Verdana" w:cs="TimesNewRoman"/>
          <w:i/>
          <w:sz w:val="20"/>
          <w:szCs w:val="20"/>
          <w:lang w:val="bg-BG" w:eastAsia="bg-BG"/>
        </w:rPr>
      </w:pPr>
      <w:r w:rsidRPr="00B45B4F">
        <w:rPr>
          <w:rFonts w:ascii="Verdana" w:hAnsi="Verdana" w:cs="TimesNewRoman"/>
          <w:i/>
          <w:sz w:val="20"/>
          <w:szCs w:val="20"/>
          <w:lang w:val="bg-BG" w:eastAsia="bg-BG"/>
        </w:rPr>
        <w:t>л) адекватността на планираните мерки за насърчаване на равните възможности за мъжете и жените и предотвратяване на дискриминацията, особено по отношение на осигуряване на достъпност за хора с увреждания;</w:t>
      </w:r>
    </w:p>
    <w:p w:rsidR="00BF28D4" w:rsidRPr="00B45B4F" w:rsidRDefault="00BF28D4" w:rsidP="006861B0">
      <w:pPr>
        <w:pStyle w:val="ListParagraph"/>
        <w:numPr>
          <w:ilvl w:val="0"/>
          <w:numId w:val="31"/>
        </w:numPr>
        <w:autoSpaceDE w:val="0"/>
        <w:autoSpaceDN w:val="0"/>
        <w:adjustRightInd w:val="0"/>
        <w:spacing w:before="120" w:after="120" w:line="240" w:lineRule="auto"/>
        <w:jc w:val="both"/>
        <w:rPr>
          <w:rFonts w:ascii="Verdana" w:hAnsi="Verdana"/>
          <w:i/>
          <w:sz w:val="20"/>
          <w:szCs w:val="20"/>
          <w:lang w:val="bg-BG"/>
        </w:rPr>
      </w:pPr>
      <w:r w:rsidRPr="00B45B4F">
        <w:rPr>
          <w:rFonts w:ascii="Verdana" w:hAnsi="Verdana" w:cs="TimesNewRoman"/>
          <w:i/>
          <w:sz w:val="20"/>
          <w:szCs w:val="20"/>
          <w:lang w:val="bg-BG" w:eastAsia="bg-BG"/>
        </w:rPr>
        <w:t>м) адекватността на планираните мерки за насърчаване на устойчивото развитие.</w:t>
      </w:r>
    </w:p>
    <w:p w:rsidR="00BF28D4" w:rsidRPr="00B45B4F" w:rsidRDefault="00BF28D4" w:rsidP="00BF28D4">
      <w:pPr>
        <w:autoSpaceDE w:val="0"/>
        <w:autoSpaceDN w:val="0"/>
        <w:adjustRightInd w:val="0"/>
        <w:spacing w:before="120" w:after="120" w:line="240" w:lineRule="auto"/>
        <w:jc w:val="both"/>
        <w:rPr>
          <w:rFonts w:ascii="Verdana" w:hAnsi="Verdana" w:cs="TimesNewRoman"/>
          <w:i/>
          <w:sz w:val="20"/>
          <w:szCs w:val="20"/>
          <w:lang w:val="bg-BG" w:eastAsia="bg-BG"/>
        </w:rPr>
      </w:pPr>
      <w:r w:rsidRPr="00B45B4F">
        <w:rPr>
          <w:rFonts w:ascii="Verdana" w:hAnsi="Verdana" w:cs="TimesNewRoman"/>
          <w:sz w:val="20"/>
          <w:szCs w:val="20"/>
          <w:lang w:val="bg-BG" w:eastAsia="bg-BG"/>
        </w:rPr>
        <w:t>В допълнение</w:t>
      </w:r>
      <w:r w:rsidR="005D52A8" w:rsidRPr="00B45B4F">
        <w:rPr>
          <w:rFonts w:ascii="Verdana" w:hAnsi="Verdana" w:cs="TimesNewRoman"/>
          <w:sz w:val="20"/>
          <w:szCs w:val="20"/>
          <w:lang w:val="bg-BG" w:eastAsia="bg-BG"/>
        </w:rPr>
        <w:t>, чл. 96 (7) посочва</w:t>
      </w:r>
      <w:r w:rsidRPr="00B45B4F">
        <w:rPr>
          <w:rFonts w:ascii="Verdana" w:hAnsi="Verdana" w:cs="TimesNewRoman"/>
          <w:sz w:val="20"/>
          <w:szCs w:val="20"/>
          <w:lang w:val="bg-BG" w:eastAsia="bg-BG"/>
        </w:rPr>
        <w:t xml:space="preserve"> че </w:t>
      </w:r>
      <w:r w:rsidRPr="00B45B4F">
        <w:rPr>
          <w:rFonts w:ascii="Verdana" w:hAnsi="Verdana" w:cs="TimesNewRoman"/>
          <w:i/>
          <w:sz w:val="20"/>
          <w:szCs w:val="20"/>
          <w:lang w:val="bg-BG" w:eastAsia="bg-BG"/>
        </w:rPr>
        <w:t>във всяка оперативна програма, с изключение на случаите, когато по специална оперативна програма се предприема техническа помощ, се включва описание на:</w:t>
      </w:r>
    </w:p>
    <w:p w:rsidR="00BF28D4" w:rsidRPr="00B45B4F" w:rsidRDefault="00BF28D4" w:rsidP="00BF28D4">
      <w:pPr>
        <w:autoSpaceDE w:val="0"/>
        <w:autoSpaceDN w:val="0"/>
        <w:adjustRightInd w:val="0"/>
        <w:spacing w:before="120" w:after="120" w:line="240" w:lineRule="auto"/>
        <w:jc w:val="both"/>
        <w:rPr>
          <w:rFonts w:ascii="Verdana" w:hAnsi="Verdana" w:cs="TimesNewRoman"/>
          <w:i/>
          <w:sz w:val="20"/>
          <w:szCs w:val="20"/>
          <w:lang w:val="bg-BG" w:eastAsia="bg-BG"/>
        </w:rPr>
      </w:pPr>
      <w:r w:rsidRPr="00B45B4F">
        <w:rPr>
          <w:rFonts w:ascii="Verdana" w:hAnsi="Verdana" w:cs="TimesNewRoman"/>
          <w:i/>
          <w:sz w:val="20"/>
          <w:szCs w:val="20"/>
          <w:lang w:val="bg-BG" w:eastAsia="bg-BG"/>
        </w:rPr>
        <w:t xml:space="preserve">а) конкретните действия за отчитане при подбора на операции на изискванията за опазване на околната среда, ефективно използване на ресурсите, смекчаване на </w:t>
      </w:r>
      <w:r w:rsidRPr="00B45B4F">
        <w:rPr>
          <w:rFonts w:ascii="Verdana" w:hAnsi="Verdana" w:cs="TimesNewRoman"/>
          <w:i/>
          <w:sz w:val="20"/>
          <w:szCs w:val="20"/>
          <w:lang w:val="bg-BG" w:eastAsia="bg-BG"/>
        </w:rPr>
        <w:lastRenderedPageBreak/>
        <w:t>изменението на климата и адаптация към него, устойчивост при бедствия и превенция и управление на риска;</w:t>
      </w:r>
    </w:p>
    <w:p w:rsidR="00BF28D4" w:rsidRPr="00B45B4F" w:rsidRDefault="00BF28D4" w:rsidP="00BF28D4">
      <w:pPr>
        <w:autoSpaceDE w:val="0"/>
        <w:autoSpaceDN w:val="0"/>
        <w:adjustRightInd w:val="0"/>
        <w:spacing w:before="120" w:after="120" w:line="240" w:lineRule="auto"/>
        <w:jc w:val="both"/>
        <w:rPr>
          <w:rFonts w:ascii="Verdana" w:hAnsi="Verdana" w:cs="TimesNewRoman"/>
          <w:i/>
          <w:sz w:val="20"/>
          <w:szCs w:val="20"/>
          <w:lang w:val="bg-BG" w:eastAsia="bg-BG"/>
        </w:rPr>
      </w:pPr>
      <w:r w:rsidRPr="00B45B4F">
        <w:rPr>
          <w:rFonts w:ascii="Verdana" w:hAnsi="Verdana" w:cs="TimesNewRoman"/>
          <w:i/>
          <w:sz w:val="20"/>
          <w:szCs w:val="20"/>
          <w:lang w:val="bg-BG" w:eastAsia="bg-BG"/>
        </w:rPr>
        <w:t>б) конкретните действия за насърчаване на равните възможности и предотвратяване на всякаква дискриминация на основата на пол, расов или етнически произход, религия или вероизповедание, увреждане, възраст или сексуална ориентация по време на подготовката, разработването и изпълнението на оперативната програма, и по-специално във връзка с достъпа до финансиране, като се имат предвид потребностите на различните целеви групи, изправени пред риск от подобна дискриминация, и по-специално изискванията за осигуряване на достъпност за хората с увреждания;</w:t>
      </w:r>
    </w:p>
    <w:p w:rsidR="00BF28D4" w:rsidRPr="00B45B4F" w:rsidRDefault="00BF28D4" w:rsidP="00BF28D4">
      <w:pPr>
        <w:autoSpaceDE w:val="0"/>
        <w:autoSpaceDN w:val="0"/>
        <w:adjustRightInd w:val="0"/>
        <w:spacing w:before="120" w:after="120" w:line="240" w:lineRule="auto"/>
        <w:jc w:val="both"/>
        <w:rPr>
          <w:rFonts w:ascii="Verdana" w:hAnsi="Verdana" w:cs="TimesNewRoman"/>
          <w:i/>
          <w:sz w:val="20"/>
          <w:szCs w:val="20"/>
          <w:lang w:val="bg-BG" w:eastAsia="bg-BG"/>
        </w:rPr>
      </w:pPr>
      <w:r w:rsidRPr="00B45B4F">
        <w:rPr>
          <w:rFonts w:ascii="Verdana" w:hAnsi="Verdana" w:cs="TimesNewRoman"/>
          <w:i/>
          <w:sz w:val="20"/>
          <w:szCs w:val="20"/>
          <w:lang w:val="bg-BG" w:eastAsia="bg-BG"/>
        </w:rPr>
        <w:t>в) приноса за насърчаване на равенството между мъжете и жените и — където е целесъобразно — уредбата, с която се гарантира отчитането на социалния аспект на пола на ниво оперативна програма и на ниво операции.</w:t>
      </w:r>
    </w:p>
    <w:p w:rsidR="00BF28D4" w:rsidRPr="00B45B4F" w:rsidRDefault="00BF28D4" w:rsidP="00BF28D4">
      <w:pPr>
        <w:spacing w:before="120" w:after="120"/>
        <w:jc w:val="both"/>
        <w:rPr>
          <w:rFonts w:ascii="Verdana" w:hAnsi="Verdana"/>
          <w:sz w:val="20"/>
          <w:szCs w:val="20"/>
          <w:lang w:val="bg-BG"/>
        </w:rPr>
      </w:pPr>
      <w:r w:rsidRPr="00B45B4F">
        <w:rPr>
          <w:rFonts w:ascii="Verdana" w:hAnsi="Verdana"/>
          <w:sz w:val="20"/>
          <w:szCs w:val="20"/>
          <w:lang w:val="bg-BG"/>
        </w:rPr>
        <w:t>Следвайки тези изисквания, формата на ЕК за представяне на оперативните програми  в раздел 11 предвижда описание на следните хоризонтални принципи:</w:t>
      </w:r>
    </w:p>
    <w:p w:rsidR="00BF28D4" w:rsidRPr="00B45B4F" w:rsidRDefault="00BF28D4" w:rsidP="006861B0">
      <w:pPr>
        <w:pStyle w:val="ListParagraph"/>
        <w:numPr>
          <w:ilvl w:val="0"/>
          <w:numId w:val="30"/>
        </w:numPr>
        <w:spacing w:before="120" w:after="120"/>
        <w:jc w:val="both"/>
        <w:rPr>
          <w:rFonts w:ascii="Verdana" w:hAnsi="Verdana"/>
          <w:sz w:val="20"/>
          <w:szCs w:val="20"/>
          <w:lang w:val="bg-BG"/>
        </w:rPr>
      </w:pPr>
      <w:r w:rsidRPr="00B45B4F">
        <w:rPr>
          <w:rFonts w:ascii="Verdana" w:hAnsi="Verdana"/>
          <w:sz w:val="20"/>
          <w:szCs w:val="20"/>
          <w:lang w:val="bg-BG"/>
        </w:rPr>
        <w:t>Устойчиво развитие (</w:t>
      </w:r>
      <w:r w:rsidRPr="00B45B4F">
        <w:rPr>
          <w:rFonts w:ascii="Verdana" w:hAnsi="Verdana"/>
          <w:i/>
          <w:sz w:val="20"/>
          <w:szCs w:val="20"/>
          <w:lang w:val="bg-BG"/>
        </w:rPr>
        <w:t>описание на специфични дейности, които са предприети за да се отразят изискванията, свързани с опазване на околната среда, ресурсната ефективност, смекчаване последиците и адаптация към климатичните промени, устойчивост на природни бедствия и превенция на риска</w:t>
      </w:r>
      <w:r w:rsidRPr="00B45B4F">
        <w:rPr>
          <w:rFonts w:ascii="Verdana" w:hAnsi="Verdana"/>
          <w:sz w:val="20"/>
          <w:szCs w:val="20"/>
          <w:lang w:val="bg-BG"/>
        </w:rPr>
        <w:t>)</w:t>
      </w:r>
    </w:p>
    <w:p w:rsidR="00BF28D4" w:rsidRPr="00B45B4F" w:rsidRDefault="00BF28D4" w:rsidP="006861B0">
      <w:pPr>
        <w:pStyle w:val="ListParagraph"/>
        <w:numPr>
          <w:ilvl w:val="0"/>
          <w:numId w:val="30"/>
        </w:numPr>
        <w:spacing w:before="120" w:after="120"/>
        <w:jc w:val="both"/>
        <w:rPr>
          <w:rFonts w:ascii="Verdana" w:hAnsi="Verdana"/>
          <w:sz w:val="20"/>
          <w:szCs w:val="20"/>
          <w:lang w:val="bg-BG"/>
        </w:rPr>
      </w:pPr>
      <w:r w:rsidRPr="00B45B4F">
        <w:rPr>
          <w:rFonts w:ascii="Verdana" w:hAnsi="Verdana"/>
          <w:sz w:val="20"/>
          <w:szCs w:val="20"/>
          <w:lang w:val="bg-BG"/>
        </w:rPr>
        <w:t>Равни възможности (</w:t>
      </w:r>
      <w:r w:rsidRPr="00B45B4F">
        <w:rPr>
          <w:rFonts w:ascii="Verdana" w:hAnsi="Verdana"/>
          <w:i/>
          <w:sz w:val="20"/>
          <w:szCs w:val="20"/>
          <w:lang w:val="bg-BG"/>
        </w:rPr>
        <w:t>описание на специфични дейности за насърчаване на равните възможности и превенция на дискриминацията</w:t>
      </w:r>
      <w:r w:rsidRPr="00B45B4F">
        <w:rPr>
          <w:rFonts w:ascii="Verdana" w:hAnsi="Verdana"/>
          <w:sz w:val="20"/>
          <w:szCs w:val="20"/>
          <w:lang w:val="bg-BG"/>
        </w:rPr>
        <w:t>)</w:t>
      </w:r>
    </w:p>
    <w:p w:rsidR="00BF28D4" w:rsidRPr="00B45B4F" w:rsidRDefault="00BF28D4" w:rsidP="006861B0">
      <w:pPr>
        <w:pStyle w:val="ListParagraph"/>
        <w:numPr>
          <w:ilvl w:val="0"/>
          <w:numId w:val="30"/>
        </w:numPr>
        <w:spacing w:before="120" w:after="120"/>
        <w:jc w:val="both"/>
        <w:rPr>
          <w:rFonts w:ascii="Verdana" w:hAnsi="Verdana"/>
          <w:sz w:val="20"/>
          <w:szCs w:val="20"/>
          <w:lang w:val="bg-BG"/>
        </w:rPr>
      </w:pPr>
      <w:r w:rsidRPr="00B45B4F">
        <w:rPr>
          <w:rFonts w:ascii="Verdana" w:hAnsi="Verdana"/>
          <w:sz w:val="20"/>
          <w:szCs w:val="20"/>
          <w:lang w:val="bg-BG"/>
        </w:rPr>
        <w:t>Равенство между мъжете и жените (</w:t>
      </w:r>
      <w:r w:rsidRPr="00B45B4F">
        <w:rPr>
          <w:rFonts w:ascii="Verdana" w:hAnsi="Verdana"/>
          <w:i/>
          <w:sz w:val="20"/>
          <w:szCs w:val="20"/>
          <w:lang w:val="bg-BG"/>
        </w:rPr>
        <w:t>описание на приноса към насърчаване на равенството между половете</w:t>
      </w:r>
      <w:r w:rsidRPr="00B45B4F">
        <w:rPr>
          <w:rFonts w:ascii="Verdana" w:hAnsi="Verdana"/>
          <w:sz w:val="20"/>
          <w:szCs w:val="20"/>
          <w:lang w:val="bg-BG"/>
        </w:rPr>
        <w:t>).</w:t>
      </w:r>
    </w:p>
    <w:p w:rsidR="00BF28D4" w:rsidRPr="00B45B4F" w:rsidRDefault="00BF28D4" w:rsidP="00BF28D4">
      <w:pPr>
        <w:spacing w:before="120" w:after="120"/>
        <w:jc w:val="both"/>
        <w:rPr>
          <w:rFonts w:ascii="Verdana" w:hAnsi="Verdana"/>
          <w:sz w:val="20"/>
          <w:szCs w:val="20"/>
          <w:lang w:val="bg-BG"/>
        </w:rPr>
      </w:pPr>
      <w:r w:rsidRPr="00B45B4F">
        <w:rPr>
          <w:rFonts w:ascii="Verdana" w:hAnsi="Verdana"/>
          <w:sz w:val="20"/>
          <w:szCs w:val="20"/>
          <w:lang w:val="bg-BG"/>
        </w:rPr>
        <w:t xml:space="preserve">Освен това, при описание на интервенциите и дейностите по избраните приоритети, форматът на оперативната програма позволява посочване на водещите принципи, на които ще се </w:t>
      </w:r>
      <w:r w:rsidR="003A72BD" w:rsidRPr="00B45B4F">
        <w:rPr>
          <w:rFonts w:ascii="Verdana" w:hAnsi="Verdana"/>
          <w:sz w:val="20"/>
          <w:szCs w:val="20"/>
          <w:lang w:val="bg-BG"/>
        </w:rPr>
        <w:t>основава</w:t>
      </w:r>
      <w:r w:rsidRPr="00B45B4F">
        <w:rPr>
          <w:rFonts w:ascii="Verdana" w:hAnsi="Verdana"/>
          <w:sz w:val="20"/>
          <w:szCs w:val="20"/>
          <w:lang w:val="bg-BG"/>
        </w:rPr>
        <w:t xml:space="preserve"> изборът на операции така, че да се осигури подбор на качествени дейности, допринасящи за постигане на целите. По този начин в програмата се инкорпорират специфични принципи, пряко свързани и подкрепящи реализирането на целите и дейностите на програмата. </w:t>
      </w:r>
    </w:p>
    <w:p w:rsidR="00BF28D4" w:rsidRPr="00B45B4F" w:rsidRDefault="00BF28D4" w:rsidP="00BF28D4">
      <w:pPr>
        <w:spacing w:before="120" w:after="120"/>
        <w:jc w:val="both"/>
        <w:rPr>
          <w:rFonts w:ascii="Verdana" w:hAnsi="Verdana"/>
          <w:sz w:val="20"/>
          <w:szCs w:val="20"/>
          <w:lang w:val="bg-BG"/>
        </w:rPr>
      </w:pPr>
      <w:r w:rsidRPr="00B45B4F">
        <w:rPr>
          <w:rFonts w:ascii="Verdana" w:hAnsi="Verdana"/>
          <w:sz w:val="20"/>
          <w:szCs w:val="20"/>
          <w:lang w:val="bg-BG"/>
        </w:rPr>
        <w:t xml:space="preserve">Всички данни по общите индикатори за изпълнение и резултат по ЕСФ, съгласно </w:t>
      </w:r>
      <w:r w:rsidR="00B729AF" w:rsidRPr="00B45B4F">
        <w:rPr>
          <w:rFonts w:ascii="Verdana" w:hAnsi="Verdana"/>
          <w:sz w:val="20"/>
          <w:szCs w:val="20"/>
          <w:lang w:val="bg-BG"/>
        </w:rPr>
        <w:t xml:space="preserve">Регламент (ЕС) № </w:t>
      </w:r>
      <w:r w:rsidRPr="00B45B4F">
        <w:rPr>
          <w:rFonts w:ascii="Verdana" w:hAnsi="Verdana"/>
          <w:sz w:val="20"/>
          <w:szCs w:val="20"/>
          <w:lang w:val="bg-BG"/>
        </w:rPr>
        <w:t xml:space="preserve">1304/2013 </w:t>
      </w:r>
      <w:r w:rsidR="00B729AF" w:rsidRPr="00B45B4F">
        <w:rPr>
          <w:rFonts w:ascii="Verdana" w:hAnsi="Verdana"/>
          <w:sz w:val="20"/>
          <w:szCs w:val="20"/>
          <w:lang w:val="bg-BG"/>
        </w:rPr>
        <w:t xml:space="preserve">на Европейския парламент и на Съвета </w:t>
      </w:r>
      <w:r w:rsidRPr="00B45B4F">
        <w:rPr>
          <w:rFonts w:ascii="Verdana" w:hAnsi="Verdana"/>
          <w:sz w:val="20"/>
          <w:szCs w:val="20"/>
          <w:lang w:val="bg-BG"/>
        </w:rPr>
        <w:t>относно Европейския социален фонд и за отмяна на Регламент (ЕО) № 1081/2006 на Съвета, следва да бъдат представени в разбивка по пол.</w:t>
      </w:r>
    </w:p>
    <w:p w:rsidR="00BF28D4" w:rsidRPr="00B45B4F" w:rsidRDefault="00BF28D4" w:rsidP="00FA776A">
      <w:pPr>
        <w:keepNext/>
        <w:pBdr>
          <w:bottom w:val="single" w:sz="4" w:space="1" w:color="0070C0"/>
        </w:pBdr>
        <w:spacing w:before="360" w:after="120"/>
        <w:jc w:val="both"/>
        <w:rPr>
          <w:rFonts w:ascii="Verdana" w:hAnsi="Verdana"/>
          <w:color w:val="0070C0"/>
          <w:sz w:val="20"/>
          <w:szCs w:val="20"/>
          <w:lang w:val="bg-BG" w:eastAsia="cs-CZ"/>
        </w:rPr>
      </w:pPr>
      <w:r w:rsidRPr="00B45B4F">
        <w:rPr>
          <w:rFonts w:ascii="Verdana" w:hAnsi="Verdana"/>
          <w:color w:val="0070C0"/>
          <w:sz w:val="20"/>
          <w:szCs w:val="20"/>
          <w:lang w:val="bg-BG" w:eastAsia="cs-CZ"/>
        </w:rPr>
        <w:t>Анализ на адекватността на отразяване на принципите в различни части на програмата и възможности за мониторинг</w:t>
      </w:r>
    </w:p>
    <w:p w:rsidR="00BF28D4" w:rsidRPr="00B45B4F" w:rsidRDefault="00BF28D4" w:rsidP="00FD1E51">
      <w:pPr>
        <w:spacing w:before="120" w:after="120"/>
        <w:jc w:val="both"/>
        <w:rPr>
          <w:rFonts w:ascii="Verdana" w:hAnsi="Verdana"/>
          <w:sz w:val="20"/>
          <w:szCs w:val="20"/>
          <w:lang w:val="bg-BG"/>
        </w:rPr>
      </w:pPr>
      <w:r w:rsidRPr="00B45B4F">
        <w:rPr>
          <w:rFonts w:ascii="Verdana" w:hAnsi="Verdana"/>
          <w:color w:val="548DD4" w:themeColor="text2" w:themeTint="99"/>
          <w:sz w:val="20"/>
          <w:szCs w:val="20"/>
          <w:lang w:val="bg-BG"/>
        </w:rPr>
        <w:t>Хоризонталните принципи в ОП</w:t>
      </w:r>
      <w:r w:rsidR="009E5D12" w:rsidRPr="00B45B4F">
        <w:rPr>
          <w:rFonts w:ascii="Verdana" w:hAnsi="Verdana"/>
          <w:color w:val="548DD4" w:themeColor="text2" w:themeTint="99"/>
          <w:sz w:val="20"/>
          <w:szCs w:val="20"/>
          <w:lang w:val="bg-BG"/>
        </w:rPr>
        <w:t>НОИР</w:t>
      </w:r>
      <w:r w:rsidR="005106CE" w:rsidRPr="00B45B4F">
        <w:rPr>
          <w:rFonts w:ascii="Verdana" w:hAnsi="Verdana"/>
          <w:color w:val="548DD4" w:themeColor="text2" w:themeTint="99"/>
          <w:sz w:val="20"/>
          <w:szCs w:val="20"/>
          <w:lang w:val="bg-BG"/>
        </w:rPr>
        <w:t>2014–2020</w:t>
      </w:r>
      <w:r w:rsidRPr="00B45B4F">
        <w:rPr>
          <w:rFonts w:ascii="Verdana" w:hAnsi="Verdana"/>
          <w:color w:val="548DD4" w:themeColor="text2" w:themeTint="99"/>
          <w:sz w:val="20"/>
          <w:szCs w:val="20"/>
          <w:lang w:val="bg-BG"/>
        </w:rPr>
        <w:t xml:space="preserve"> г.</w:t>
      </w:r>
      <w:r w:rsidR="00D737F0">
        <w:rPr>
          <w:rFonts w:ascii="Verdana" w:hAnsi="Verdana"/>
          <w:color w:val="548DD4" w:themeColor="text2" w:themeTint="99"/>
          <w:sz w:val="20"/>
          <w:szCs w:val="20"/>
          <w:lang w:val="bg-BG"/>
        </w:rPr>
        <w:t xml:space="preserve"> </w:t>
      </w:r>
      <w:r w:rsidR="00FD1E51" w:rsidRPr="00B45B4F">
        <w:rPr>
          <w:rFonts w:ascii="Verdana" w:hAnsi="Verdana"/>
          <w:sz w:val="20"/>
          <w:szCs w:val="20"/>
          <w:lang w:val="bg-BG"/>
        </w:rPr>
        <w:t>по отношение на у</w:t>
      </w:r>
      <w:r w:rsidR="005B677A" w:rsidRPr="00B45B4F">
        <w:rPr>
          <w:rFonts w:ascii="Verdana" w:hAnsi="Verdana"/>
          <w:sz w:val="20"/>
          <w:szCs w:val="20"/>
          <w:lang w:val="bg-BG"/>
        </w:rPr>
        <w:t>стойчиво развитие,</w:t>
      </w:r>
      <w:r w:rsidR="00FD1E51" w:rsidRPr="00B45B4F">
        <w:rPr>
          <w:rFonts w:ascii="Verdana" w:hAnsi="Verdana"/>
          <w:sz w:val="20"/>
          <w:szCs w:val="20"/>
          <w:lang w:val="bg-BG"/>
        </w:rPr>
        <w:t xml:space="preserve"> равни възможности и недопускане на дискриминация</w:t>
      </w:r>
      <w:r w:rsidR="005B677A" w:rsidRPr="00B45B4F">
        <w:rPr>
          <w:rFonts w:ascii="Verdana" w:hAnsi="Verdana"/>
          <w:sz w:val="20"/>
          <w:szCs w:val="20"/>
          <w:lang w:val="bg-BG"/>
        </w:rPr>
        <w:t>,</w:t>
      </w:r>
      <w:r w:rsidR="00FD1E51" w:rsidRPr="00B45B4F">
        <w:rPr>
          <w:rFonts w:ascii="Verdana" w:hAnsi="Verdana"/>
          <w:sz w:val="20"/>
          <w:szCs w:val="20"/>
          <w:lang w:val="bg-BG"/>
        </w:rPr>
        <w:t xml:space="preserve"> и равенство между мъжете и жените </w:t>
      </w:r>
      <w:r w:rsidR="0098623C">
        <w:rPr>
          <w:rFonts w:ascii="Verdana" w:hAnsi="Verdana"/>
          <w:sz w:val="20"/>
          <w:szCs w:val="20"/>
          <w:lang w:val="bg-BG"/>
        </w:rPr>
        <w:t>са</w:t>
      </w:r>
      <w:r w:rsidR="00FD1E51" w:rsidRPr="00B45B4F">
        <w:rPr>
          <w:rFonts w:ascii="Verdana" w:hAnsi="Verdana"/>
          <w:sz w:val="20"/>
          <w:szCs w:val="20"/>
          <w:lang w:val="bg-BG"/>
        </w:rPr>
        <w:t xml:space="preserve"> изложени в раздел 11</w:t>
      </w:r>
      <w:r w:rsidR="008D33D6" w:rsidRPr="00B45B4F">
        <w:rPr>
          <w:rFonts w:ascii="Verdana" w:hAnsi="Verdana"/>
          <w:sz w:val="20"/>
          <w:szCs w:val="20"/>
          <w:lang w:val="bg-BG"/>
        </w:rPr>
        <w:t xml:space="preserve"> на програмата</w:t>
      </w:r>
      <w:r w:rsidR="00FD1E51" w:rsidRPr="00B45B4F">
        <w:rPr>
          <w:rFonts w:ascii="Verdana" w:hAnsi="Verdana"/>
          <w:sz w:val="20"/>
          <w:szCs w:val="20"/>
          <w:lang w:val="bg-BG"/>
        </w:rPr>
        <w:t xml:space="preserve">. </w:t>
      </w:r>
    </w:p>
    <w:p w:rsidR="00B729AF" w:rsidRPr="00B45B4F" w:rsidRDefault="00BF28D4" w:rsidP="00BF28D4">
      <w:pPr>
        <w:spacing w:before="120" w:after="120"/>
        <w:jc w:val="both"/>
        <w:rPr>
          <w:rFonts w:ascii="Verdana" w:hAnsi="Verdana"/>
          <w:sz w:val="20"/>
          <w:szCs w:val="20"/>
          <w:lang w:val="bg-BG"/>
        </w:rPr>
      </w:pPr>
      <w:r w:rsidRPr="00B45B4F">
        <w:rPr>
          <w:rFonts w:ascii="Verdana" w:hAnsi="Verdana"/>
          <w:sz w:val="20"/>
          <w:szCs w:val="20"/>
          <w:lang w:val="bg-BG"/>
        </w:rPr>
        <w:t xml:space="preserve">Принципът за партньорство е разгледан специално в т. 7.2. </w:t>
      </w:r>
      <w:r w:rsidR="0059259D" w:rsidRPr="00B45B4F">
        <w:rPr>
          <w:rFonts w:ascii="Verdana" w:hAnsi="Verdana"/>
          <w:sz w:val="20"/>
          <w:szCs w:val="20"/>
          <w:lang w:val="bg-BG"/>
        </w:rPr>
        <w:t>„</w:t>
      </w:r>
      <w:r w:rsidRPr="00B45B4F">
        <w:rPr>
          <w:rFonts w:ascii="Verdana" w:hAnsi="Verdana"/>
          <w:sz w:val="20"/>
          <w:szCs w:val="20"/>
          <w:lang w:val="bg-BG"/>
        </w:rPr>
        <w:t>Предприети действия за участие на партньорите</w:t>
      </w:r>
      <w:r w:rsidR="0059259D" w:rsidRPr="00B45B4F">
        <w:rPr>
          <w:rFonts w:ascii="Verdana" w:hAnsi="Verdana"/>
          <w:sz w:val="20"/>
          <w:szCs w:val="20"/>
          <w:lang w:val="bg-BG"/>
        </w:rPr>
        <w:t>“</w:t>
      </w:r>
      <w:r w:rsidRPr="00B45B4F">
        <w:rPr>
          <w:rFonts w:ascii="Verdana" w:hAnsi="Verdana"/>
          <w:sz w:val="20"/>
          <w:szCs w:val="20"/>
          <w:lang w:val="bg-BG"/>
        </w:rPr>
        <w:t>.</w:t>
      </w:r>
      <w:r w:rsidR="00C2770A" w:rsidRPr="00B45B4F">
        <w:rPr>
          <w:rFonts w:ascii="Verdana" w:hAnsi="Verdana"/>
          <w:sz w:val="20"/>
          <w:szCs w:val="20"/>
          <w:lang w:val="bg-BG"/>
        </w:rPr>
        <w:t xml:space="preserve"> Проведеният анализ на заинтересованите страни посочва, че мнението на основните групи заинтересовани страни е отразено в процеса на </w:t>
      </w:r>
      <w:r w:rsidR="00C2770A" w:rsidRPr="00B45B4F">
        <w:rPr>
          <w:rFonts w:ascii="Verdana" w:hAnsi="Verdana"/>
          <w:sz w:val="20"/>
          <w:szCs w:val="20"/>
          <w:lang w:val="bg-BG"/>
        </w:rPr>
        <w:lastRenderedPageBreak/>
        <w:t>програмиране.</w:t>
      </w:r>
      <w:r w:rsidR="00D737F0">
        <w:rPr>
          <w:rFonts w:ascii="Verdana" w:hAnsi="Verdana"/>
          <w:sz w:val="20"/>
          <w:szCs w:val="20"/>
          <w:lang w:val="bg-BG"/>
        </w:rPr>
        <w:t xml:space="preserve"> </w:t>
      </w:r>
      <w:r w:rsidR="002F7ADF" w:rsidRPr="00B45B4F">
        <w:rPr>
          <w:rFonts w:ascii="Verdana" w:hAnsi="Verdana"/>
          <w:sz w:val="20"/>
          <w:szCs w:val="20"/>
          <w:lang w:val="bg-BG"/>
        </w:rPr>
        <w:t xml:space="preserve">Резултатите от проведеното онлайн проучване също </w:t>
      </w:r>
      <w:r w:rsidR="00B729AF" w:rsidRPr="00B45B4F">
        <w:rPr>
          <w:rFonts w:ascii="Verdana" w:hAnsi="Verdana"/>
          <w:sz w:val="20"/>
          <w:szCs w:val="20"/>
          <w:lang w:val="bg-BG"/>
        </w:rPr>
        <w:t>демонстрират</w:t>
      </w:r>
      <w:r w:rsidR="002F7ADF" w:rsidRPr="00B45B4F">
        <w:rPr>
          <w:rFonts w:ascii="Verdana" w:hAnsi="Verdana"/>
          <w:sz w:val="20"/>
          <w:szCs w:val="20"/>
          <w:lang w:val="bg-BG"/>
        </w:rPr>
        <w:t>, че голяма част от респондентите (87%) считат, че съществуващите механизми за информиране и консултиране, позволяват мнението на тяхната организация да бъде отчетено в процеса на подготовка на програмата.</w:t>
      </w:r>
      <w:r w:rsidR="002774F4" w:rsidRPr="00B45B4F">
        <w:rPr>
          <w:rFonts w:ascii="Verdana" w:hAnsi="Verdana"/>
          <w:sz w:val="20"/>
          <w:szCs w:val="20"/>
          <w:lang w:val="bg-BG"/>
        </w:rPr>
        <w:t xml:space="preserve"> Като основ</w:t>
      </w:r>
      <w:r w:rsidR="00CA727B">
        <w:rPr>
          <w:rFonts w:ascii="Verdana" w:hAnsi="Verdana"/>
          <w:sz w:val="20"/>
          <w:szCs w:val="20"/>
          <w:lang w:val="bg-BG"/>
        </w:rPr>
        <w:t>на</w:t>
      </w:r>
      <w:r w:rsidR="002774F4" w:rsidRPr="00B45B4F">
        <w:rPr>
          <w:rFonts w:ascii="Verdana" w:hAnsi="Verdana"/>
          <w:sz w:val="20"/>
          <w:szCs w:val="20"/>
          <w:lang w:val="bg-BG"/>
        </w:rPr>
        <w:t xml:space="preserve"> причина за неудовлетворение е посочено това, че мненията</w:t>
      </w:r>
      <w:r w:rsidR="0059259D" w:rsidRPr="00B45B4F">
        <w:rPr>
          <w:rFonts w:ascii="Verdana" w:hAnsi="Verdana"/>
          <w:sz w:val="20"/>
          <w:szCs w:val="20"/>
          <w:lang w:val="bg-BG"/>
        </w:rPr>
        <w:t xml:space="preserve"> се регистрират,</w:t>
      </w:r>
      <w:r w:rsidR="002774F4" w:rsidRPr="00B45B4F">
        <w:rPr>
          <w:rFonts w:ascii="Verdana" w:hAnsi="Verdana"/>
          <w:sz w:val="20"/>
          <w:szCs w:val="20"/>
          <w:lang w:val="bg-BG"/>
        </w:rPr>
        <w:t xml:space="preserve"> но не се вземат предвид или не се предоставя </w:t>
      </w:r>
      <w:r w:rsidR="0059259D" w:rsidRPr="00B45B4F">
        <w:rPr>
          <w:rFonts w:ascii="Verdana" w:hAnsi="Verdana"/>
          <w:sz w:val="20"/>
          <w:szCs w:val="20"/>
          <w:lang w:val="bg-BG"/>
        </w:rPr>
        <w:t>обратна информация дали предложенията са отразени</w:t>
      </w:r>
      <w:r w:rsidR="00B729AF" w:rsidRPr="00B45B4F">
        <w:rPr>
          <w:rFonts w:ascii="Verdana" w:hAnsi="Verdana"/>
          <w:sz w:val="20"/>
          <w:szCs w:val="20"/>
          <w:lang w:val="bg-BG"/>
        </w:rPr>
        <w:t>. Ка</w:t>
      </w:r>
      <w:r w:rsidR="002774F4" w:rsidRPr="00B45B4F">
        <w:rPr>
          <w:rFonts w:ascii="Verdana" w:hAnsi="Verdana"/>
          <w:sz w:val="20"/>
          <w:szCs w:val="20"/>
          <w:lang w:val="bg-BG"/>
        </w:rPr>
        <w:t xml:space="preserve">то </w:t>
      </w:r>
      <w:r w:rsidR="0059259D" w:rsidRPr="00B45B4F">
        <w:rPr>
          <w:rFonts w:ascii="Verdana" w:hAnsi="Verdana"/>
          <w:sz w:val="20"/>
          <w:szCs w:val="20"/>
          <w:lang w:val="bg-BG"/>
        </w:rPr>
        <w:t>предпочитани</w:t>
      </w:r>
      <w:r w:rsidR="002774F4" w:rsidRPr="00B45B4F">
        <w:rPr>
          <w:rFonts w:ascii="Verdana" w:hAnsi="Verdana"/>
          <w:sz w:val="20"/>
          <w:szCs w:val="20"/>
          <w:lang w:val="bg-BG"/>
        </w:rPr>
        <w:t xml:space="preserve"> канали за предоставяне и получаване на информация респондентите посочват и</w:t>
      </w:r>
      <w:r w:rsidR="00B729AF" w:rsidRPr="00B45B4F">
        <w:rPr>
          <w:rFonts w:ascii="Verdana" w:hAnsi="Verdana"/>
          <w:sz w:val="20"/>
          <w:szCs w:val="20"/>
          <w:lang w:val="bg-BG"/>
        </w:rPr>
        <w:t xml:space="preserve">нтернет страницата на МОН, </w:t>
      </w:r>
      <w:r w:rsidR="002774F4" w:rsidRPr="00B45B4F">
        <w:rPr>
          <w:rFonts w:ascii="Verdana" w:hAnsi="Verdana"/>
          <w:sz w:val="20"/>
          <w:szCs w:val="20"/>
          <w:lang w:val="bg-BG"/>
        </w:rPr>
        <w:t>информационни кампании и</w:t>
      </w:r>
      <w:r w:rsidR="00B729AF" w:rsidRPr="00B45B4F">
        <w:rPr>
          <w:rFonts w:ascii="Verdana" w:hAnsi="Verdana"/>
          <w:sz w:val="20"/>
          <w:szCs w:val="20"/>
          <w:lang w:val="bg-BG"/>
        </w:rPr>
        <w:t xml:space="preserve"> фокус групи. Като допълнително средство </w:t>
      </w:r>
      <w:r w:rsidR="002774F4" w:rsidRPr="00B45B4F">
        <w:rPr>
          <w:rFonts w:ascii="Verdana" w:hAnsi="Verdana"/>
          <w:sz w:val="20"/>
          <w:szCs w:val="20"/>
          <w:lang w:val="bg-BG"/>
        </w:rPr>
        <w:t>за информиране е посочено изпращането на нарочни писма и информация до специфични заинтересовани страни. Тематичната р</w:t>
      </w:r>
      <w:r w:rsidR="00B729AF" w:rsidRPr="00B45B4F">
        <w:rPr>
          <w:rFonts w:ascii="Verdana" w:hAnsi="Verdana"/>
          <w:sz w:val="20"/>
          <w:szCs w:val="20"/>
          <w:lang w:val="bg-BG"/>
        </w:rPr>
        <w:t>аботна група също е посочена ка</w:t>
      </w:r>
      <w:r w:rsidR="002774F4" w:rsidRPr="00B45B4F">
        <w:rPr>
          <w:rFonts w:ascii="Verdana" w:hAnsi="Verdana"/>
          <w:sz w:val="20"/>
          <w:szCs w:val="20"/>
          <w:lang w:val="bg-BG"/>
        </w:rPr>
        <w:t>то удачен инструмент за консултации</w:t>
      </w:r>
      <w:r w:rsidR="00B729AF" w:rsidRPr="00B45B4F">
        <w:rPr>
          <w:rFonts w:ascii="Verdana" w:hAnsi="Verdana"/>
          <w:sz w:val="20"/>
          <w:szCs w:val="20"/>
          <w:lang w:val="bg-BG"/>
        </w:rPr>
        <w:t>.</w:t>
      </w:r>
    </w:p>
    <w:p w:rsidR="00BF28D4" w:rsidRPr="00B45B4F" w:rsidRDefault="002774F4" w:rsidP="00BF28D4">
      <w:pPr>
        <w:spacing w:before="120" w:after="120"/>
        <w:jc w:val="both"/>
        <w:rPr>
          <w:rFonts w:ascii="Verdana" w:hAnsi="Verdana"/>
          <w:sz w:val="20"/>
          <w:szCs w:val="20"/>
          <w:lang w:val="bg-BG"/>
        </w:rPr>
      </w:pPr>
      <w:r w:rsidRPr="00B45B4F">
        <w:rPr>
          <w:rFonts w:ascii="Verdana" w:hAnsi="Verdana"/>
          <w:sz w:val="20"/>
          <w:szCs w:val="20"/>
          <w:lang w:val="bg-BG"/>
        </w:rPr>
        <w:t>По-голямата част от респондентите считат</w:t>
      </w:r>
      <w:r w:rsidR="001621BD">
        <w:rPr>
          <w:rFonts w:ascii="Verdana" w:hAnsi="Verdana"/>
          <w:sz w:val="20"/>
          <w:szCs w:val="20"/>
          <w:lang w:val="bg-BG"/>
        </w:rPr>
        <w:t>,</w:t>
      </w:r>
      <w:r w:rsidR="00D737F0">
        <w:rPr>
          <w:rFonts w:ascii="Verdana" w:hAnsi="Verdana"/>
          <w:sz w:val="20"/>
          <w:szCs w:val="20"/>
          <w:lang w:val="bg-BG"/>
        </w:rPr>
        <w:t xml:space="preserve"> </w:t>
      </w:r>
      <w:r w:rsidRPr="00B45B4F">
        <w:rPr>
          <w:rFonts w:ascii="Verdana" w:hAnsi="Verdana"/>
          <w:sz w:val="20"/>
          <w:szCs w:val="20"/>
          <w:lang w:val="bg-BG"/>
        </w:rPr>
        <w:t xml:space="preserve">че </w:t>
      </w:r>
      <w:r w:rsidR="00B729AF" w:rsidRPr="00B45B4F">
        <w:rPr>
          <w:rFonts w:ascii="Verdana" w:hAnsi="Verdana"/>
          <w:sz w:val="20"/>
          <w:szCs w:val="20"/>
          <w:lang w:val="bg-BG"/>
        </w:rPr>
        <w:t xml:space="preserve">Тематичната работна </w:t>
      </w:r>
      <w:r w:rsidRPr="00B45B4F">
        <w:rPr>
          <w:rFonts w:ascii="Verdana" w:hAnsi="Verdana"/>
          <w:sz w:val="20"/>
          <w:szCs w:val="20"/>
          <w:lang w:val="bg-BG"/>
        </w:rPr>
        <w:t xml:space="preserve">група за подготовка на програмата включва основните заинтересовани страни (само 2% са на обратното мнение). В този аспект са изразени </w:t>
      </w:r>
      <w:r w:rsidR="0059259D" w:rsidRPr="00B45B4F">
        <w:rPr>
          <w:rFonts w:ascii="Verdana" w:hAnsi="Verdana"/>
          <w:sz w:val="20"/>
          <w:szCs w:val="20"/>
          <w:lang w:val="bg-BG"/>
        </w:rPr>
        <w:t>предложения</w:t>
      </w:r>
      <w:r w:rsidRPr="00B45B4F">
        <w:rPr>
          <w:rFonts w:ascii="Verdana" w:hAnsi="Verdana"/>
          <w:sz w:val="20"/>
          <w:szCs w:val="20"/>
          <w:lang w:val="bg-BG"/>
        </w:rPr>
        <w:t xml:space="preserve"> съставът на работната група да е по-балансиран </w:t>
      </w:r>
      <w:r w:rsidR="0059259D" w:rsidRPr="00B45B4F">
        <w:rPr>
          <w:rFonts w:ascii="Verdana" w:hAnsi="Verdana"/>
          <w:sz w:val="20"/>
          <w:szCs w:val="20"/>
          <w:lang w:val="bg-BG"/>
        </w:rPr>
        <w:t xml:space="preserve">като се включат </w:t>
      </w:r>
      <w:r w:rsidRPr="00B45B4F">
        <w:rPr>
          <w:rFonts w:ascii="Verdana" w:hAnsi="Verdana"/>
          <w:sz w:val="20"/>
          <w:szCs w:val="20"/>
          <w:lang w:val="bg-BG"/>
        </w:rPr>
        <w:t xml:space="preserve">по-голям брой представители на организации извън администрацията, както и </w:t>
      </w:r>
      <w:r w:rsidR="00B729AF" w:rsidRPr="00B45B4F">
        <w:rPr>
          <w:rFonts w:ascii="Verdana" w:hAnsi="Verdana"/>
          <w:sz w:val="20"/>
          <w:szCs w:val="20"/>
          <w:lang w:val="bg-BG"/>
        </w:rPr>
        <w:t xml:space="preserve">като се оптимизира </w:t>
      </w:r>
      <w:r w:rsidRPr="00B45B4F">
        <w:rPr>
          <w:rFonts w:ascii="Verdana" w:hAnsi="Verdana"/>
          <w:sz w:val="20"/>
          <w:szCs w:val="20"/>
          <w:lang w:val="bg-BG"/>
        </w:rPr>
        <w:t>броя</w:t>
      </w:r>
      <w:r w:rsidR="00B729AF" w:rsidRPr="00B45B4F">
        <w:rPr>
          <w:rFonts w:ascii="Verdana" w:hAnsi="Verdana"/>
          <w:sz w:val="20"/>
          <w:szCs w:val="20"/>
          <w:lang w:val="bg-BG"/>
        </w:rPr>
        <w:t>т</w:t>
      </w:r>
      <w:r w:rsidRPr="00B45B4F">
        <w:rPr>
          <w:rFonts w:ascii="Verdana" w:hAnsi="Verdana"/>
          <w:sz w:val="20"/>
          <w:szCs w:val="20"/>
          <w:lang w:val="bg-BG"/>
        </w:rPr>
        <w:t xml:space="preserve"> на участниците </w:t>
      </w:r>
      <w:r w:rsidR="00B729AF" w:rsidRPr="00B45B4F">
        <w:rPr>
          <w:rFonts w:ascii="Verdana" w:hAnsi="Verdana"/>
          <w:sz w:val="20"/>
          <w:szCs w:val="20"/>
          <w:lang w:val="bg-BG"/>
        </w:rPr>
        <w:t xml:space="preserve">– </w:t>
      </w:r>
      <w:r w:rsidRPr="00B45B4F">
        <w:rPr>
          <w:rFonts w:ascii="Verdana" w:hAnsi="Verdana"/>
          <w:sz w:val="20"/>
          <w:szCs w:val="20"/>
          <w:lang w:val="bg-BG"/>
        </w:rPr>
        <w:t xml:space="preserve">с цел по-голяма оперативност по време на заседанията. </w:t>
      </w:r>
    </w:p>
    <w:p w:rsidR="00BF28D4" w:rsidRPr="00B45B4F" w:rsidRDefault="00BF28D4" w:rsidP="00BF28D4">
      <w:pPr>
        <w:spacing w:before="120" w:after="120"/>
        <w:jc w:val="both"/>
        <w:rPr>
          <w:rFonts w:ascii="Verdana" w:hAnsi="Verdana"/>
          <w:sz w:val="20"/>
          <w:szCs w:val="20"/>
          <w:lang w:val="bg-BG"/>
        </w:rPr>
      </w:pPr>
      <w:r w:rsidRPr="00B45B4F">
        <w:rPr>
          <w:rFonts w:ascii="Verdana" w:hAnsi="Verdana"/>
          <w:sz w:val="20"/>
          <w:szCs w:val="20"/>
          <w:lang w:val="bg-BG"/>
        </w:rPr>
        <w:t>Съпоставката на хоризонталните принципи, залегнали в основните регламенти за помощта по ЕСИФ и Споразумението за партньорство (виж таблицата по-долу), показва, че в ОП</w:t>
      </w:r>
      <w:r w:rsidR="00B06898" w:rsidRPr="00B45B4F">
        <w:rPr>
          <w:rFonts w:ascii="Verdana" w:hAnsi="Verdana"/>
          <w:sz w:val="20"/>
          <w:szCs w:val="20"/>
          <w:lang w:val="bg-BG"/>
        </w:rPr>
        <w:t>НОИР</w:t>
      </w:r>
      <w:r w:rsidR="005106CE" w:rsidRPr="00B45B4F">
        <w:rPr>
          <w:rFonts w:ascii="Verdana" w:hAnsi="Verdana"/>
          <w:sz w:val="20"/>
          <w:szCs w:val="20"/>
          <w:lang w:val="bg-BG"/>
        </w:rPr>
        <w:t>2014–2020</w:t>
      </w:r>
      <w:r w:rsidRPr="00B45B4F">
        <w:rPr>
          <w:rFonts w:ascii="Verdana" w:hAnsi="Verdana"/>
          <w:sz w:val="20"/>
          <w:szCs w:val="20"/>
          <w:lang w:val="bg-BG"/>
        </w:rPr>
        <w:t xml:space="preserve"> г. са залегнали основните хоризонтални принципи посочени в тези документи.</w:t>
      </w:r>
    </w:p>
    <w:p w:rsidR="00B729AF" w:rsidRPr="00B45B4F" w:rsidRDefault="00BF28D4" w:rsidP="000401BF">
      <w:pPr>
        <w:pStyle w:val="Caption"/>
        <w:keepNext/>
        <w:spacing w:after="120"/>
        <w:rPr>
          <w:rFonts w:ascii="Verdana" w:hAnsi="Verdana"/>
          <w:color w:val="548DD4" w:themeColor="text2" w:themeTint="99"/>
        </w:rPr>
      </w:pPr>
      <w:bookmarkStart w:id="115" w:name="_Toc373747287"/>
      <w:bookmarkStart w:id="116" w:name="_Toc381712226"/>
      <w:bookmarkStart w:id="117" w:name="_Toc395612589"/>
      <w:r w:rsidRPr="00B45B4F">
        <w:rPr>
          <w:rFonts w:ascii="Verdana" w:hAnsi="Verdana"/>
          <w:color w:val="548DD4" w:themeColor="text2" w:themeTint="99"/>
        </w:rPr>
        <w:t xml:space="preserve">Таблица </w:t>
      </w:r>
      <w:r w:rsidR="00BF1936" w:rsidRPr="00B45B4F">
        <w:rPr>
          <w:rFonts w:ascii="Verdana" w:hAnsi="Verdana"/>
          <w:color w:val="548DD4" w:themeColor="text2" w:themeTint="99"/>
        </w:rPr>
        <w:fldChar w:fldCharType="begin"/>
      </w:r>
      <w:r w:rsidRPr="00B45B4F">
        <w:rPr>
          <w:rFonts w:ascii="Verdana" w:hAnsi="Verdana"/>
          <w:color w:val="548DD4" w:themeColor="text2" w:themeTint="99"/>
        </w:rPr>
        <w:instrText xml:space="preserve"> SEQ таблица \* ARABIC </w:instrText>
      </w:r>
      <w:r w:rsidR="00BF1936" w:rsidRPr="00B45B4F">
        <w:rPr>
          <w:rFonts w:ascii="Verdana" w:hAnsi="Verdana"/>
          <w:color w:val="548DD4" w:themeColor="text2" w:themeTint="99"/>
        </w:rPr>
        <w:fldChar w:fldCharType="separate"/>
      </w:r>
      <w:r w:rsidR="001361E0">
        <w:rPr>
          <w:rFonts w:ascii="Verdana" w:hAnsi="Verdana"/>
          <w:noProof/>
          <w:color w:val="548DD4" w:themeColor="text2" w:themeTint="99"/>
        </w:rPr>
        <w:t>33</w:t>
      </w:r>
      <w:r w:rsidR="00BF1936" w:rsidRPr="00B45B4F">
        <w:rPr>
          <w:rFonts w:ascii="Verdana" w:hAnsi="Verdana"/>
          <w:color w:val="548DD4" w:themeColor="text2" w:themeTint="99"/>
        </w:rPr>
        <w:fldChar w:fldCharType="end"/>
      </w:r>
      <w:r w:rsidRPr="00B45B4F">
        <w:rPr>
          <w:rFonts w:ascii="Verdana" w:hAnsi="Verdana"/>
          <w:color w:val="548DD4" w:themeColor="text2" w:themeTint="99"/>
        </w:rPr>
        <w:t>. Съпоставка на хоризонталните принципи в ОП</w:t>
      </w:r>
      <w:r w:rsidR="00B06898" w:rsidRPr="00B45B4F">
        <w:rPr>
          <w:rFonts w:ascii="Verdana" w:hAnsi="Verdana"/>
          <w:color w:val="548DD4" w:themeColor="text2" w:themeTint="99"/>
        </w:rPr>
        <w:t>НОИР</w:t>
      </w:r>
      <w:r w:rsidR="005106CE" w:rsidRPr="00B45B4F">
        <w:rPr>
          <w:rFonts w:ascii="Verdana" w:hAnsi="Verdana"/>
          <w:color w:val="548DD4" w:themeColor="text2" w:themeTint="99"/>
        </w:rPr>
        <w:t>2014–2020</w:t>
      </w:r>
      <w:r w:rsidR="001B700A">
        <w:rPr>
          <w:rFonts w:ascii="Verdana" w:hAnsi="Verdana"/>
          <w:color w:val="548DD4" w:themeColor="text2" w:themeTint="99"/>
        </w:rPr>
        <w:t> </w:t>
      </w:r>
      <w:r w:rsidRPr="00B45B4F">
        <w:rPr>
          <w:rFonts w:ascii="Verdana" w:hAnsi="Verdana"/>
          <w:color w:val="548DD4" w:themeColor="text2" w:themeTint="99"/>
        </w:rPr>
        <w:t xml:space="preserve">г. с хоризонталните принципи, залегнали в регламентите на помощта на ЕСИФ за периода </w:t>
      </w:r>
      <w:r w:rsidR="005106CE" w:rsidRPr="00B45B4F">
        <w:rPr>
          <w:rFonts w:ascii="Verdana" w:hAnsi="Verdana"/>
          <w:color w:val="548DD4" w:themeColor="text2" w:themeTint="99"/>
        </w:rPr>
        <w:t>2014–2020</w:t>
      </w:r>
      <w:r w:rsidRPr="00B45B4F">
        <w:rPr>
          <w:rFonts w:ascii="Verdana" w:hAnsi="Verdana"/>
          <w:color w:val="548DD4" w:themeColor="text2" w:themeTint="99"/>
        </w:rPr>
        <w:t xml:space="preserve"> г. и Споразумението за партньорство</w:t>
      </w:r>
      <w:bookmarkEnd w:id="115"/>
      <w:bookmarkEnd w:id="116"/>
      <w:bookmarkEnd w:id="117"/>
    </w:p>
    <w:tbl>
      <w:tblPr>
        <w:tblStyle w:val="TableGrid"/>
        <w:tblW w:w="0" w:type="auto"/>
        <w:tblInd w:w="108" w:type="dxa"/>
        <w:tblBorders>
          <w:top w:val="single" w:sz="8" w:space="0" w:color="17365D"/>
          <w:left w:val="single" w:sz="8" w:space="0" w:color="17365D"/>
          <w:bottom w:val="single" w:sz="8" w:space="0" w:color="17365D"/>
          <w:right w:val="single" w:sz="8" w:space="0" w:color="17365D"/>
          <w:insideH w:val="single" w:sz="8" w:space="0" w:color="17365D"/>
          <w:insideV w:val="single" w:sz="8" w:space="0" w:color="17365D"/>
        </w:tblBorders>
        <w:tblLook w:val="04A0" w:firstRow="1" w:lastRow="0" w:firstColumn="1" w:lastColumn="0" w:noHBand="0" w:noVBand="1"/>
      </w:tblPr>
      <w:tblGrid>
        <w:gridCol w:w="2835"/>
        <w:gridCol w:w="3256"/>
        <w:gridCol w:w="2999"/>
      </w:tblGrid>
      <w:tr w:rsidR="00BF28D4" w:rsidRPr="00BD61F8" w:rsidTr="008861CC">
        <w:tc>
          <w:tcPr>
            <w:tcW w:w="2835" w:type="dxa"/>
            <w:shd w:val="clear" w:color="auto" w:fill="548DD4" w:themeFill="text2" w:themeFillTint="99"/>
            <w:vAlign w:val="center"/>
          </w:tcPr>
          <w:p w:rsidR="00BF28D4" w:rsidRPr="00BD61F8" w:rsidRDefault="00BF28D4" w:rsidP="00F7088F">
            <w:pPr>
              <w:spacing w:before="120" w:after="120"/>
              <w:jc w:val="center"/>
              <w:rPr>
                <w:rFonts w:ascii="Verdana" w:hAnsi="Verdana" w:cs="Arial"/>
                <w:b/>
                <w:color w:val="FFFFFF" w:themeColor="background1"/>
                <w:sz w:val="18"/>
                <w:szCs w:val="18"/>
                <w:lang w:val="bg-BG"/>
              </w:rPr>
            </w:pPr>
            <w:r w:rsidRPr="00BD61F8">
              <w:rPr>
                <w:rFonts w:ascii="Verdana" w:hAnsi="Verdana" w:cs="Arial"/>
                <w:b/>
                <w:color w:val="FFFFFF" w:themeColor="background1"/>
                <w:sz w:val="18"/>
                <w:szCs w:val="18"/>
                <w:lang w:val="bg-BG"/>
              </w:rPr>
              <w:t xml:space="preserve">Принципи, залегнали в основните регламенти и в </w:t>
            </w:r>
            <w:r w:rsidR="00F7088F" w:rsidRPr="00BD61F8">
              <w:rPr>
                <w:rFonts w:ascii="Verdana" w:hAnsi="Verdana" w:cs="Arial"/>
                <w:b/>
                <w:color w:val="FFFFFF" w:themeColor="background1"/>
                <w:sz w:val="18"/>
                <w:szCs w:val="18"/>
                <w:lang w:val="bg-BG"/>
              </w:rPr>
              <w:t>СП</w:t>
            </w:r>
          </w:p>
        </w:tc>
        <w:tc>
          <w:tcPr>
            <w:tcW w:w="3256" w:type="dxa"/>
            <w:shd w:val="clear" w:color="auto" w:fill="548DD4" w:themeFill="text2" w:themeFillTint="99"/>
            <w:vAlign w:val="center"/>
          </w:tcPr>
          <w:p w:rsidR="00BF28D4" w:rsidRPr="00BD61F8" w:rsidRDefault="00BF28D4" w:rsidP="00F7088F">
            <w:pPr>
              <w:spacing w:before="120" w:after="120"/>
              <w:jc w:val="center"/>
              <w:rPr>
                <w:rFonts w:ascii="Verdana" w:hAnsi="Verdana" w:cs="Arial"/>
                <w:b/>
                <w:color w:val="FFFFFF" w:themeColor="background1"/>
                <w:sz w:val="18"/>
                <w:szCs w:val="18"/>
                <w:lang w:val="bg-BG"/>
              </w:rPr>
            </w:pPr>
            <w:r w:rsidRPr="00BD61F8">
              <w:rPr>
                <w:rFonts w:ascii="Verdana" w:hAnsi="Verdana" w:cs="Arial"/>
                <w:b/>
                <w:color w:val="FFFFFF" w:themeColor="background1"/>
                <w:sz w:val="18"/>
                <w:szCs w:val="18"/>
                <w:lang w:val="bg-BG"/>
              </w:rPr>
              <w:t>Документ</w:t>
            </w:r>
          </w:p>
        </w:tc>
        <w:tc>
          <w:tcPr>
            <w:tcW w:w="2999" w:type="dxa"/>
            <w:shd w:val="clear" w:color="auto" w:fill="548DD4" w:themeFill="text2" w:themeFillTint="99"/>
            <w:vAlign w:val="center"/>
          </w:tcPr>
          <w:p w:rsidR="00BF28D4" w:rsidRPr="00BD61F8" w:rsidRDefault="00BF28D4" w:rsidP="00F7088F">
            <w:pPr>
              <w:spacing w:before="120" w:after="120"/>
              <w:jc w:val="center"/>
              <w:rPr>
                <w:rFonts w:ascii="Verdana" w:hAnsi="Verdana" w:cs="Arial"/>
                <w:b/>
                <w:color w:val="FFFFFF" w:themeColor="background1"/>
                <w:sz w:val="18"/>
                <w:szCs w:val="18"/>
                <w:lang w:val="bg-BG"/>
              </w:rPr>
            </w:pPr>
            <w:r w:rsidRPr="00BD61F8">
              <w:rPr>
                <w:rFonts w:ascii="Verdana" w:hAnsi="Verdana" w:cs="Arial"/>
                <w:b/>
                <w:color w:val="FFFFFF" w:themeColor="background1"/>
                <w:sz w:val="18"/>
                <w:szCs w:val="18"/>
                <w:lang w:val="bg-BG"/>
              </w:rPr>
              <w:t xml:space="preserve">Отразяване в проекта на </w:t>
            </w:r>
            <w:r w:rsidR="009E5D12" w:rsidRPr="00BD61F8">
              <w:rPr>
                <w:rFonts w:ascii="Verdana" w:hAnsi="Verdana" w:cs="Arial"/>
                <w:b/>
                <w:color w:val="FFFFFF" w:themeColor="background1"/>
                <w:sz w:val="18"/>
                <w:szCs w:val="18"/>
                <w:lang w:val="bg-BG"/>
              </w:rPr>
              <w:t>ОПНОИР</w:t>
            </w:r>
          </w:p>
        </w:tc>
      </w:tr>
      <w:tr w:rsidR="00BF28D4" w:rsidRPr="00BD61F8" w:rsidTr="008861CC">
        <w:trPr>
          <w:trHeight w:val="435"/>
        </w:trPr>
        <w:tc>
          <w:tcPr>
            <w:tcW w:w="2835" w:type="dxa"/>
          </w:tcPr>
          <w:p w:rsidR="00BF28D4" w:rsidRPr="00BD61F8" w:rsidRDefault="00BF28D4" w:rsidP="00FA776A">
            <w:pPr>
              <w:pStyle w:val="BodyText"/>
              <w:tabs>
                <w:tab w:val="left" w:pos="0"/>
                <w:tab w:val="left" w:pos="1418"/>
                <w:tab w:val="right" w:pos="9214"/>
              </w:tabs>
              <w:spacing w:after="60"/>
              <w:jc w:val="both"/>
              <w:rPr>
                <w:rFonts w:ascii="Verdana" w:hAnsi="Verdana" w:cs="Arial"/>
                <w:sz w:val="18"/>
                <w:szCs w:val="18"/>
              </w:rPr>
            </w:pPr>
            <w:r w:rsidRPr="00BD61F8">
              <w:rPr>
                <w:rFonts w:ascii="Verdana" w:hAnsi="Verdana" w:cs="Arial"/>
                <w:sz w:val="18"/>
                <w:szCs w:val="18"/>
              </w:rPr>
              <w:t>Партньорство и многостепенно управление</w:t>
            </w:r>
          </w:p>
        </w:tc>
        <w:tc>
          <w:tcPr>
            <w:tcW w:w="3256" w:type="dxa"/>
          </w:tcPr>
          <w:p w:rsidR="00BF28D4" w:rsidRPr="00BD61F8" w:rsidRDefault="00BF28D4" w:rsidP="00FA776A">
            <w:pPr>
              <w:spacing w:after="60" w:line="240" w:lineRule="auto"/>
              <w:rPr>
                <w:rFonts w:ascii="Verdana" w:hAnsi="Verdana" w:cs="Arial"/>
                <w:sz w:val="18"/>
                <w:szCs w:val="18"/>
                <w:lang w:val="bg-BG" w:eastAsia="bg-BG"/>
              </w:rPr>
            </w:pPr>
            <w:r w:rsidRPr="00BD61F8">
              <w:rPr>
                <w:rFonts w:ascii="Verdana" w:hAnsi="Verdana" w:cs="Arial"/>
                <w:sz w:val="18"/>
                <w:szCs w:val="18"/>
                <w:lang w:val="bg-BG" w:eastAsia="bg-BG"/>
              </w:rPr>
              <w:t>Регламент относно общите разпоредби</w:t>
            </w:r>
          </w:p>
          <w:p w:rsidR="00BF28D4" w:rsidRPr="00BD61F8" w:rsidRDefault="00BF28D4" w:rsidP="00FA776A">
            <w:pPr>
              <w:pStyle w:val="BodyText"/>
              <w:tabs>
                <w:tab w:val="left" w:pos="0"/>
                <w:tab w:val="left" w:pos="1418"/>
                <w:tab w:val="right" w:pos="9214"/>
              </w:tabs>
              <w:spacing w:after="60"/>
              <w:jc w:val="both"/>
              <w:rPr>
                <w:rFonts w:ascii="Verdana" w:hAnsi="Verdana" w:cs="Arial"/>
                <w:sz w:val="18"/>
                <w:szCs w:val="18"/>
              </w:rPr>
            </w:pPr>
            <w:r w:rsidRPr="00BD61F8">
              <w:rPr>
                <w:rFonts w:ascii="Verdana" w:hAnsi="Verdana" w:cs="Arial"/>
                <w:sz w:val="18"/>
                <w:szCs w:val="18"/>
              </w:rPr>
              <w:t xml:space="preserve">ЕСФ Регламент </w:t>
            </w:r>
          </w:p>
          <w:p w:rsidR="00BF28D4" w:rsidRPr="00BD61F8" w:rsidRDefault="00BF28D4" w:rsidP="00FA776A">
            <w:pPr>
              <w:pStyle w:val="BodyText"/>
              <w:tabs>
                <w:tab w:val="left" w:pos="0"/>
                <w:tab w:val="left" w:pos="1418"/>
                <w:tab w:val="right" w:pos="9214"/>
              </w:tabs>
              <w:spacing w:after="60"/>
              <w:jc w:val="both"/>
              <w:rPr>
                <w:rFonts w:ascii="Verdana" w:hAnsi="Verdana" w:cs="Arial"/>
                <w:sz w:val="18"/>
                <w:szCs w:val="18"/>
              </w:rPr>
            </w:pPr>
            <w:r w:rsidRPr="00BD61F8">
              <w:rPr>
                <w:rFonts w:ascii="Verdana" w:hAnsi="Verdana" w:cs="Arial"/>
                <w:sz w:val="18"/>
                <w:szCs w:val="18"/>
              </w:rPr>
              <w:t>Споразумение за партньорство</w:t>
            </w:r>
          </w:p>
        </w:tc>
        <w:tc>
          <w:tcPr>
            <w:tcW w:w="2999" w:type="dxa"/>
          </w:tcPr>
          <w:p w:rsidR="00BF28D4" w:rsidRPr="00BD61F8" w:rsidRDefault="00FA776A" w:rsidP="00FA776A">
            <w:pPr>
              <w:pStyle w:val="BodyText"/>
              <w:rPr>
                <w:rFonts w:ascii="Verdana" w:hAnsi="Verdana" w:cs="Arial"/>
                <w:sz w:val="18"/>
                <w:szCs w:val="18"/>
              </w:rPr>
            </w:pPr>
            <w:r w:rsidRPr="00BD61F8">
              <w:rPr>
                <w:rFonts w:ascii="Verdana" w:hAnsi="Verdana" w:cs="Arial"/>
                <w:sz w:val="18"/>
                <w:szCs w:val="18"/>
              </w:rPr>
              <w:t>В т.7.2. и във водещите принципи за избор на операции</w:t>
            </w:r>
          </w:p>
        </w:tc>
      </w:tr>
      <w:tr w:rsidR="00BF28D4" w:rsidRPr="00BD61F8" w:rsidTr="008861CC">
        <w:trPr>
          <w:trHeight w:val="452"/>
        </w:trPr>
        <w:tc>
          <w:tcPr>
            <w:tcW w:w="2835" w:type="dxa"/>
          </w:tcPr>
          <w:p w:rsidR="00BF28D4" w:rsidRPr="00BD61F8" w:rsidRDefault="00BF28D4" w:rsidP="00FA776A">
            <w:pPr>
              <w:pStyle w:val="BodyText"/>
              <w:tabs>
                <w:tab w:val="left" w:pos="0"/>
                <w:tab w:val="left" w:pos="1418"/>
                <w:tab w:val="right" w:pos="9214"/>
              </w:tabs>
              <w:spacing w:after="60"/>
              <w:jc w:val="both"/>
              <w:rPr>
                <w:rFonts w:ascii="Verdana" w:hAnsi="Verdana" w:cs="Arial"/>
                <w:sz w:val="18"/>
                <w:szCs w:val="18"/>
              </w:rPr>
            </w:pPr>
            <w:r w:rsidRPr="00BD61F8">
              <w:rPr>
                <w:rFonts w:ascii="Verdana" w:hAnsi="Verdana" w:cs="Arial"/>
                <w:sz w:val="18"/>
                <w:szCs w:val="18"/>
              </w:rPr>
              <w:t xml:space="preserve">Насърчаване равенството между мъжете и жените и </w:t>
            </w:r>
            <w:proofErr w:type="spellStart"/>
            <w:r w:rsidRPr="00BD61F8">
              <w:rPr>
                <w:rFonts w:ascii="Verdana" w:hAnsi="Verdana" w:cs="Arial"/>
                <w:sz w:val="18"/>
                <w:szCs w:val="18"/>
              </w:rPr>
              <w:t>недискриминация</w:t>
            </w:r>
            <w:proofErr w:type="spellEnd"/>
          </w:p>
        </w:tc>
        <w:tc>
          <w:tcPr>
            <w:tcW w:w="3256" w:type="dxa"/>
          </w:tcPr>
          <w:p w:rsidR="00BF28D4" w:rsidRPr="00BD61F8" w:rsidRDefault="00BF28D4" w:rsidP="00FA776A">
            <w:pPr>
              <w:spacing w:after="60" w:line="240" w:lineRule="auto"/>
              <w:rPr>
                <w:rFonts w:ascii="Verdana" w:hAnsi="Verdana" w:cs="Arial"/>
                <w:sz w:val="18"/>
                <w:szCs w:val="18"/>
                <w:lang w:val="bg-BG" w:eastAsia="bg-BG"/>
              </w:rPr>
            </w:pPr>
            <w:r w:rsidRPr="00BD61F8">
              <w:rPr>
                <w:rFonts w:ascii="Verdana" w:hAnsi="Verdana" w:cs="Arial"/>
                <w:sz w:val="18"/>
                <w:szCs w:val="18"/>
                <w:lang w:val="bg-BG" w:eastAsia="bg-BG"/>
              </w:rPr>
              <w:t>Регламент относно общите разпоредби</w:t>
            </w:r>
          </w:p>
          <w:p w:rsidR="00BF28D4" w:rsidRPr="00BD61F8" w:rsidRDefault="00BF28D4" w:rsidP="00FA776A">
            <w:pPr>
              <w:pStyle w:val="BodyText"/>
              <w:tabs>
                <w:tab w:val="left" w:pos="0"/>
                <w:tab w:val="left" w:pos="1418"/>
                <w:tab w:val="right" w:pos="9214"/>
              </w:tabs>
              <w:spacing w:after="60"/>
              <w:jc w:val="both"/>
              <w:rPr>
                <w:rFonts w:ascii="Verdana" w:hAnsi="Verdana" w:cs="Arial"/>
                <w:sz w:val="18"/>
                <w:szCs w:val="18"/>
              </w:rPr>
            </w:pPr>
            <w:r w:rsidRPr="00BD61F8">
              <w:rPr>
                <w:rFonts w:ascii="Verdana" w:hAnsi="Verdana" w:cs="Arial"/>
                <w:sz w:val="18"/>
                <w:szCs w:val="18"/>
              </w:rPr>
              <w:t>ЕСФ Регламент</w:t>
            </w:r>
          </w:p>
          <w:p w:rsidR="00BF28D4" w:rsidRPr="00BD61F8" w:rsidRDefault="00BF28D4" w:rsidP="00FA776A">
            <w:pPr>
              <w:pStyle w:val="BodyText"/>
              <w:tabs>
                <w:tab w:val="left" w:pos="0"/>
                <w:tab w:val="left" w:pos="1418"/>
                <w:tab w:val="right" w:pos="9214"/>
              </w:tabs>
              <w:spacing w:after="60"/>
              <w:jc w:val="both"/>
              <w:rPr>
                <w:rFonts w:ascii="Verdana" w:hAnsi="Verdana" w:cs="Arial"/>
                <w:sz w:val="18"/>
                <w:szCs w:val="18"/>
              </w:rPr>
            </w:pPr>
            <w:r w:rsidRPr="00BD61F8">
              <w:rPr>
                <w:rFonts w:ascii="Verdana" w:hAnsi="Verdana" w:cs="Arial"/>
                <w:sz w:val="18"/>
                <w:szCs w:val="18"/>
              </w:rPr>
              <w:t>Споразумение за партньорство</w:t>
            </w:r>
          </w:p>
        </w:tc>
        <w:tc>
          <w:tcPr>
            <w:tcW w:w="2999" w:type="dxa"/>
          </w:tcPr>
          <w:p w:rsidR="00BF28D4" w:rsidRPr="00BD61F8" w:rsidRDefault="00FA776A" w:rsidP="00AF31B3">
            <w:pPr>
              <w:pStyle w:val="BodyText"/>
              <w:ind w:right="-1"/>
              <w:rPr>
                <w:rFonts w:ascii="Verdana" w:hAnsi="Verdana" w:cs="Arial"/>
                <w:sz w:val="18"/>
                <w:szCs w:val="18"/>
              </w:rPr>
            </w:pPr>
            <w:r w:rsidRPr="00BD61F8">
              <w:rPr>
                <w:rFonts w:ascii="Verdana" w:hAnsi="Verdana" w:cs="Arial"/>
                <w:sz w:val="18"/>
                <w:szCs w:val="18"/>
              </w:rPr>
              <w:t>В раздел 11.</w:t>
            </w:r>
          </w:p>
        </w:tc>
      </w:tr>
      <w:tr w:rsidR="00BF28D4" w:rsidRPr="00BD61F8" w:rsidTr="008861CC">
        <w:trPr>
          <w:trHeight w:val="318"/>
        </w:trPr>
        <w:tc>
          <w:tcPr>
            <w:tcW w:w="2835" w:type="dxa"/>
          </w:tcPr>
          <w:p w:rsidR="00BF28D4" w:rsidRPr="00BD61F8" w:rsidRDefault="00BF28D4" w:rsidP="00FA776A">
            <w:pPr>
              <w:pStyle w:val="BodyText"/>
              <w:tabs>
                <w:tab w:val="left" w:pos="0"/>
                <w:tab w:val="left" w:pos="1418"/>
                <w:tab w:val="right" w:pos="9214"/>
              </w:tabs>
              <w:spacing w:after="60"/>
              <w:jc w:val="both"/>
              <w:rPr>
                <w:rFonts w:ascii="Verdana" w:hAnsi="Verdana" w:cs="Arial"/>
                <w:sz w:val="18"/>
                <w:szCs w:val="18"/>
              </w:rPr>
            </w:pPr>
            <w:r w:rsidRPr="00BD61F8">
              <w:rPr>
                <w:rFonts w:ascii="Verdana" w:hAnsi="Verdana" w:cs="Arial"/>
                <w:sz w:val="18"/>
                <w:szCs w:val="18"/>
              </w:rPr>
              <w:t>Устойчиво развитие</w:t>
            </w:r>
          </w:p>
        </w:tc>
        <w:tc>
          <w:tcPr>
            <w:tcW w:w="3256" w:type="dxa"/>
          </w:tcPr>
          <w:p w:rsidR="00BF28D4" w:rsidRPr="00BD61F8" w:rsidRDefault="00BF28D4" w:rsidP="00FA776A">
            <w:pPr>
              <w:spacing w:after="60" w:line="240" w:lineRule="auto"/>
              <w:rPr>
                <w:rFonts w:ascii="Verdana" w:hAnsi="Verdana" w:cs="Arial"/>
                <w:sz w:val="18"/>
                <w:szCs w:val="18"/>
                <w:lang w:val="bg-BG" w:eastAsia="bg-BG"/>
              </w:rPr>
            </w:pPr>
            <w:r w:rsidRPr="00BD61F8">
              <w:rPr>
                <w:rFonts w:ascii="Verdana" w:hAnsi="Verdana" w:cs="Arial"/>
                <w:sz w:val="18"/>
                <w:szCs w:val="18"/>
                <w:lang w:val="bg-BG" w:eastAsia="bg-BG"/>
              </w:rPr>
              <w:t>Регламент относно общите разпоредби</w:t>
            </w:r>
          </w:p>
          <w:p w:rsidR="00BF28D4" w:rsidRPr="00BD61F8" w:rsidRDefault="00BF28D4" w:rsidP="00FA776A">
            <w:pPr>
              <w:pStyle w:val="BodyText"/>
              <w:tabs>
                <w:tab w:val="left" w:pos="0"/>
                <w:tab w:val="left" w:pos="1418"/>
                <w:tab w:val="right" w:pos="9214"/>
              </w:tabs>
              <w:spacing w:after="60"/>
              <w:jc w:val="both"/>
              <w:rPr>
                <w:rFonts w:ascii="Verdana" w:hAnsi="Verdana" w:cs="Arial"/>
                <w:sz w:val="18"/>
                <w:szCs w:val="18"/>
              </w:rPr>
            </w:pPr>
            <w:r w:rsidRPr="00BD61F8">
              <w:rPr>
                <w:rFonts w:ascii="Verdana" w:hAnsi="Verdana" w:cs="Arial"/>
                <w:sz w:val="18"/>
                <w:szCs w:val="18"/>
              </w:rPr>
              <w:t>Споразумение за партньорство</w:t>
            </w:r>
          </w:p>
        </w:tc>
        <w:tc>
          <w:tcPr>
            <w:tcW w:w="2999" w:type="dxa"/>
          </w:tcPr>
          <w:p w:rsidR="00BF28D4" w:rsidRPr="00BD61F8" w:rsidRDefault="00FA776A" w:rsidP="00FA776A">
            <w:pPr>
              <w:pStyle w:val="BodyText"/>
              <w:rPr>
                <w:rFonts w:ascii="Verdana" w:hAnsi="Verdana" w:cs="Arial"/>
                <w:sz w:val="18"/>
                <w:szCs w:val="18"/>
              </w:rPr>
            </w:pPr>
            <w:r w:rsidRPr="00BD61F8">
              <w:rPr>
                <w:rFonts w:ascii="Verdana" w:hAnsi="Verdana" w:cs="Arial"/>
                <w:sz w:val="18"/>
                <w:szCs w:val="18"/>
              </w:rPr>
              <w:t>Р раздел 11.</w:t>
            </w:r>
          </w:p>
        </w:tc>
      </w:tr>
      <w:tr w:rsidR="00BF28D4" w:rsidRPr="00BD61F8" w:rsidTr="008861CC">
        <w:trPr>
          <w:trHeight w:val="318"/>
        </w:trPr>
        <w:tc>
          <w:tcPr>
            <w:tcW w:w="2835" w:type="dxa"/>
          </w:tcPr>
          <w:p w:rsidR="00BF28D4" w:rsidRPr="00BD61F8" w:rsidRDefault="00BF28D4" w:rsidP="00FA776A">
            <w:pPr>
              <w:pStyle w:val="BodyText"/>
              <w:tabs>
                <w:tab w:val="left" w:pos="0"/>
                <w:tab w:val="left" w:pos="1418"/>
                <w:tab w:val="right" w:pos="9214"/>
              </w:tabs>
              <w:spacing w:after="60"/>
              <w:rPr>
                <w:rFonts w:ascii="Verdana" w:hAnsi="Verdana" w:cs="Arial"/>
                <w:sz w:val="18"/>
                <w:szCs w:val="18"/>
              </w:rPr>
            </w:pPr>
            <w:r w:rsidRPr="00BD61F8">
              <w:rPr>
                <w:rFonts w:ascii="Verdana" w:hAnsi="Verdana" w:cs="Arial"/>
                <w:sz w:val="18"/>
                <w:szCs w:val="18"/>
              </w:rPr>
              <w:t>Социални иновации</w:t>
            </w:r>
          </w:p>
        </w:tc>
        <w:tc>
          <w:tcPr>
            <w:tcW w:w="3256" w:type="dxa"/>
          </w:tcPr>
          <w:p w:rsidR="00BF28D4" w:rsidRPr="00BD61F8" w:rsidRDefault="00BF28D4" w:rsidP="00FA776A">
            <w:pPr>
              <w:pStyle w:val="BodyText"/>
              <w:tabs>
                <w:tab w:val="left" w:pos="0"/>
                <w:tab w:val="left" w:pos="1418"/>
                <w:tab w:val="right" w:pos="9214"/>
              </w:tabs>
              <w:spacing w:after="60"/>
              <w:jc w:val="both"/>
              <w:rPr>
                <w:rFonts w:ascii="Verdana" w:hAnsi="Verdana" w:cs="Arial"/>
                <w:sz w:val="18"/>
                <w:szCs w:val="18"/>
              </w:rPr>
            </w:pPr>
            <w:r w:rsidRPr="00BD61F8">
              <w:rPr>
                <w:rFonts w:ascii="Verdana" w:hAnsi="Verdana" w:cs="Arial"/>
                <w:sz w:val="18"/>
                <w:szCs w:val="18"/>
              </w:rPr>
              <w:t xml:space="preserve">ЕСФ Регламент </w:t>
            </w:r>
          </w:p>
        </w:tc>
        <w:tc>
          <w:tcPr>
            <w:tcW w:w="2999" w:type="dxa"/>
          </w:tcPr>
          <w:p w:rsidR="00BF28D4" w:rsidRPr="00BD61F8" w:rsidRDefault="00FA776A" w:rsidP="00FA776A">
            <w:pPr>
              <w:pStyle w:val="BodyText"/>
              <w:rPr>
                <w:rFonts w:ascii="Verdana" w:hAnsi="Verdana" w:cs="Arial"/>
                <w:sz w:val="18"/>
                <w:szCs w:val="18"/>
              </w:rPr>
            </w:pPr>
            <w:r w:rsidRPr="00BD61F8">
              <w:rPr>
                <w:rFonts w:ascii="Verdana" w:hAnsi="Verdana" w:cs="Arial"/>
                <w:sz w:val="18"/>
                <w:szCs w:val="18"/>
              </w:rPr>
              <w:t>В дейности по ИП1 на ПО2 и по ПО3</w:t>
            </w:r>
          </w:p>
        </w:tc>
      </w:tr>
      <w:tr w:rsidR="00BF28D4" w:rsidRPr="00BD61F8" w:rsidTr="008861CC">
        <w:trPr>
          <w:trHeight w:val="318"/>
        </w:trPr>
        <w:tc>
          <w:tcPr>
            <w:tcW w:w="2835" w:type="dxa"/>
          </w:tcPr>
          <w:p w:rsidR="00BF28D4" w:rsidRPr="00BD61F8" w:rsidRDefault="00BF28D4" w:rsidP="00FA776A">
            <w:pPr>
              <w:pStyle w:val="BodyText"/>
              <w:tabs>
                <w:tab w:val="left" w:pos="0"/>
                <w:tab w:val="left" w:pos="1418"/>
                <w:tab w:val="right" w:pos="9214"/>
              </w:tabs>
              <w:spacing w:after="60"/>
              <w:rPr>
                <w:rFonts w:ascii="Verdana" w:hAnsi="Verdana" w:cs="Arial"/>
                <w:sz w:val="18"/>
                <w:szCs w:val="18"/>
              </w:rPr>
            </w:pPr>
            <w:r w:rsidRPr="00BD61F8">
              <w:rPr>
                <w:rFonts w:ascii="Verdana" w:hAnsi="Verdana" w:cs="Arial"/>
                <w:sz w:val="18"/>
                <w:szCs w:val="18"/>
              </w:rPr>
              <w:t>Транснационално сътрудничество</w:t>
            </w:r>
          </w:p>
        </w:tc>
        <w:tc>
          <w:tcPr>
            <w:tcW w:w="3256" w:type="dxa"/>
          </w:tcPr>
          <w:p w:rsidR="00BF28D4" w:rsidRPr="00BD61F8" w:rsidRDefault="00BF28D4" w:rsidP="00FA776A">
            <w:pPr>
              <w:pStyle w:val="BodyText"/>
              <w:tabs>
                <w:tab w:val="left" w:pos="0"/>
                <w:tab w:val="left" w:pos="1418"/>
                <w:tab w:val="right" w:pos="9214"/>
              </w:tabs>
              <w:spacing w:after="60"/>
              <w:jc w:val="both"/>
              <w:rPr>
                <w:rFonts w:ascii="Verdana" w:hAnsi="Verdana" w:cs="Arial"/>
                <w:sz w:val="18"/>
                <w:szCs w:val="18"/>
              </w:rPr>
            </w:pPr>
            <w:r w:rsidRPr="00BD61F8">
              <w:rPr>
                <w:rFonts w:ascii="Verdana" w:hAnsi="Verdana" w:cs="Arial"/>
                <w:sz w:val="18"/>
                <w:szCs w:val="18"/>
              </w:rPr>
              <w:t xml:space="preserve">ЕСФ Регламент </w:t>
            </w:r>
          </w:p>
        </w:tc>
        <w:tc>
          <w:tcPr>
            <w:tcW w:w="2999" w:type="dxa"/>
          </w:tcPr>
          <w:p w:rsidR="00BF28D4" w:rsidRPr="00BD61F8" w:rsidRDefault="00FA776A" w:rsidP="00FA776A">
            <w:pPr>
              <w:pStyle w:val="BodyText"/>
              <w:rPr>
                <w:rFonts w:ascii="Verdana" w:hAnsi="Verdana" w:cs="Arial"/>
                <w:sz w:val="18"/>
                <w:szCs w:val="18"/>
              </w:rPr>
            </w:pPr>
            <w:r w:rsidRPr="00BD61F8">
              <w:rPr>
                <w:rFonts w:ascii="Verdana" w:hAnsi="Verdana" w:cs="Arial"/>
                <w:sz w:val="18"/>
                <w:szCs w:val="18"/>
              </w:rPr>
              <w:t>В дейности за подкрепа на мобилност и съвместни изследвания и проекти.</w:t>
            </w:r>
          </w:p>
        </w:tc>
      </w:tr>
    </w:tbl>
    <w:p w:rsidR="00AE1F44" w:rsidRDefault="00AE1F44" w:rsidP="00B905F9">
      <w:pPr>
        <w:spacing w:before="120" w:after="120"/>
        <w:jc w:val="both"/>
        <w:rPr>
          <w:rFonts w:ascii="Verdana" w:hAnsi="Verdana"/>
          <w:sz w:val="20"/>
          <w:szCs w:val="20"/>
          <w:lang w:val="bg-BG"/>
        </w:rPr>
      </w:pPr>
      <w:r>
        <w:rPr>
          <w:rFonts w:ascii="Verdana" w:hAnsi="Verdana"/>
          <w:sz w:val="20"/>
          <w:szCs w:val="20"/>
          <w:lang w:val="bg-BG"/>
        </w:rPr>
        <w:lastRenderedPageBreak/>
        <w:t>А</w:t>
      </w:r>
      <w:r w:rsidR="00B905F9" w:rsidRPr="00B45B4F">
        <w:rPr>
          <w:rFonts w:ascii="Verdana" w:hAnsi="Verdana"/>
          <w:sz w:val="20"/>
          <w:szCs w:val="20"/>
          <w:lang w:val="bg-BG"/>
        </w:rPr>
        <w:t>нализ на отразяването на хоризонталните принципи</w:t>
      </w:r>
      <w:r w:rsidR="0098623C">
        <w:rPr>
          <w:rFonts w:ascii="Verdana" w:hAnsi="Verdana"/>
          <w:sz w:val="20"/>
          <w:szCs w:val="20"/>
          <w:lang w:val="bg-BG"/>
        </w:rPr>
        <w:t xml:space="preserve"> за устойчиво развитие, равни възможности и превенция на дискриминацията и равенство между половете </w:t>
      </w:r>
      <w:proofErr w:type="spellStart"/>
      <w:r w:rsidR="0098623C">
        <w:rPr>
          <w:rFonts w:ascii="Verdana" w:hAnsi="Verdana"/>
          <w:sz w:val="20"/>
          <w:szCs w:val="20"/>
          <w:lang w:val="bg-BG"/>
        </w:rPr>
        <w:t>враздел</w:t>
      </w:r>
      <w:proofErr w:type="spellEnd"/>
      <w:r w:rsidR="0098623C">
        <w:rPr>
          <w:rFonts w:ascii="Verdana" w:hAnsi="Verdana"/>
          <w:sz w:val="20"/>
          <w:szCs w:val="20"/>
          <w:lang w:val="bg-BG"/>
        </w:rPr>
        <w:t xml:space="preserve"> 11 на програмата </w:t>
      </w:r>
      <w:r>
        <w:rPr>
          <w:rFonts w:ascii="Verdana" w:hAnsi="Verdana"/>
          <w:sz w:val="20"/>
          <w:szCs w:val="20"/>
          <w:lang w:val="bg-BG"/>
        </w:rPr>
        <w:t>е представен в таблицата по-долу</w:t>
      </w:r>
      <w:r w:rsidR="0098623C">
        <w:rPr>
          <w:rFonts w:ascii="Verdana" w:hAnsi="Verdana"/>
          <w:sz w:val="20"/>
          <w:szCs w:val="20"/>
          <w:lang w:val="bg-BG"/>
        </w:rPr>
        <w:t>.</w:t>
      </w:r>
    </w:p>
    <w:p w:rsidR="001B700A" w:rsidRPr="00B45B4F" w:rsidRDefault="001B700A" w:rsidP="001B700A">
      <w:pPr>
        <w:pStyle w:val="Caption"/>
        <w:keepNext/>
        <w:spacing w:after="120"/>
        <w:rPr>
          <w:rFonts w:ascii="Verdana" w:hAnsi="Verdana"/>
          <w:color w:val="548DD4" w:themeColor="text2" w:themeTint="99"/>
        </w:rPr>
      </w:pPr>
      <w:bookmarkStart w:id="118" w:name="_Toc395612590"/>
      <w:r w:rsidRPr="00B45B4F">
        <w:rPr>
          <w:rFonts w:ascii="Verdana" w:hAnsi="Verdana"/>
          <w:color w:val="548DD4" w:themeColor="text2" w:themeTint="99"/>
        </w:rPr>
        <w:t xml:space="preserve">Таблица </w:t>
      </w:r>
      <w:r w:rsidR="00BF1936" w:rsidRPr="00B45B4F">
        <w:rPr>
          <w:rFonts w:ascii="Verdana" w:hAnsi="Verdana"/>
          <w:color w:val="548DD4" w:themeColor="text2" w:themeTint="99"/>
        </w:rPr>
        <w:fldChar w:fldCharType="begin"/>
      </w:r>
      <w:r w:rsidRPr="00B45B4F">
        <w:rPr>
          <w:rFonts w:ascii="Verdana" w:hAnsi="Verdana"/>
          <w:color w:val="548DD4" w:themeColor="text2" w:themeTint="99"/>
        </w:rPr>
        <w:instrText xml:space="preserve"> SEQ таблица \* ARABIC </w:instrText>
      </w:r>
      <w:r w:rsidR="00BF1936" w:rsidRPr="00B45B4F">
        <w:rPr>
          <w:rFonts w:ascii="Verdana" w:hAnsi="Verdana"/>
          <w:color w:val="548DD4" w:themeColor="text2" w:themeTint="99"/>
        </w:rPr>
        <w:fldChar w:fldCharType="separate"/>
      </w:r>
      <w:r w:rsidR="001361E0">
        <w:rPr>
          <w:rFonts w:ascii="Verdana" w:hAnsi="Verdana"/>
          <w:noProof/>
          <w:color w:val="548DD4" w:themeColor="text2" w:themeTint="99"/>
        </w:rPr>
        <w:t>34</w:t>
      </w:r>
      <w:r w:rsidR="00BF1936" w:rsidRPr="00B45B4F">
        <w:rPr>
          <w:rFonts w:ascii="Verdana" w:hAnsi="Verdana"/>
          <w:color w:val="548DD4" w:themeColor="text2" w:themeTint="99"/>
        </w:rPr>
        <w:fldChar w:fldCharType="end"/>
      </w:r>
      <w:r w:rsidRPr="00B45B4F">
        <w:rPr>
          <w:rFonts w:ascii="Verdana" w:hAnsi="Verdana"/>
          <w:color w:val="548DD4" w:themeColor="text2" w:themeTint="99"/>
        </w:rPr>
        <w:t xml:space="preserve">. </w:t>
      </w:r>
      <w:r>
        <w:rPr>
          <w:rFonts w:ascii="Verdana" w:hAnsi="Verdana"/>
          <w:color w:val="548DD4" w:themeColor="text2" w:themeTint="99"/>
        </w:rPr>
        <w:t>Анализ на отразяване на хоризонталните принципи в ОПНОИР</w:t>
      </w:r>
      <w:bookmarkEnd w:id="118"/>
    </w:p>
    <w:tbl>
      <w:tblPr>
        <w:tblStyle w:val="TableGrid"/>
        <w:tblW w:w="0" w:type="auto"/>
        <w:tblLook w:val="04A0" w:firstRow="1" w:lastRow="0" w:firstColumn="1" w:lastColumn="0" w:noHBand="0" w:noVBand="1"/>
      </w:tblPr>
      <w:tblGrid>
        <w:gridCol w:w="2058"/>
        <w:gridCol w:w="4713"/>
        <w:gridCol w:w="2535"/>
      </w:tblGrid>
      <w:tr w:rsidR="00AE1F44" w:rsidTr="00666C98">
        <w:tc>
          <w:tcPr>
            <w:tcW w:w="2058" w:type="dxa"/>
            <w:shd w:val="clear" w:color="auto" w:fill="17365D" w:themeFill="text2" w:themeFillShade="BF"/>
          </w:tcPr>
          <w:p w:rsidR="00AE1F44" w:rsidRDefault="00AE1F44" w:rsidP="00B905F9">
            <w:pPr>
              <w:spacing w:before="120" w:after="120"/>
              <w:jc w:val="both"/>
              <w:rPr>
                <w:rFonts w:ascii="Verdana" w:hAnsi="Verdana"/>
                <w:sz w:val="20"/>
                <w:szCs w:val="20"/>
                <w:lang w:val="bg-BG"/>
              </w:rPr>
            </w:pPr>
            <w:r>
              <w:rPr>
                <w:rFonts w:ascii="Verdana" w:hAnsi="Verdana"/>
                <w:sz w:val="20"/>
                <w:szCs w:val="20"/>
                <w:lang w:val="bg-BG"/>
              </w:rPr>
              <w:t>Принцип</w:t>
            </w:r>
          </w:p>
        </w:tc>
        <w:tc>
          <w:tcPr>
            <w:tcW w:w="4713" w:type="dxa"/>
            <w:shd w:val="clear" w:color="auto" w:fill="17365D" w:themeFill="text2" w:themeFillShade="BF"/>
          </w:tcPr>
          <w:p w:rsidR="00AE1F44" w:rsidRDefault="00AE1F44" w:rsidP="00B905F9">
            <w:pPr>
              <w:spacing w:before="120" w:after="120"/>
              <w:jc w:val="both"/>
              <w:rPr>
                <w:rFonts w:ascii="Verdana" w:hAnsi="Verdana"/>
                <w:sz w:val="20"/>
                <w:szCs w:val="20"/>
                <w:lang w:val="bg-BG"/>
              </w:rPr>
            </w:pPr>
            <w:r>
              <w:rPr>
                <w:rFonts w:ascii="Verdana" w:hAnsi="Verdana"/>
                <w:sz w:val="20"/>
                <w:szCs w:val="20"/>
                <w:lang w:val="bg-BG"/>
              </w:rPr>
              <w:t xml:space="preserve">Отразяване в програмата </w:t>
            </w:r>
          </w:p>
        </w:tc>
        <w:tc>
          <w:tcPr>
            <w:tcW w:w="2535" w:type="dxa"/>
            <w:shd w:val="clear" w:color="auto" w:fill="17365D" w:themeFill="text2" w:themeFillShade="BF"/>
          </w:tcPr>
          <w:p w:rsidR="00AE1F44" w:rsidRDefault="001B700A" w:rsidP="001B700A">
            <w:pPr>
              <w:spacing w:before="120" w:after="120"/>
              <w:rPr>
                <w:rFonts w:ascii="Verdana" w:hAnsi="Verdana"/>
                <w:sz w:val="20"/>
                <w:szCs w:val="20"/>
                <w:lang w:val="bg-BG"/>
              </w:rPr>
            </w:pPr>
            <w:r>
              <w:rPr>
                <w:rFonts w:ascii="Verdana" w:hAnsi="Verdana"/>
                <w:sz w:val="20"/>
                <w:szCs w:val="20"/>
                <w:lang w:val="bg-BG"/>
              </w:rPr>
              <w:t>Наблюдение на прилагането на принципа</w:t>
            </w:r>
          </w:p>
        </w:tc>
      </w:tr>
      <w:tr w:rsidR="00AE1F44" w:rsidTr="00666C98">
        <w:tc>
          <w:tcPr>
            <w:tcW w:w="2058" w:type="dxa"/>
          </w:tcPr>
          <w:p w:rsidR="00E654C5" w:rsidRPr="00B45B4F" w:rsidRDefault="00E654C5" w:rsidP="00E654C5">
            <w:pPr>
              <w:spacing w:before="120" w:after="120"/>
              <w:jc w:val="both"/>
              <w:rPr>
                <w:rFonts w:ascii="Verdana" w:hAnsi="Verdana"/>
                <w:sz w:val="20"/>
                <w:szCs w:val="20"/>
                <w:lang w:val="bg-BG"/>
              </w:rPr>
            </w:pPr>
            <w:r>
              <w:rPr>
                <w:rFonts w:ascii="Verdana" w:hAnsi="Verdana"/>
                <w:sz w:val="20"/>
                <w:szCs w:val="20"/>
                <w:lang w:val="bg-BG"/>
              </w:rPr>
              <w:t>Устойчиво развитие</w:t>
            </w:r>
          </w:p>
          <w:p w:rsidR="00AE1F44" w:rsidRDefault="00AE1F44" w:rsidP="00B905F9">
            <w:pPr>
              <w:spacing w:before="120" w:after="120"/>
              <w:jc w:val="both"/>
              <w:rPr>
                <w:rFonts w:ascii="Verdana" w:hAnsi="Verdana"/>
                <w:sz w:val="20"/>
                <w:szCs w:val="20"/>
                <w:lang w:val="bg-BG"/>
              </w:rPr>
            </w:pPr>
          </w:p>
        </w:tc>
        <w:tc>
          <w:tcPr>
            <w:tcW w:w="4713" w:type="dxa"/>
          </w:tcPr>
          <w:p w:rsidR="00FD1638" w:rsidRDefault="00FD1638" w:rsidP="00E654C5">
            <w:pPr>
              <w:spacing w:before="120" w:after="120"/>
              <w:jc w:val="both"/>
              <w:rPr>
                <w:rFonts w:ascii="Verdana" w:hAnsi="Verdana"/>
                <w:sz w:val="20"/>
                <w:szCs w:val="20"/>
                <w:lang w:val="bg-BG"/>
              </w:rPr>
            </w:pPr>
            <w:r>
              <w:rPr>
                <w:rFonts w:ascii="Verdana" w:hAnsi="Verdana"/>
                <w:sz w:val="20"/>
                <w:szCs w:val="20"/>
                <w:lang w:val="bg-BG"/>
              </w:rPr>
              <w:t>Посочено, е че принципът ще бъде отразен чрез</w:t>
            </w:r>
            <w:r w:rsidR="00D737F0">
              <w:rPr>
                <w:rFonts w:ascii="Verdana" w:hAnsi="Verdana"/>
                <w:sz w:val="20"/>
                <w:szCs w:val="20"/>
                <w:lang w:val="bg-BG"/>
              </w:rPr>
              <w:t xml:space="preserve"> </w:t>
            </w:r>
            <w:r w:rsidR="00E33E5F">
              <w:rPr>
                <w:rFonts w:ascii="Verdana" w:hAnsi="Verdana"/>
                <w:sz w:val="20"/>
                <w:szCs w:val="20"/>
                <w:lang w:val="bg-BG"/>
              </w:rPr>
              <w:t>следните приоритетни оси</w:t>
            </w:r>
            <w:r>
              <w:rPr>
                <w:rFonts w:ascii="Verdana" w:hAnsi="Verdana"/>
                <w:sz w:val="20"/>
                <w:szCs w:val="20"/>
                <w:lang w:val="bg-BG"/>
              </w:rPr>
              <w:t>:</w:t>
            </w:r>
          </w:p>
          <w:p w:rsidR="00AE1F44" w:rsidRDefault="00E654C5" w:rsidP="006861B0">
            <w:pPr>
              <w:pStyle w:val="ListParagraph"/>
              <w:numPr>
                <w:ilvl w:val="0"/>
                <w:numId w:val="65"/>
              </w:numPr>
              <w:spacing w:before="120" w:after="120"/>
              <w:ind w:left="210" w:hanging="210"/>
              <w:jc w:val="both"/>
              <w:rPr>
                <w:rFonts w:ascii="Verdana" w:hAnsi="Verdana"/>
                <w:sz w:val="20"/>
                <w:szCs w:val="20"/>
                <w:lang w:val="bg-BG"/>
              </w:rPr>
            </w:pPr>
            <w:r>
              <w:rPr>
                <w:rFonts w:ascii="Verdana" w:hAnsi="Verdana"/>
                <w:sz w:val="20"/>
                <w:szCs w:val="20"/>
                <w:lang w:val="bg-BG"/>
              </w:rPr>
              <w:t xml:space="preserve">ПО1 – </w:t>
            </w:r>
            <w:r w:rsidR="001B700A">
              <w:rPr>
                <w:rFonts w:ascii="Verdana" w:hAnsi="Verdana"/>
                <w:sz w:val="20"/>
                <w:szCs w:val="20"/>
                <w:lang w:val="bg-BG"/>
              </w:rPr>
              <w:t>чрез предоставяне на</w:t>
            </w:r>
            <w:r>
              <w:rPr>
                <w:rFonts w:ascii="Verdana" w:hAnsi="Verdana"/>
                <w:sz w:val="20"/>
                <w:szCs w:val="20"/>
                <w:lang w:val="bg-BG"/>
              </w:rPr>
              <w:t xml:space="preserve"> предимство на проекти </w:t>
            </w:r>
            <w:r w:rsidRPr="00FD1638">
              <w:rPr>
                <w:rFonts w:ascii="Verdana" w:hAnsi="Verdana"/>
                <w:sz w:val="20"/>
                <w:szCs w:val="20"/>
                <w:lang w:val="bg-BG"/>
              </w:rPr>
              <w:t xml:space="preserve">насочени към екологични иновации, технологии, свързани с енергийната ефективност и използването на възобновяеми източници, </w:t>
            </w:r>
            <w:proofErr w:type="spellStart"/>
            <w:r w:rsidRPr="00FD1638">
              <w:rPr>
                <w:rFonts w:ascii="Verdana" w:hAnsi="Verdana"/>
                <w:sz w:val="20"/>
                <w:szCs w:val="20"/>
                <w:lang w:val="bg-BG"/>
              </w:rPr>
              <w:t>биоземеделие</w:t>
            </w:r>
            <w:proofErr w:type="spellEnd"/>
            <w:r w:rsidRPr="00FD1638">
              <w:rPr>
                <w:rFonts w:ascii="Verdana" w:hAnsi="Verdana"/>
                <w:sz w:val="20"/>
                <w:szCs w:val="20"/>
                <w:lang w:val="bg-BG"/>
              </w:rPr>
              <w:t xml:space="preserve"> и чисти храни</w:t>
            </w:r>
            <w:r w:rsidR="00FD1638">
              <w:rPr>
                <w:rFonts w:ascii="Verdana" w:hAnsi="Verdana"/>
                <w:sz w:val="20"/>
                <w:szCs w:val="20"/>
                <w:lang w:val="bg-BG"/>
              </w:rPr>
              <w:t>;</w:t>
            </w:r>
          </w:p>
          <w:p w:rsidR="00E654C5" w:rsidRDefault="00E654C5" w:rsidP="006861B0">
            <w:pPr>
              <w:pStyle w:val="ListParagraph"/>
              <w:numPr>
                <w:ilvl w:val="0"/>
                <w:numId w:val="65"/>
              </w:numPr>
              <w:spacing w:before="120" w:after="120"/>
              <w:ind w:left="210" w:hanging="210"/>
              <w:jc w:val="both"/>
              <w:rPr>
                <w:rFonts w:ascii="Verdana" w:hAnsi="Verdana"/>
                <w:sz w:val="20"/>
                <w:szCs w:val="20"/>
                <w:lang w:val="bg-BG"/>
              </w:rPr>
            </w:pPr>
            <w:r>
              <w:rPr>
                <w:rFonts w:ascii="Verdana" w:hAnsi="Verdana"/>
                <w:sz w:val="20"/>
                <w:szCs w:val="20"/>
                <w:lang w:val="bg-BG"/>
              </w:rPr>
              <w:t xml:space="preserve">ПО2 </w:t>
            </w:r>
            <w:r w:rsidR="001B700A">
              <w:rPr>
                <w:rFonts w:ascii="Verdana" w:hAnsi="Verdana"/>
                <w:sz w:val="20"/>
                <w:szCs w:val="20"/>
                <w:lang w:val="bg-BG"/>
              </w:rPr>
              <w:t xml:space="preserve">–чрез </w:t>
            </w:r>
            <w:r w:rsidR="00FD1638" w:rsidRPr="00FD1638">
              <w:rPr>
                <w:rFonts w:ascii="Verdana" w:hAnsi="Verdana"/>
                <w:sz w:val="20"/>
                <w:szCs w:val="20"/>
                <w:lang w:val="bg-BG"/>
              </w:rPr>
              <w:t>адаптиране на учебното съдържание</w:t>
            </w:r>
            <w:r w:rsidR="00FD1638">
              <w:rPr>
                <w:rFonts w:ascii="Verdana" w:hAnsi="Verdana"/>
                <w:sz w:val="20"/>
                <w:szCs w:val="20"/>
                <w:lang w:val="bg-BG"/>
              </w:rPr>
              <w:t xml:space="preserve"> и</w:t>
            </w:r>
            <w:r w:rsidR="00FD1638" w:rsidRPr="00FD1638">
              <w:rPr>
                <w:rFonts w:ascii="Verdana" w:hAnsi="Verdana"/>
                <w:sz w:val="20"/>
                <w:szCs w:val="20"/>
                <w:lang w:val="bg-BG"/>
              </w:rPr>
              <w:t xml:space="preserve"> разработването на нови планове и програми чрез включване на екологично образование</w:t>
            </w:r>
            <w:r w:rsidR="00FD1638">
              <w:rPr>
                <w:rFonts w:ascii="Verdana" w:hAnsi="Verdana"/>
                <w:sz w:val="20"/>
                <w:szCs w:val="20"/>
                <w:lang w:val="bg-BG"/>
              </w:rPr>
              <w:t>;</w:t>
            </w:r>
          </w:p>
        </w:tc>
        <w:tc>
          <w:tcPr>
            <w:tcW w:w="2535" w:type="dxa"/>
          </w:tcPr>
          <w:p w:rsidR="00AE1F44" w:rsidRDefault="00FD1638" w:rsidP="00A2105B">
            <w:pPr>
              <w:spacing w:before="120" w:after="120"/>
              <w:jc w:val="both"/>
              <w:rPr>
                <w:rFonts w:ascii="Verdana" w:hAnsi="Verdana"/>
                <w:sz w:val="20"/>
                <w:szCs w:val="20"/>
                <w:lang w:val="bg-BG"/>
              </w:rPr>
            </w:pPr>
            <w:r>
              <w:rPr>
                <w:rFonts w:ascii="Verdana" w:hAnsi="Verdana"/>
                <w:sz w:val="20"/>
                <w:szCs w:val="20"/>
                <w:lang w:val="bg-BG"/>
              </w:rPr>
              <w:t xml:space="preserve">Не </w:t>
            </w:r>
            <w:r w:rsidR="00A2105B">
              <w:rPr>
                <w:rFonts w:ascii="Verdana" w:hAnsi="Verdana"/>
                <w:sz w:val="20"/>
                <w:szCs w:val="20"/>
                <w:lang w:val="bg-BG"/>
              </w:rPr>
              <w:t>са предвидени механизми за наблюдение на прилагането на принципа.</w:t>
            </w:r>
          </w:p>
        </w:tc>
      </w:tr>
      <w:tr w:rsidR="00E654C5" w:rsidTr="00666C98">
        <w:tc>
          <w:tcPr>
            <w:tcW w:w="2058" w:type="dxa"/>
          </w:tcPr>
          <w:p w:rsidR="00E654C5" w:rsidRDefault="00FD1638" w:rsidP="00E654C5">
            <w:pPr>
              <w:spacing w:before="120" w:after="120"/>
              <w:jc w:val="both"/>
              <w:rPr>
                <w:rFonts w:ascii="Verdana" w:hAnsi="Verdana"/>
                <w:sz w:val="20"/>
                <w:szCs w:val="20"/>
                <w:lang w:val="bg-BG"/>
              </w:rPr>
            </w:pPr>
            <w:r>
              <w:rPr>
                <w:rFonts w:ascii="Verdana" w:hAnsi="Verdana"/>
                <w:sz w:val="20"/>
                <w:szCs w:val="20"/>
                <w:lang w:val="bg-BG"/>
              </w:rPr>
              <w:t>Равни възможности и превенция на дискриминацията</w:t>
            </w:r>
          </w:p>
        </w:tc>
        <w:tc>
          <w:tcPr>
            <w:tcW w:w="4713" w:type="dxa"/>
          </w:tcPr>
          <w:p w:rsidR="00FD1638" w:rsidRDefault="00FD1638" w:rsidP="00FD1638">
            <w:pPr>
              <w:spacing w:before="120" w:after="120"/>
              <w:jc w:val="both"/>
              <w:rPr>
                <w:rFonts w:ascii="Verdana" w:hAnsi="Verdana"/>
                <w:sz w:val="20"/>
                <w:szCs w:val="20"/>
                <w:lang w:val="bg-BG"/>
              </w:rPr>
            </w:pPr>
            <w:r>
              <w:rPr>
                <w:rFonts w:ascii="Verdana" w:hAnsi="Verdana"/>
                <w:sz w:val="20"/>
                <w:szCs w:val="20"/>
                <w:lang w:val="bg-BG"/>
              </w:rPr>
              <w:t>Посочено, е че принципът ще бъде отразен чрез:</w:t>
            </w:r>
          </w:p>
          <w:p w:rsidR="00E654C5" w:rsidRDefault="00FD1638" w:rsidP="006861B0">
            <w:pPr>
              <w:pStyle w:val="ListParagraph"/>
              <w:numPr>
                <w:ilvl w:val="0"/>
                <w:numId w:val="65"/>
              </w:numPr>
              <w:spacing w:before="120" w:after="120"/>
              <w:ind w:left="210" w:hanging="210"/>
              <w:jc w:val="both"/>
              <w:rPr>
                <w:rFonts w:ascii="Verdana" w:hAnsi="Verdana"/>
                <w:sz w:val="20"/>
                <w:szCs w:val="20"/>
                <w:lang w:val="bg-BG"/>
              </w:rPr>
            </w:pPr>
            <w:r>
              <w:rPr>
                <w:rFonts w:ascii="Verdana" w:hAnsi="Verdana"/>
                <w:sz w:val="20"/>
                <w:szCs w:val="20"/>
                <w:lang w:val="bg-BG"/>
              </w:rPr>
              <w:t xml:space="preserve">ПО3 </w:t>
            </w:r>
            <w:r w:rsidR="001B700A">
              <w:rPr>
                <w:rFonts w:ascii="Verdana" w:hAnsi="Verdana"/>
                <w:sz w:val="20"/>
                <w:szCs w:val="20"/>
                <w:lang w:val="bg-BG"/>
              </w:rPr>
              <w:t xml:space="preserve">–като се </w:t>
            </w:r>
            <w:r>
              <w:rPr>
                <w:rFonts w:ascii="Verdana" w:hAnsi="Verdana"/>
                <w:sz w:val="20"/>
                <w:szCs w:val="20"/>
                <w:lang w:val="bg-BG"/>
              </w:rPr>
              <w:t>адресира</w:t>
            </w:r>
            <w:r w:rsidR="001B700A">
              <w:rPr>
                <w:rFonts w:ascii="Verdana" w:hAnsi="Verdana"/>
                <w:sz w:val="20"/>
                <w:szCs w:val="20"/>
                <w:lang w:val="bg-BG"/>
              </w:rPr>
              <w:t>т</w:t>
            </w:r>
            <w:r>
              <w:rPr>
                <w:rFonts w:ascii="Verdana" w:hAnsi="Verdana"/>
                <w:sz w:val="20"/>
                <w:szCs w:val="20"/>
                <w:lang w:val="bg-BG"/>
              </w:rPr>
              <w:t xml:space="preserve"> групи в неравностойно положение, за които е предвидена отделна подкрепа;</w:t>
            </w:r>
          </w:p>
          <w:p w:rsidR="00FD1638" w:rsidRDefault="00FD1638" w:rsidP="006861B0">
            <w:pPr>
              <w:pStyle w:val="ListParagraph"/>
              <w:numPr>
                <w:ilvl w:val="0"/>
                <w:numId w:val="65"/>
              </w:numPr>
              <w:spacing w:before="120" w:after="120"/>
              <w:ind w:left="210" w:hanging="210"/>
              <w:jc w:val="both"/>
              <w:rPr>
                <w:rFonts w:ascii="Verdana" w:hAnsi="Verdana"/>
                <w:sz w:val="20"/>
                <w:szCs w:val="20"/>
                <w:lang w:val="bg-BG"/>
              </w:rPr>
            </w:pPr>
            <w:r>
              <w:rPr>
                <w:rFonts w:ascii="Verdana" w:hAnsi="Verdana"/>
                <w:sz w:val="20"/>
                <w:szCs w:val="20"/>
                <w:lang w:val="bg-BG"/>
              </w:rPr>
              <w:t>ПО2 - съдържа мерки, които адресират нуждите на уязвими групи чрез мерките за превенция на ранно отпадане от училище, студентско кредитиране, квалификация за преподаватели за работа с деца в риск;</w:t>
            </w:r>
          </w:p>
          <w:p w:rsidR="00FD1638" w:rsidRDefault="00FD1638" w:rsidP="006861B0">
            <w:pPr>
              <w:pStyle w:val="ListParagraph"/>
              <w:numPr>
                <w:ilvl w:val="0"/>
                <w:numId w:val="65"/>
              </w:numPr>
              <w:spacing w:before="120" w:after="120"/>
              <w:ind w:left="210" w:hanging="210"/>
              <w:jc w:val="both"/>
              <w:rPr>
                <w:rFonts w:ascii="Verdana" w:hAnsi="Verdana"/>
                <w:sz w:val="20"/>
                <w:szCs w:val="20"/>
                <w:lang w:val="bg-BG"/>
              </w:rPr>
            </w:pPr>
            <w:r>
              <w:rPr>
                <w:rFonts w:ascii="Verdana" w:hAnsi="Verdana"/>
                <w:sz w:val="20"/>
                <w:szCs w:val="20"/>
                <w:lang w:val="bg-BG"/>
              </w:rPr>
              <w:t>Въвеждане на ИКТ в образованието и дистанционни форми на обучение</w:t>
            </w:r>
            <w:r w:rsidR="00E33E5F">
              <w:rPr>
                <w:rFonts w:ascii="Verdana" w:hAnsi="Verdana"/>
                <w:sz w:val="20"/>
                <w:szCs w:val="20"/>
                <w:lang w:val="bg-BG"/>
              </w:rPr>
              <w:t>, както по този начин се улеснява достъпа до образование</w:t>
            </w:r>
            <w:r>
              <w:rPr>
                <w:rFonts w:ascii="Verdana" w:hAnsi="Verdana"/>
                <w:sz w:val="20"/>
                <w:szCs w:val="20"/>
                <w:lang w:val="bg-BG"/>
              </w:rPr>
              <w:t>;</w:t>
            </w:r>
          </w:p>
          <w:p w:rsidR="00FD1638" w:rsidRDefault="00FD1638" w:rsidP="004F74DF">
            <w:pPr>
              <w:spacing w:before="120" w:after="120"/>
              <w:jc w:val="both"/>
              <w:rPr>
                <w:rFonts w:ascii="Verdana" w:hAnsi="Verdana"/>
                <w:sz w:val="20"/>
                <w:szCs w:val="20"/>
                <w:lang w:val="bg-BG"/>
              </w:rPr>
            </w:pPr>
            <w:r>
              <w:rPr>
                <w:rFonts w:ascii="Verdana" w:hAnsi="Verdana"/>
                <w:sz w:val="20"/>
                <w:szCs w:val="20"/>
                <w:lang w:val="bg-BG"/>
              </w:rPr>
              <w:t xml:space="preserve">Освен това при </w:t>
            </w:r>
            <w:r w:rsidR="004F74DF">
              <w:rPr>
                <w:rFonts w:ascii="Verdana" w:hAnsi="Verdana"/>
                <w:sz w:val="20"/>
                <w:szCs w:val="20"/>
                <w:lang w:val="bg-BG"/>
              </w:rPr>
              <w:t xml:space="preserve">подбор на проекти ще се въведат правила, които да гарантират </w:t>
            </w:r>
            <w:r w:rsidR="004F74DF" w:rsidRPr="00FE5A49">
              <w:rPr>
                <w:rFonts w:ascii="Verdana" w:hAnsi="Verdana"/>
                <w:sz w:val="20"/>
                <w:szCs w:val="20"/>
                <w:lang w:val="bg-BG"/>
              </w:rPr>
              <w:t>физически условия за пълноценна работа на участниците в неравностойно положение:</w:t>
            </w:r>
          </w:p>
        </w:tc>
        <w:tc>
          <w:tcPr>
            <w:tcW w:w="2535" w:type="dxa"/>
          </w:tcPr>
          <w:p w:rsidR="00E654C5" w:rsidRDefault="004F74DF" w:rsidP="00FE5A49">
            <w:pPr>
              <w:spacing w:before="120" w:after="120"/>
              <w:rPr>
                <w:rFonts w:ascii="Verdana" w:hAnsi="Verdana"/>
                <w:sz w:val="20"/>
                <w:szCs w:val="20"/>
                <w:lang w:val="bg-BG"/>
              </w:rPr>
            </w:pPr>
            <w:r>
              <w:rPr>
                <w:rFonts w:ascii="Verdana" w:hAnsi="Verdana"/>
                <w:sz w:val="20"/>
                <w:szCs w:val="20"/>
                <w:lang w:val="bg-BG"/>
              </w:rPr>
              <w:t>Най-общо е предвидено наблюдението да става чрез специализирани проверки и следене на конкретни индикатори.</w:t>
            </w:r>
          </w:p>
          <w:p w:rsidR="004F74DF" w:rsidRDefault="004F74DF" w:rsidP="00FE5A49">
            <w:pPr>
              <w:spacing w:before="120" w:after="120"/>
              <w:rPr>
                <w:rFonts w:ascii="Verdana" w:hAnsi="Verdana"/>
                <w:sz w:val="20"/>
                <w:szCs w:val="20"/>
                <w:lang w:val="bg-BG"/>
              </w:rPr>
            </w:pPr>
            <w:r>
              <w:rPr>
                <w:rFonts w:ascii="Verdana" w:hAnsi="Verdana"/>
                <w:sz w:val="20"/>
                <w:szCs w:val="20"/>
                <w:lang w:val="bg-BG"/>
              </w:rPr>
              <w:t>Въвеждането на специализирани проверки би довело до увеличаване на административната тежест. По-удачно би било информация за изпълнение на принципа да бъде набирана чрез системата за наблюдение.</w:t>
            </w:r>
          </w:p>
        </w:tc>
      </w:tr>
      <w:tr w:rsidR="004F74DF" w:rsidTr="00666C98">
        <w:tc>
          <w:tcPr>
            <w:tcW w:w="2058" w:type="dxa"/>
          </w:tcPr>
          <w:p w:rsidR="004F74DF" w:rsidRDefault="004F74DF" w:rsidP="00E654C5">
            <w:pPr>
              <w:spacing w:before="120" w:after="120"/>
              <w:jc w:val="both"/>
              <w:rPr>
                <w:rFonts w:ascii="Verdana" w:hAnsi="Verdana"/>
                <w:sz w:val="20"/>
                <w:szCs w:val="20"/>
                <w:lang w:val="bg-BG"/>
              </w:rPr>
            </w:pPr>
            <w:r>
              <w:rPr>
                <w:rFonts w:ascii="Verdana" w:hAnsi="Verdana"/>
                <w:sz w:val="20"/>
                <w:szCs w:val="20"/>
                <w:lang w:val="bg-BG"/>
              </w:rPr>
              <w:lastRenderedPageBreak/>
              <w:t>Равенство между половете</w:t>
            </w:r>
          </w:p>
        </w:tc>
        <w:tc>
          <w:tcPr>
            <w:tcW w:w="4713" w:type="dxa"/>
          </w:tcPr>
          <w:p w:rsidR="004F74DF" w:rsidRDefault="004F74DF" w:rsidP="004F74DF">
            <w:pPr>
              <w:spacing w:before="120" w:after="120"/>
              <w:jc w:val="both"/>
              <w:rPr>
                <w:rFonts w:ascii="Verdana" w:hAnsi="Verdana"/>
                <w:sz w:val="20"/>
                <w:szCs w:val="20"/>
                <w:lang w:val="bg-BG"/>
              </w:rPr>
            </w:pPr>
            <w:r>
              <w:rPr>
                <w:rFonts w:ascii="Verdana" w:hAnsi="Verdana"/>
                <w:sz w:val="20"/>
                <w:szCs w:val="20"/>
                <w:lang w:val="bg-BG"/>
              </w:rPr>
              <w:t>Посочено, е че принципът ще бъде отразен чрез:</w:t>
            </w:r>
          </w:p>
          <w:p w:rsidR="004F74DF" w:rsidRPr="004F74DF" w:rsidRDefault="004F74DF" w:rsidP="006861B0">
            <w:pPr>
              <w:pStyle w:val="ListParagraph"/>
              <w:numPr>
                <w:ilvl w:val="0"/>
                <w:numId w:val="65"/>
              </w:numPr>
              <w:spacing w:before="120" w:after="120"/>
              <w:ind w:left="210" w:hanging="210"/>
              <w:jc w:val="both"/>
              <w:rPr>
                <w:rFonts w:ascii="Verdana" w:hAnsi="Verdana"/>
                <w:sz w:val="20"/>
                <w:szCs w:val="20"/>
                <w:lang w:val="bg-BG"/>
              </w:rPr>
            </w:pPr>
            <w:r w:rsidRPr="004F74DF">
              <w:rPr>
                <w:rFonts w:ascii="Verdana" w:hAnsi="Verdana"/>
                <w:sz w:val="20"/>
                <w:szCs w:val="20"/>
                <w:lang w:val="bg-BG"/>
              </w:rPr>
              <w:t>Създаване на условия за равни възможности за участие на мъжете и жените при управлението на проектите</w:t>
            </w:r>
            <w:r>
              <w:rPr>
                <w:rFonts w:ascii="Verdana" w:hAnsi="Verdana"/>
                <w:sz w:val="20"/>
                <w:szCs w:val="20"/>
                <w:lang w:val="bg-BG"/>
              </w:rPr>
              <w:t>;</w:t>
            </w:r>
          </w:p>
          <w:p w:rsidR="004F74DF" w:rsidRPr="004F74DF" w:rsidRDefault="004F74DF" w:rsidP="006861B0">
            <w:pPr>
              <w:pStyle w:val="ListParagraph"/>
              <w:numPr>
                <w:ilvl w:val="0"/>
                <w:numId w:val="65"/>
              </w:numPr>
              <w:spacing w:before="120" w:after="120"/>
              <w:ind w:left="210" w:hanging="210"/>
              <w:jc w:val="both"/>
              <w:rPr>
                <w:rFonts w:ascii="Verdana" w:hAnsi="Verdana"/>
                <w:sz w:val="20"/>
                <w:szCs w:val="20"/>
                <w:lang w:val="bg-BG"/>
              </w:rPr>
            </w:pPr>
            <w:r w:rsidRPr="004F74DF">
              <w:rPr>
                <w:rFonts w:ascii="Verdana" w:hAnsi="Verdana"/>
                <w:sz w:val="20"/>
                <w:szCs w:val="20"/>
                <w:lang w:val="bg-BG"/>
              </w:rPr>
              <w:t>Гарантиране на адекватна представителност в</w:t>
            </w:r>
            <w:r>
              <w:rPr>
                <w:rFonts w:ascii="Verdana" w:hAnsi="Verdana"/>
                <w:sz w:val="20"/>
                <w:szCs w:val="20"/>
                <w:lang w:val="bg-BG"/>
              </w:rPr>
              <w:t xml:space="preserve"> целевата група;</w:t>
            </w:r>
          </w:p>
          <w:p w:rsidR="004F74DF" w:rsidRDefault="004F74DF" w:rsidP="006861B0">
            <w:pPr>
              <w:pStyle w:val="ListParagraph"/>
              <w:numPr>
                <w:ilvl w:val="0"/>
                <w:numId w:val="65"/>
              </w:numPr>
              <w:spacing w:before="120" w:after="120"/>
              <w:ind w:left="210" w:hanging="210"/>
              <w:jc w:val="both"/>
              <w:rPr>
                <w:rFonts w:ascii="Verdana" w:hAnsi="Verdana"/>
                <w:sz w:val="20"/>
                <w:szCs w:val="20"/>
                <w:lang w:val="bg-BG"/>
              </w:rPr>
            </w:pPr>
            <w:r w:rsidRPr="004F74DF">
              <w:rPr>
                <w:rFonts w:ascii="Verdana" w:hAnsi="Verdana"/>
                <w:sz w:val="20"/>
                <w:szCs w:val="20"/>
                <w:lang w:val="bg-BG"/>
              </w:rPr>
              <w:t>Моделиране на учебното съдържание за разместване на акцентите при представяне на традиционните роли на мъжете и жените и с</w:t>
            </w:r>
            <w:r>
              <w:rPr>
                <w:rFonts w:ascii="Verdana" w:hAnsi="Verdana"/>
                <w:sz w:val="20"/>
                <w:szCs w:val="20"/>
                <w:lang w:val="bg-BG"/>
              </w:rPr>
              <w:t>тимулиране промяна на нагласите.</w:t>
            </w:r>
          </w:p>
        </w:tc>
        <w:tc>
          <w:tcPr>
            <w:tcW w:w="2535" w:type="dxa"/>
          </w:tcPr>
          <w:p w:rsidR="004F74DF" w:rsidRDefault="004F74DF" w:rsidP="004F74DF">
            <w:pPr>
              <w:spacing w:before="120" w:after="120"/>
              <w:jc w:val="both"/>
              <w:rPr>
                <w:rFonts w:ascii="Verdana" w:hAnsi="Verdana"/>
                <w:sz w:val="20"/>
                <w:szCs w:val="20"/>
                <w:lang w:val="bg-BG"/>
              </w:rPr>
            </w:pPr>
            <w:r>
              <w:rPr>
                <w:rFonts w:ascii="Verdana" w:hAnsi="Verdana"/>
                <w:sz w:val="20"/>
                <w:szCs w:val="20"/>
                <w:lang w:val="bg-BG"/>
              </w:rPr>
              <w:t xml:space="preserve">Не </w:t>
            </w:r>
            <w:r w:rsidR="001B700A">
              <w:rPr>
                <w:rFonts w:ascii="Verdana" w:hAnsi="Verdana"/>
                <w:sz w:val="20"/>
                <w:szCs w:val="20"/>
                <w:lang w:val="bg-BG"/>
              </w:rPr>
              <w:t>е посочено как прилагането на принципа ще бъде наблюдавано</w:t>
            </w:r>
          </w:p>
          <w:p w:rsidR="003450D6" w:rsidRDefault="003450D6" w:rsidP="00FE5A49">
            <w:pPr>
              <w:spacing w:before="120" w:after="120"/>
              <w:rPr>
                <w:rFonts w:ascii="Verdana" w:hAnsi="Verdana"/>
                <w:sz w:val="20"/>
                <w:szCs w:val="20"/>
                <w:lang w:val="bg-BG"/>
              </w:rPr>
            </w:pPr>
            <w:r>
              <w:rPr>
                <w:rFonts w:ascii="Verdana" w:hAnsi="Verdana"/>
                <w:sz w:val="20"/>
                <w:szCs w:val="20"/>
                <w:lang w:val="bg-BG"/>
              </w:rPr>
              <w:t xml:space="preserve">Съгласно изискванията ЕСФ Регламента, данните за индикаторите за изпълнение трябва да бъдат събирани по пол, което ще осигури възможност за измерване на </w:t>
            </w:r>
            <w:r w:rsidR="00E33E5F">
              <w:rPr>
                <w:rFonts w:ascii="Verdana" w:hAnsi="Verdana"/>
                <w:sz w:val="20"/>
                <w:szCs w:val="20"/>
                <w:lang w:val="bg-BG"/>
              </w:rPr>
              <w:t xml:space="preserve">предоставената </w:t>
            </w:r>
            <w:r>
              <w:rPr>
                <w:rFonts w:ascii="Verdana" w:hAnsi="Verdana"/>
                <w:sz w:val="20"/>
                <w:szCs w:val="20"/>
                <w:lang w:val="bg-BG"/>
              </w:rPr>
              <w:t>подкрепата за мъжете и жените.</w:t>
            </w:r>
          </w:p>
        </w:tc>
      </w:tr>
    </w:tbl>
    <w:p w:rsidR="00416243" w:rsidRPr="00B45B4F" w:rsidRDefault="00416243" w:rsidP="00F13B14">
      <w:pPr>
        <w:pStyle w:val="Heading3"/>
        <w:numPr>
          <w:ilvl w:val="0"/>
          <w:numId w:val="0"/>
        </w:numPr>
        <w:spacing w:before="360"/>
        <w:ind w:left="720" w:hanging="720"/>
      </w:pPr>
      <w:bookmarkStart w:id="119" w:name="_Toc387936180"/>
      <w:bookmarkStart w:id="120" w:name="_Toc387936233"/>
      <w:bookmarkStart w:id="121" w:name="_Toc395612518"/>
      <w:bookmarkEnd w:id="119"/>
      <w:bookmarkEnd w:id="120"/>
      <w:r w:rsidRPr="00B45B4F">
        <w:t>Изводи и препоръки</w:t>
      </w:r>
      <w:bookmarkEnd w:id="121"/>
    </w:p>
    <w:p w:rsidR="00F15CA1" w:rsidRDefault="00F15CA1" w:rsidP="00F15CA1">
      <w:pPr>
        <w:autoSpaceDE w:val="0"/>
        <w:autoSpaceDN w:val="0"/>
        <w:adjustRightInd w:val="0"/>
        <w:spacing w:after="120"/>
        <w:jc w:val="both"/>
        <w:rPr>
          <w:rFonts w:ascii="Verdana" w:hAnsi="Verdana"/>
          <w:sz w:val="20"/>
          <w:szCs w:val="20"/>
          <w:lang w:val="bg-BG"/>
        </w:rPr>
      </w:pPr>
      <w:bookmarkStart w:id="122" w:name="_Toc319498688"/>
      <w:r w:rsidRPr="009E018E">
        <w:rPr>
          <w:rFonts w:ascii="Verdana" w:hAnsi="Verdana"/>
          <w:sz w:val="20"/>
          <w:szCs w:val="20"/>
          <w:lang w:val="bg-BG"/>
        </w:rPr>
        <w:t>В процеса на работа</w:t>
      </w:r>
      <w:r>
        <w:rPr>
          <w:rFonts w:ascii="Verdana" w:hAnsi="Verdana"/>
          <w:sz w:val="20"/>
          <w:szCs w:val="20"/>
          <w:lang w:val="bg-BG"/>
        </w:rPr>
        <w:t xml:space="preserve"> беше подобрена обосновката на избора на инвестиционни приоритети (Таблица 1) и стратегическите цели в областта на науката. Добавена беше информация, която илюстрира нуждите на някои от специфични цели по всички приоритетни оси</w:t>
      </w:r>
      <w:r w:rsidRPr="009E018E">
        <w:rPr>
          <w:rFonts w:ascii="Verdana" w:hAnsi="Verdana"/>
          <w:sz w:val="20"/>
          <w:szCs w:val="20"/>
          <w:lang w:val="bg-BG"/>
        </w:rPr>
        <w:t>.</w:t>
      </w:r>
      <w:r>
        <w:rPr>
          <w:rFonts w:ascii="Verdana" w:hAnsi="Verdana"/>
          <w:sz w:val="20"/>
          <w:szCs w:val="20"/>
          <w:lang w:val="bg-BG"/>
        </w:rPr>
        <w:t xml:space="preserve"> Беше подобрено структурирането на примерните дейности в областта на образованието.</w:t>
      </w:r>
    </w:p>
    <w:p w:rsidR="004837EB" w:rsidRDefault="00F15CA1" w:rsidP="004837EB">
      <w:pPr>
        <w:autoSpaceDE w:val="0"/>
        <w:autoSpaceDN w:val="0"/>
        <w:adjustRightInd w:val="0"/>
        <w:spacing w:after="120"/>
        <w:jc w:val="both"/>
        <w:rPr>
          <w:rFonts w:ascii="Verdana" w:hAnsi="Verdana"/>
          <w:sz w:val="20"/>
          <w:szCs w:val="20"/>
          <w:lang w:val="bg-BG"/>
        </w:rPr>
      </w:pPr>
      <w:r>
        <w:rPr>
          <w:rFonts w:ascii="Verdana" w:hAnsi="Verdana"/>
          <w:sz w:val="20"/>
          <w:szCs w:val="20"/>
          <w:lang w:val="bg-BG"/>
        </w:rPr>
        <w:t xml:space="preserve">Все още е необходимо </w:t>
      </w:r>
      <w:r w:rsidR="002D5EDF">
        <w:rPr>
          <w:rFonts w:ascii="Verdana" w:hAnsi="Verdana"/>
          <w:sz w:val="20"/>
          <w:szCs w:val="20"/>
          <w:lang w:val="bg-BG"/>
        </w:rPr>
        <w:t xml:space="preserve">по-пълно представяне на проблемите </w:t>
      </w:r>
      <w:r w:rsidR="004B5557">
        <w:rPr>
          <w:rFonts w:ascii="Verdana" w:hAnsi="Verdana"/>
          <w:sz w:val="20"/>
          <w:szCs w:val="20"/>
          <w:lang w:val="bg-BG"/>
        </w:rPr>
        <w:t>по някои от специфичните цели, прецизиране и обобщаване на дейности, анализиране на възможностите за използване на финансови инструменти и прецизиране на методите за наблюдение на прилагане</w:t>
      </w:r>
      <w:r w:rsidR="00F13B14">
        <w:rPr>
          <w:rFonts w:ascii="Verdana" w:hAnsi="Verdana"/>
          <w:sz w:val="20"/>
          <w:szCs w:val="20"/>
          <w:lang w:val="bg-BG"/>
        </w:rPr>
        <w:t>то</w:t>
      </w:r>
      <w:r w:rsidR="004B5557">
        <w:rPr>
          <w:rFonts w:ascii="Verdana" w:hAnsi="Verdana"/>
          <w:sz w:val="20"/>
          <w:szCs w:val="20"/>
          <w:lang w:val="bg-BG"/>
        </w:rPr>
        <w:t xml:space="preserve"> на хоризонталните принципи.</w:t>
      </w:r>
    </w:p>
    <w:p w:rsidR="00A62214" w:rsidRPr="00A62214" w:rsidRDefault="00A62214" w:rsidP="00A62214">
      <w:pPr>
        <w:pStyle w:val="Heading2"/>
        <w:shd w:val="clear" w:color="auto" w:fill="FFCC99"/>
        <w:spacing w:line="276" w:lineRule="auto"/>
        <w:rPr>
          <w:rFonts w:ascii="Verdana" w:hAnsi="Verdana"/>
          <w:i w:val="0"/>
          <w:iCs/>
          <w:color w:val="0063B8"/>
          <w:sz w:val="26"/>
          <w:szCs w:val="26"/>
          <w:lang w:val="bg-BG"/>
        </w:rPr>
      </w:pPr>
      <w:bookmarkStart w:id="123" w:name="_Toc395612519"/>
      <w:r>
        <w:rPr>
          <w:rFonts w:ascii="Verdana" w:hAnsi="Verdana"/>
          <w:i w:val="0"/>
          <w:iCs/>
          <w:color w:val="0063B8"/>
          <w:sz w:val="26"/>
          <w:szCs w:val="26"/>
          <w:lang w:val="bg-BG"/>
        </w:rPr>
        <w:t>Оценка на системата от индикатори</w:t>
      </w:r>
      <w:bookmarkEnd w:id="123"/>
    </w:p>
    <w:p w:rsidR="00416243" w:rsidRPr="00032004" w:rsidRDefault="00416243" w:rsidP="00032004">
      <w:pPr>
        <w:keepNext/>
        <w:widowControl w:val="0"/>
        <w:tabs>
          <w:tab w:val="left" w:pos="1276"/>
        </w:tabs>
        <w:overflowPunct w:val="0"/>
        <w:autoSpaceDE w:val="0"/>
        <w:autoSpaceDN w:val="0"/>
        <w:adjustRightInd w:val="0"/>
        <w:spacing w:before="360" w:after="240"/>
        <w:jc w:val="both"/>
        <w:textAlignment w:val="baseline"/>
        <w:outlineLvl w:val="2"/>
        <w:rPr>
          <w:rFonts w:ascii="Verdana" w:eastAsia="Times New Roman" w:hAnsi="Verdana" w:cs="Calibri"/>
          <w:b/>
          <w:color w:val="365F91"/>
          <w:lang w:val="bg-BG" w:eastAsia="cs-CZ"/>
        </w:rPr>
      </w:pPr>
      <w:bookmarkStart w:id="124" w:name="_Toc362617578"/>
      <w:bookmarkStart w:id="125" w:name="_Toc319498695"/>
      <w:bookmarkStart w:id="126" w:name="_Toc395612520"/>
      <w:bookmarkEnd w:id="122"/>
      <w:r w:rsidRPr="00032004">
        <w:rPr>
          <w:rFonts w:ascii="Verdana" w:eastAsia="Times New Roman" w:hAnsi="Verdana" w:cs="Calibri"/>
          <w:b/>
          <w:color w:val="365F91"/>
          <w:lang w:val="bg-BG" w:eastAsia="cs-CZ"/>
        </w:rPr>
        <w:t>Анализ</w:t>
      </w:r>
      <w:bookmarkEnd w:id="124"/>
      <w:bookmarkEnd w:id="125"/>
      <w:bookmarkEnd w:id="126"/>
    </w:p>
    <w:tbl>
      <w:tblPr>
        <w:tblW w:w="0" w:type="auto"/>
        <w:tblInd w:w="108" w:type="dxa"/>
        <w:tblBorders>
          <w:top w:val="single" w:sz="4" w:space="0" w:color="auto"/>
          <w:bottom w:val="single" w:sz="4" w:space="0" w:color="auto"/>
        </w:tblBorders>
        <w:tblLook w:val="04A0" w:firstRow="1" w:lastRow="0" w:firstColumn="1" w:lastColumn="0" w:noHBand="0" w:noVBand="1"/>
      </w:tblPr>
      <w:tblGrid>
        <w:gridCol w:w="567"/>
        <w:gridCol w:w="8366"/>
      </w:tblGrid>
      <w:tr w:rsidR="00F6002F" w:rsidRPr="00D84F40" w:rsidTr="0054272A">
        <w:tc>
          <w:tcPr>
            <w:tcW w:w="567" w:type="dxa"/>
            <w:vAlign w:val="center"/>
          </w:tcPr>
          <w:p w:rsidR="00F6002F" w:rsidRPr="00D84F40" w:rsidRDefault="00F6002F" w:rsidP="0048685C">
            <w:pPr>
              <w:spacing w:after="0"/>
              <w:jc w:val="center"/>
              <w:rPr>
                <w:rFonts w:ascii="Verdana" w:eastAsia="Times New Roman" w:hAnsi="Verdana"/>
                <w:color w:val="548DD4"/>
                <w:sz w:val="36"/>
                <w:szCs w:val="36"/>
                <w:lang w:val="bg-BG" w:eastAsia="bg-BG"/>
              </w:rPr>
            </w:pPr>
            <w:r w:rsidRPr="00D84F40">
              <w:rPr>
                <w:rFonts w:ascii="Verdana" w:eastAsia="Times New Roman" w:hAnsi="Verdana"/>
                <w:color w:val="548DD4"/>
                <w:sz w:val="36"/>
                <w:szCs w:val="36"/>
                <w:lang w:val="bg-BG" w:eastAsia="bg-BG"/>
              </w:rPr>
              <w:t>?</w:t>
            </w:r>
          </w:p>
        </w:tc>
        <w:tc>
          <w:tcPr>
            <w:tcW w:w="8366" w:type="dxa"/>
            <w:shd w:val="clear" w:color="auto" w:fill="B8CCE4"/>
          </w:tcPr>
          <w:p w:rsidR="00F6002F" w:rsidRPr="00D84F40" w:rsidRDefault="00F6002F" w:rsidP="0048685C">
            <w:pPr>
              <w:autoSpaceDE w:val="0"/>
              <w:autoSpaceDN w:val="0"/>
              <w:adjustRightInd w:val="0"/>
              <w:spacing w:before="120" w:after="120"/>
              <w:ind w:left="113"/>
              <w:rPr>
                <w:rFonts w:ascii="Verdana" w:eastAsia="Times New Roman" w:hAnsi="Verdana"/>
                <w:sz w:val="20"/>
                <w:szCs w:val="20"/>
                <w:lang w:val="bg-BG"/>
              </w:rPr>
            </w:pPr>
            <w:r w:rsidRPr="00D84F40">
              <w:rPr>
                <w:rFonts w:ascii="Verdana" w:hAnsi="Verdana"/>
                <w:sz w:val="20"/>
                <w:szCs w:val="20"/>
                <w:lang w:val="bg-BG"/>
              </w:rPr>
              <w:t>Оценка на уместността и яснотата на системата от индикатори</w:t>
            </w:r>
          </w:p>
        </w:tc>
      </w:tr>
    </w:tbl>
    <w:p w:rsidR="00F6002F" w:rsidRPr="00B45B4F" w:rsidRDefault="00F6002F" w:rsidP="0048685C">
      <w:pPr>
        <w:widowControl w:val="0"/>
        <w:tabs>
          <w:tab w:val="left" w:pos="0"/>
          <w:tab w:val="right" w:pos="9214"/>
        </w:tabs>
        <w:spacing w:after="120"/>
        <w:rPr>
          <w:rFonts w:ascii="Verdana" w:eastAsia="Times New Roman" w:hAnsi="Verdana"/>
          <w:bCs/>
          <w:color w:val="000000"/>
          <w:sz w:val="20"/>
          <w:szCs w:val="20"/>
          <w:lang w:val="bg-BG" w:eastAsia="bg-BG"/>
        </w:rPr>
      </w:pPr>
    </w:p>
    <w:p w:rsidR="00111C3E" w:rsidRDefault="00111C3E" w:rsidP="0045263B">
      <w:pPr>
        <w:widowControl w:val="0"/>
        <w:tabs>
          <w:tab w:val="left" w:pos="0"/>
          <w:tab w:val="right" w:pos="9214"/>
        </w:tabs>
        <w:spacing w:after="120"/>
        <w:jc w:val="both"/>
        <w:rPr>
          <w:rFonts w:ascii="Verdana" w:hAnsi="Verdana"/>
          <w:bCs/>
          <w:color w:val="000000"/>
          <w:sz w:val="20"/>
          <w:szCs w:val="20"/>
          <w:lang w:val="bg-BG" w:eastAsia="bg-BG"/>
        </w:rPr>
      </w:pPr>
      <w:r>
        <w:rPr>
          <w:rFonts w:ascii="Verdana" w:hAnsi="Verdana"/>
          <w:bCs/>
          <w:color w:val="000000"/>
          <w:sz w:val="20"/>
          <w:szCs w:val="20"/>
          <w:lang w:val="bg-BG" w:eastAsia="bg-BG"/>
        </w:rPr>
        <w:t>Оценката на уместността и яснотата на системата от индикатори е</w:t>
      </w:r>
      <w:r w:rsidR="00DB7ABD">
        <w:rPr>
          <w:rFonts w:ascii="Verdana" w:hAnsi="Verdana"/>
          <w:bCs/>
          <w:color w:val="000000"/>
          <w:sz w:val="20"/>
          <w:szCs w:val="20"/>
          <w:lang w:val="bg-BG" w:eastAsia="bg-BG"/>
        </w:rPr>
        <w:t xml:space="preserve"> посочена изрично като отговорност на предварителната оценка в чл.55</w:t>
      </w:r>
      <w:r w:rsidR="00DB7ABD" w:rsidRPr="00DB7ABD">
        <w:rPr>
          <w:rFonts w:ascii="Verdana" w:hAnsi="Verdana"/>
          <w:bCs/>
          <w:color w:val="000000"/>
          <w:sz w:val="20"/>
          <w:szCs w:val="20"/>
          <w:lang w:val="bg-BG" w:eastAsia="bg-BG"/>
        </w:rPr>
        <w:t>(3)(</w:t>
      </w:r>
      <w:r w:rsidR="00DB7ABD">
        <w:rPr>
          <w:rFonts w:ascii="Verdana" w:hAnsi="Verdana"/>
          <w:bCs/>
          <w:color w:val="000000"/>
          <w:sz w:val="20"/>
          <w:szCs w:val="20"/>
          <w:lang w:val="bg-BG" w:eastAsia="bg-BG"/>
        </w:rPr>
        <w:t>д</w:t>
      </w:r>
      <w:r w:rsidR="00DB7ABD" w:rsidRPr="00DB7ABD">
        <w:rPr>
          <w:rFonts w:ascii="Verdana" w:hAnsi="Verdana"/>
          <w:bCs/>
          <w:color w:val="000000"/>
          <w:sz w:val="20"/>
          <w:szCs w:val="20"/>
          <w:lang w:val="bg-BG" w:eastAsia="bg-BG"/>
        </w:rPr>
        <w:t xml:space="preserve">) </w:t>
      </w:r>
      <w:r w:rsidR="00DB7ABD">
        <w:rPr>
          <w:rFonts w:ascii="Verdana" w:hAnsi="Verdana"/>
          <w:bCs/>
          <w:color w:val="000000"/>
          <w:sz w:val="20"/>
          <w:szCs w:val="20"/>
          <w:lang w:val="bg-BG" w:eastAsia="bg-BG"/>
        </w:rPr>
        <w:t>на Общия регламент(1303/2013)</w:t>
      </w:r>
      <w:r w:rsidR="003C4D02">
        <w:rPr>
          <w:rFonts w:ascii="Verdana" w:hAnsi="Verdana"/>
          <w:bCs/>
          <w:color w:val="000000"/>
          <w:sz w:val="20"/>
          <w:szCs w:val="20"/>
          <w:lang w:val="bg-BG" w:eastAsia="bg-BG"/>
        </w:rPr>
        <w:t xml:space="preserve">. </w:t>
      </w:r>
    </w:p>
    <w:p w:rsidR="0045263B" w:rsidRPr="00B45B4F" w:rsidRDefault="0045263B" w:rsidP="0045263B">
      <w:pPr>
        <w:widowControl w:val="0"/>
        <w:tabs>
          <w:tab w:val="left" w:pos="0"/>
          <w:tab w:val="right" w:pos="9214"/>
        </w:tabs>
        <w:spacing w:after="120"/>
        <w:jc w:val="both"/>
        <w:rPr>
          <w:rFonts w:ascii="Verdana" w:hAnsi="Verdana"/>
          <w:bCs/>
          <w:color w:val="000000"/>
          <w:sz w:val="20"/>
          <w:szCs w:val="20"/>
          <w:lang w:val="bg-BG" w:eastAsia="bg-BG"/>
        </w:rPr>
      </w:pPr>
      <w:r w:rsidRPr="00B45B4F">
        <w:rPr>
          <w:rFonts w:ascii="Verdana" w:hAnsi="Verdana"/>
          <w:bCs/>
          <w:color w:val="000000"/>
          <w:sz w:val="20"/>
          <w:szCs w:val="20"/>
          <w:lang w:val="bg-BG" w:eastAsia="bg-BG"/>
        </w:rPr>
        <w:t xml:space="preserve">В проекта на </w:t>
      </w:r>
      <w:r w:rsidR="00D84F40">
        <w:rPr>
          <w:rFonts w:ascii="Verdana" w:hAnsi="Verdana"/>
          <w:bCs/>
          <w:color w:val="000000"/>
          <w:sz w:val="20"/>
          <w:szCs w:val="20"/>
          <w:lang w:val="bg-BG" w:eastAsia="bg-BG"/>
        </w:rPr>
        <w:t>„</w:t>
      </w:r>
      <w:r w:rsidRPr="00B45B4F">
        <w:rPr>
          <w:rFonts w:ascii="Verdana" w:hAnsi="Verdana"/>
          <w:bCs/>
          <w:color w:val="000000"/>
          <w:sz w:val="20"/>
          <w:szCs w:val="20"/>
          <w:lang w:val="bg-BG" w:eastAsia="bg-BG"/>
        </w:rPr>
        <w:t>Технически документ по отношение на възможните индикатори, които са специфични за програмите</w:t>
      </w:r>
      <w:r w:rsidR="00D84F40">
        <w:rPr>
          <w:rFonts w:ascii="Verdana" w:hAnsi="Verdana"/>
          <w:bCs/>
          <w:color w:val="000000"/>
          <w:sz w:val="20"/>
          <w:szCs w:val="20"/>
          <w:lang w:val="bg-BG" w:eastAsia="bg-BG"/>
        </w:rPr>
        <w:t>“</w:t>
      </w:r>
      <w:r w:rsidRPr="00B45B4F">
        <w:rPr>
          <w:rFonts w:ascii="Verdana" w:hAnsi="Verdana"/>
          <w:bCs/>
          <w:color w:val="000000"/>
          <w:sz w:val="20"/>
          <w:szCs w:val="20"/>
          <w:lang w:val="bg-BG" w:eastAsia="bg-BG"/>
        </w:rPr>
        <w:t>, Генерална Дирекция „Заетост, социални въпроси и включване”, е посочено следното:</w:t>
      </w:r>
    </w:p>
    <w:p w:rsidR="0045263B" w:rsidRPr="00B45B4F" w:rsidRDefault="0045263B" w:rsidP="0045263B">
      <w:pPr>
        <w:widowControl w:val="0"/>
        <w:tabs>
          <w:tab w:val="left" w:pos="0"/>
          <w:tab w:val="right" w:pos="9214"/>
        </w:tabs>
        <w:spacing w:after="120"/>
        <w:ind w:left="708"/>
        <w:jc w:val="both"/>
        <w:rPr>
          <w:rFonts w:ascii="Verdana" w:hAnsi="Verdana"/>
          <w:bCs/>
          <w:color w:val="000000"/>
          <w:sz w:val="20"/>
          <w:szCs w:val="20"/>
          <w:lang w:val="bg-BG" w:eastAsia="bg-BG"/>
        </w:rPr>
      </w:pPr>
      <w:r w:rsidRPr="00B45B4F">
        <w:rPr>
          <w:rFonts w:ascii="Verdana" w:hAnsi="Verdana"/>
          <w:bCs/>
          <w:color w:val="000000"/>
          <w:sz w:val="20"/>
          <w:szCs w:val="20"/>
          <w:lang w:val="bg-BG" w:eastAsia="bg-BG"/>
        </w:rPr>
        <w:lastRenderedPageBreak/>
        <w:t>„</w:t>
      </w:r>
      <w:r w:rsidRPr="00B45B4F">
        <w:rPr>
          <w:rFonts w:ascii="Verdana" w:hAnsi="Verdana"/>
          <w:bCs/>
          <w:i/>
          <w:color w:val="000000"/>
          <w:sz w:val="20"/>
          <w:szCs w:val="20"/>
          <w:lang w:val="bg-BG" w:eastAsia="bg-BG"/>
        </w:rPr>
        <w:t xml:space="preserve">Обосновката за дефиниране на общи индикатори е да позволи събирането и обобщаването на данни от страните-членки, за да могат да бъдат докладвани постиженията на ниво ЕС. Броят на общите индикатори е ограничен до минимума на най-важната информация, необходима за докладване на основния обхват на подкрепата от ЕСФ в контекста на Стратегия Европа 2020. </w:t>
      </w:r>
      <w:r w:rsidRPr="00B45B4F">
        <w:rPr>
          <w:rFonts w:ascii="Verdana" w:hAnsi="Verdana"/>
          <w:b/>
          <w:bCs/>
          <w:i/>
          <w:color w:val="000000"/>
          <w:sz w:val="20"/>
          <w:szCs w:val="20"/>
          <w:lang w:val="bg-BG" w:eastAsia="bg-BG"/>
        </w:rPr>
        <w:t>В тази връзка, общите индикатори представляват минималният набор от индикатори за всяка ОП. Те могат да бъдат допълнени от специфични за програмите индикатори</w:t>
      </w:r>
      <w:r w:rsidRPr="00B45B4F">
        <w:rPr>
          <w:rFonts w:ascii="Verdana" w:hAnsi="Verdana"/>
          <w:bCs/>
          <w:i/>
          <w:color w:val="000000"/>
          <w:sz w:val="20"/>
          <w:szCs w:val="20"/>
          <w:lang w:val="bg-BG" w:eastAsia="bg-BG"/>
        </w:rPr>
        <w:t>, които да са финансови, за продукт или резултат</w:t>
      </w:r>
      <w:r w:rsidRPr="00B45B4F">
        <w:rPr>
          <w:rFonts w:ascii="Verdana" w:hAnsi="Verdana"/>
          <w:bCs/>
          <w:color w:val="000000"/>
          <w:sz w:val="20"/>
          <w:szCs w:val="20"/>
          <w:lang w:val="bg-BG" w:eastAsia="bg-BG"/>
        </w:rPr>
        <w:t>.”</w:t>
      </w:r>
    </w:p>
    <w:p w:rsidR="003E57EE" w:rsidRDefault="007C50FA" w:rsidP="0045263B">
      <w:pPr>
        <w:spacing w:before="120" w:after="120"/>
        <w:jc w:val="both"/>
        <w:rPr>
          <w:rFonts w:ascii="Verdana" w:eastAsia="Times New Roman" w:hAnsi="Verdana"/>
          <w:sz w:val="20"/>
          <w:szCs w:val="20"/>
          <w:lang w:val="bg-BG"/>
        </w:rPr>
      </w:pPr>
      <w:r w:rsidRPr="007C50FA">
        <w:rPr>
          <w:rFonts w:ascii="Verdana" w:eastAsia="Times New Roman" w:hAnsi="Verdana"/>
          <w:sz w:val="20"/>
          <w:szCs w:val="20"/>
          <w:lang w:val="bg-BG"/>
        </w:rPr>
        <w:t>В проекта на Насоки на ГД „Заетост, социални въпроси и приобщаване“ по мониторинг и оценка за периода 2014-2020</w:t>
      </w:r>
      <w:r w:rsidR="00B27F0B">
        <w:rPr>
          <w:rFonts w:ascii="Verdana" w:eastAsia="Times New Roman" w:hAnsi="Verdana"/>
          <w:sz w:val="20"/>
          <w:szCs w:val="20"/>
          <w:lang w:val="bg-BG"/>
        </w:rPr>
        <w:t xml:space="preserve"> също е посочена съществената роля на общите индикатори на ЕСФ – всички ОП, подкрепени от ЕСФ (без значение дали са финансирани от един фонд или няколко) следва да отчитат общите индикатори.</w:t>
      </w:r>
      <w:r w:rsidR="004837EB">
        <w:rPr>
          <w:rFonts w:ascii="Verdana" w:eastAsia="Times New Roman" w:hAnsi="Verdana"/>
          <w:sz w:val="20"/>
          <w:szCs w:val="20"/>
          <w:lang w:val="bg-BG"/>
        </w:rPr>
        <w:t xml:space="preserve"> </w:t>
      </w:r>
    </w:p>
    <w:p w:rsidR="003E57EE" w:rsidRDefault="003E57EE" w:rsidP="003E57EE">
      <w:pPr>
        <w:widowControl w:val="0"/>
        <w:tabs>
          <w:tab w:val="left" w:pos="0"/>
          <w:tab w:val="right" w:pos="9214"/>
        </w:tabs>
        <w:spacing w:after="120"/>
        <w:jc w:val="both"/>
        <w:rPr>
          <w:rFonts w:ascii="Verdana" w:hAnsi="Verdana"/>
          <w:bCs/>
          <w:color w:val="000000"/>
          <w:sz w:val="20"/>
          <w:szCs w:val="20"/>
          <w:lang w:val="bg-BG" w:eastAsia="bg-BG"/>
        </w:rPr>
      </w:pPr>
      <w:r>
        <w:rPr>
          <w:rFonts w:ascii="Verdana" w:hAnsi="Verdana"/>
          <w:bCs/>
          <w:color w:val="000000"/>
          <w:sz w:val="20"/>
          <w:szCs w:val="20"/>
          <w:lang w:val="bg-BG" w:eastAsia="bg-BG"/>
        </w:rPr>
        <w:t xml:space="preserve">През м. август 2014 ГД СФМОП предостави таблица с нова система от индикатори, включително с целеви и базови стойности, която все още не е инкорпорирана в текста на оперативната програма. </w:t>
      </w:r>
    </w:p>
    <w:p w:rsidR="003E57EE" w:rsidRDefault="003E57EE" w:rsidP="00B122A1">
      <w:pPr>
        <w:widowControl w:val="0"/>
        <w:tabs>
          <w:tab w:val="left" w:pos="0"/>
          <w:tab w:val="right" w:pos="9214"/>
        </w:tabs>
        <w:spacing w:after="120"/>
        <w:jc w:val="both"/>
        <w:rPr>
          <w:rFonts w:ascii="Verdana" w:eastAsia="Times New Roman" w:hAnsi="Verdana"/>
          <w:sz w:val="20"/>
          <w:szCs w:val="20"/>
          <w:lang w:val="bg-BG"/>
        </w:rPr>
      </w:pPr>
      <w:r>
        <w:rPr>
          <w:rFonts w:ascii="Verdana" w:hAnsi="Verdana"/>
          <w:bCs/>
          <w:color w:val="000000"/>
          <w:sz w:val="20"/>
          <w:szCs w:val="20"/>
          <w:lang w:val="bg-BG" w:eastAsia="bg-BG"/>
        </w:rPr>
        <w:t xml:space="preserve">Предложени са индикатори за резултат и за изпълнение, които са дефинирани по инвестиционни приоритети, но не и по специфични цели. </w:t>
      </w:r>
      <w:r w:rsidR="00270CD6">
        <w:rPr>
          <w:rFonts w:ascii="Verdana" w:hAnsi="Verdana"/>
          <w:bCs/>
          <w:color w:val="000000"/>
          <w:sz w:val="20"/>
          <w:szCs w:val="20"/>
          <w:lang w:val="bg-BG" w:eastAsia="bg-BG"/>
        </w:rPr>
        <w:t>Направените по-долу коментари отразяват новите промени в системата от индикатори, но п</w:t>
      </w:r>
      <w:r>
        <w:rPr>
          <w:rFonts w:ascii="Verdana" w:hAnsi="Verdana"/>
          <w:bCs/>
          <w:color w:val="000000"/>
          <w:sz w:val="20"/>
          <w:szCs w:val="20"/>
          <w:lang w:val="bg-BG" w:eastAsia="bg-BG"/>
        </w:rPr>
        <w:t xml:space="preserve">редвид на това, че </w:t>
      </w:r>
      <w:r w:rsidR="00270CD6">
        <w:rPr>
          <w:rFonts w:ascii="Verdana" w:hAnsi="Verdana"/>
          <w:bCs/>
          <w:color w:val="000000"/>
          <w:sz w:val="20"/>
          <w:szCs w:val="20"/>
          <w:lang w:val="bg-BG" w:eastAsia="bg-BG"/>
        </w:rPr>
        <w:t xml:space="preserve">последните не е отразени в текста на програмата, е запазена и таблицата с анализа на предходната версия на системата от индикатори с цел </w:t>
      </w:r>
      <w:proofErr w:type="spellStart"/>
      <w:r w:rsidR="00270CD6">
        <w:rPr>
          <w:rFonts w:ascii="Verdana" w:hAnsi="Verdana"/>
          <w:bCs/>
          <w:color w:val="000000"/>
          <w:sz w:val="20"/>
          <w:szCs w:val="20"/>
          <w:lang w:val="bg-BG" w:eastAsia="bg-BG"/>
        </w:rPr>
        <w:t>консистентност</w:t>
      </w:r>
      <w:proofErr w:type="spellEnd"/>
      <w:r w:rsidR="00270CD6">
        <w:rPr>
          <w:rFonts w:ascii="Verdana" w:hAnsi="Verdana"/>
          <w:bCs/>
          <w:color w:val="000000"/>
          <w:sz w:val="20"/>
          <w:szCs w:val="20"/>
          <w:lang w:val="bg-BG" w:eastAsia="bg-BG"/>
        </w:rPr>
        <w:t xml:space="preserve"> с текстовете и коментарите, направени по отношение на вътрешната съгласуваност и логиката на интервенция.</w:t>
      </w:r>
    </w:p>
    <w:p w:rsidR="007C50FA" w:rsidRDefault="00D0287C" w:rsidP="0045263B">
      <w:pPr>
        <w:spacing w:before="120" w:after="120"/>
        <w:jc w:val="both"/>
        <w:rPr>
          <w:rFonts w:ascii="Verdana" w:eastAsia="Times New Roman" w:hAnsi="Verdana"/>
          <w:sz w:val="20"/>
          <w:szCs w:val="20"/>
          <w:highlight w:val="yellow"/>
          <w:lang w:val="bg-BG"/>
        </w:rPr>
      </w:pPr>
      <w:r>
        <w:rPr>
          <w:rFonts w:ascii="Verdana" w:eastAsia="Times New Roman" w:hAnsi="Verdana"/>
          <w:sz w:val="20"/>
          <w:szCs w:val="20"/>
          <w:lang w:val="bg-BG"/>
        </w:rPr>
        <w:t>Прегледът на системата от индикатори на ОПНОИР показва, че в л</w:t>
      </w:r>
      <w:r w:rsidR="00FB5EAC">
        <w:rPr>
          <w:rFonts w:ascii="Verdana" w:eastAsia="Times New Roman" w:hAnsi="Verdana"/>
          <w:sz w:val="20"/>
          <w:szCs w:val="20"/>
          <w:lang w:val="bg-BG"/>
        </w:rPr>
        <w:t xml:space="preserve">огическата рамка на </w:t>
      </w:r>
      <w:r>
        <w:rPr>
          <w:rFonts w:ascii="Verdana" w:eastAsia="Times New Roman" w:hAnsi="Verdana"/>
          <w:sz w:val="20"/>
          <w:szCs w:val="20"/>
          <w:lang w:val="bg-BG"/>
        </w:rPr>
        <w:t>програмата към настоящия момент</w:t>
      </w:r>
      <w:r w:rsidR="00270CD6">
        <w:rPr>
          <w:rFonts w:ascii="Verdana" w:eastAsia="Times New Roman" w:hAnsi="Verdana"/>
          <w:sz w:val="20"/>
          <w:szCs w:val="20"/>
          <w:lang w:val="bg-BG"/>
        </w:rPr>
        <w:t>, както и в предходния вариант,</w:t>
      </w:r>
      <w:r w:rsidR="00FB5EAC">
        <w:rPr>
          <w:rFonts w:ascii="Verdana" w:eastAsia="Times New Roman" w:hAnsi="Verdana"/>
          <w:sz w:val="20"/>
          <w:szCs w:val="20"/>
          <w:lang w:val="bg-BG"/>
        </w:rPr>
        <w:t xml:space="preserve"> не са използвани общите индикатори на ЕСФ</w:t>
      </w:r>
      <w:r w:rsidR="003E57EE">
        <w:rPr>
          <w:rFonts w:ascii="Verdana" w:eastAsia="Times New Roman" w:hAnsi="Verdana"/>
          <w:sz w:val="20"/>
          <w:szCs w:val="20"/>
          <w:lang w:val="bg-BG"/>
        </w:rPr>
        <w:t>, поради спецификата на програмата, но е следвана логиката на отчитане на подкрепа, предоставяна за определени лица</w:t>
      </w:r>
      <w:r w:rsidR="00FB5EAC">
        <w:rPr>
          <w:rFonts w:ascii="Verdana" w:eastAsia="Times New Roman" w:hAnsi="Verdana"/>
          <w:sz w:val="20"/>
          <w:szCs w:val="20"/>
          <w:lang w:val="bg-BG"/>
        </w:rPr>
        <w:t>.</w:t>
      </w:r>
    </w:p>
    <w:p w:rsidR="0045263B" w:rsidRDefault="0045263B" w:rsidP="0045263B">
      <w:pPr>
        <w:widowControl w:val="0"/>
        <w:tabs>
          <w:tab w:val="left" w:pos="0"/>
          <w:tab w:val="right" w:pos="9214"/>
        </w:tabs>
        <w:spacing w:after="120"/>
        <w:jc w:val="both"/>
        <w:rPr>
          <w:rFonts w:ascii="Verdana" w:hAnsi="Verdana"/>
          <w:bCs/>
          <w:color w:val="000000"/>
          <w:sz w:val="20"/>
          <w:szCs w:val="20"/>
          <w:lang w:val="bg-BG" w:eastAsia="bg-BG"/>
        </w:rPr>
      </w:pPr>
      <w:r w:rsidRPr="00B45B4F">
        <w:rPr>
          <w:rFonts w:ascii="Verdana" w:hAnsi="Verdana"/>
          <w:bCs/>
          <w:color w:val="000000"/>
          <w:sz w:val="20"/>
          <w:szCs w:val="20"/>
          <w:lang w:val="bg-BG" w:eastAsia="bg-BG"/>
        </w:rPr>
        <w:t xml:space="preserve">Съгласно </w:t>
      </w:r>
      <w:r w:rsidR="003C4D02">
        <w:rPr>
          <w:rFonts w:ascii="Verdana" w:hAnsi="Verdana"/>
          <w:bCs/>
          <w:color w:val="000000"/>
          <w:sz w:val="20"/>
          <w:szCs w:val="20"/>
          <w:lang w:val="bg-BG" w:eastAsia="bg-BG"/>
        </w:rPr>
        <w:t>Насоките за предварителна оценка</w:t>
      </w:r>
      <w:r w:rsidR="001962B4">
        <w:rPr>
          <w:rStyle w:val="FootnoteReference"/>
          <w:rFonts w:ascii="Verdana" w:hAnsi="Verdana"/>
          <w:bCs/>
          <w:color w:val="000000"/>
          <w:sz w:val="20"/>
          <w:szCs w:val="20"/>
          <w:lang w:val="bg-BG" w:eastAsia="bg-BG"/>
        </w:rPr>
        <w:footnoteReference w:id="6"/>
      </w:r>
      <w:r w:rsidR="003C4D02">
        <w:rPr>
          <w:rFonts w:ascii="Verdana" w:hAnsi="Verdana"/>
          <w:bCs/>
          <w:color w:val="000000"/>
          <w:sz w:val="20"/>
          <w:szCs w:val="20"/>
          <w:lang w:val="bg-BG" w:eastAsia="bg-BG"/>
        </w:rPr>
        <w:t>,</w:t>
      </w:r>
      <w:r w:rsidRPr="00D84F40">
        <w:rPr>
          <w:rFonts w:ascii="Verdana" w:hAnsi="Verdana"/>
          <w:bCs/>
          <w:color w:val="548DD4" w:themeColor="text2" w:themeTint="99"/>
          <w:sz w:val="20"/>
          <w:szCs w:val="20"/>
          <w:lang w:val="bg-BG" w:eastAsia="bg-BG"/>
        </w:rPr>
        <w:t xml:space="preserve">индикаторите за резултат </w:t>
      </w:r>
      <w:r w:rsidRPr="00B45B4F">
        <w:rPr>
          <w:rFonts w:ascii="Verdana" w:hAnsi="Verdana"/>
          <w:bCs/>
          <w:color w:val="000000"/>
          <w:sz w:val="20"/>
          <w:szCs w:val="20"/>
          <w:lang w:val="bg-BG" w:eastAsia="bg-BG"/>
        </w:rPr>
        <w:t xml:space="preserve">се отнасят до търсените промени по отношение на специфичната цел, която страните-членки се стремят да постигнат с подкрепата на фондовете на ЕС. Съответно цел на „индикаторите за резултат” е да подпомогнат установяването на това дали има напредък по отношение на постигането на специфичните цели. В зависимост от индикатора, външни фактори извън подкрепата от ЕС могат да повлияят върху резултата и установяването на постигането на специфичната цел. </w:t>
      </w:r>
      <w:r w:rsidR="003C4D02">
        <w:rPr>
          <w:rFonts w:ascii="Verdana" w:hAnsi="Verdana"/>
          <w:bCs/>
          <w:color w:val="000000"/>
          <w:sz w:val="20"/>
          <w:szCs w:val="20"/>
          <w:lang w:val="bg-BG" w:eastAsia="bg-BG"/>
        </w:rPr>
        <w:t>Всяка приоритетна ос трябва да включва най-малко един индикатор за резултат.</w:t>
      </w:r>
    </w:p>
    <w:p w:rsidR="002E44FC" w:rsidRDefault="002E44FC" w:rsidP="002E44FC">
      <w:pPr>
        <w:widowControl w:val="0"/>
        <w:tabs>
          <w:tab w:val="left" w:pos="0"/>
          <w:tab w:val="right" w:pos="9214"/>
        </w:tabs>
        <w:spacing w:after="120"/>
        <w:jc w:val="both"/>
        <w:rPr>
          <w:rFonts w:ascii="Verdana" w:hAnsi="Verdana"/>
          <w:bCs/>
          <w:color w:val="000000"/>
          <w:sz w:val="20"/>
          <w:szCs w:val="20"/>
          <w:lang w:val="bg-BG" w:eastAsia="bg-BG"/>
        </w:rPr>
      </w:pPr>
      <w:r>
        <w:rPr>
          <w:rFonts w:ascii="Verdana" w:hAnsi="Verdana"/>
          <w:bCs/>
          <w:color w:val="000000"/>
          <w:sz w:val="20"/>
          <w:szCs w:val="20"/>
          <w:lang w:val="bg-BG" w:eastAsia="bg-BG"/>
        </w:rPr>
        <w:t xml:space="preserve">Следва да се има предвид, че индикаторите по ЕФРР и ЕСФ </w:t>
      </w:r>
      <w:r w:rsidR="007C50FA">
        <w:rPr>
          <w:rFonts w:ascii="Verdana" w:hAnsi="Verdana"/>
          <w:bCs/>
          <w:color w:val="000000"/>
          <w:sz w:val="20"/>
          <w:szCs w:val="20"/>
          <w:lang w:val="bg-BG" w:eastAsia="bg-BG"/>
        </w:rPr>
        <w:t>имат</w:t>
      </w:r>
      <w:r>
        <w:rPr>
          <w:rFonts w:ascii="Verdana" w:hAnsi="Verdana"/>
          <w:bCs/>
          <w:color w:val="000000"/>
          <w:sz w:val="20"/>
          <w:szCs w:val="20"/>
          <w:lang w:val="bg-BG" w:eastAsia="bg-BG"/>
        </w:rPr>
        <w:t xml:space="preserve"> различна логика. Съгласно Насоките за предварителна оценка, индикаторите</w:t>
      </w:r>
      <w:r w:rsidRPr="002E44FC">
        <w:rPr>
          <w:rFonts w:ascii="Verdana" w:hAnsi="Verdana"/>
          <w:bCs/>
          <w:color w:val="000000"/>
          <w:sz w:val="20"/>
          <w:szCs w:val="20"/>
          <w:lang w:val="bg-BG" w:eastAsia="bg-BG"/>
        </w:rPr>
        <w:t xml:space="preserve"> на ЕФРР и Кохезионния фонд, трябва да се стремят да </w:t>
      </w:r>
      <w:r>
        <w:rPr>
          <w:rFonts w:ascii="Verdana" w:hAnsi="Verdana"/>
          <w:bCs/>
          <w:color w:val="000000"/>
          <w:sz w:val="20"/>
          <w:szCs w:val="20"/>
          <w:lang w:val="bg-BG" w:eastAsia="bg-BG"/>
        </w:rPr>
        <w:t>измерят</w:t>
      </w:r>
      <w:r w:rsidRPr="002E44FC">
        <w:rPr>
          <w:rFonts w:ascii="Verdana" w:hAnsi="Verdana"/>
          <w:bCs/>
          <w:color w:val="000000"/>
          <w:sz w:val="20"/>
          <w:szCs w:val="20"/>
          <w:lang w:val="bg-BG" w:eastAsia="bg-BG"/>
        </w:rPr>
        <w:t xml:space="preserve"> промяна в положението на </w:t>
      </w:r>
      <w:r>
        <w:rPr>
          <w:rFonts w:ascii="Verdana" w:hAnsi="Verdana"/>
          <w:bCs/>
          <w:color w:val="000000"/>
          <w:sz w:val="20"/>
          <w:szCs w:val="20"/>
          <w:lang w:val="bg-BG" w:eastAsia="bg-BG"/>
        </w:rPr>
        <w:t>страната</w:t>
      </w:r>
      <w:r w:rsidRPr="002E44FC">
        <w:rPr>
          <w:rFonts w:ascii="Verdana" w:hAnsi="Verdana"/>
          <w:bCs/>
          <w:color w:val="000000"/>
          <w:sz w:val="20"/>
          <w:szCs w:val="20"/>
          <w:lang w:val="bg-BG" w:eastAsia="bg-BG"/>
        </w:rPr>
        <w:t>-членка, регион, район, сектор, население</w:t>
      </w:r>
      <w:r>
        <w:rPr>
          <w:rFonts w:ascii="Verdana" w:hAnsi="Verdana"/>
          <w:bCs/>
          <w:color w:val="000000"/>
          <w:sz w:val="20"/>
          <w:szCs w:val="20"/>
          <w:lang w:val="bg-BG" w:eastAsia="bg-BG"/>
        </w:rPr>
        <w:t>, към което</w:t>
      </w:r>
      <w:r w:rsidRPr="002E44FC">
        <w:rPr>
          <w:rFonts w:ascii="Verdana" w:hAnsi="Verdana"/>
          <w:bCs/>
          <w:color w:val="000000"/>
          <w:sz w:val="20"/>
          <w:szCs w:val="20"/>
          <w:lang w:val="bg-BG" w:eastAsia="bg-BG"/>
        </w:rPr>
        <w:t xml:space="preserve"> е насочена програмата. Следователно, </w:t>
      </w:r>
      <w:r>
        <w:rPr>
          <w:rFonts w:ascii="Verdana" w:hAnsi="Verdana"/>
          <w:bCs/>
          <w:color w:val="000000"/>
          <w:sz w:val="20"/>
          <w:szCs w:val="20"/>
          <w:lang w:val="bg-BG" w:eastAsia="bg-BG"/>
        </w:rPr>
        <w:t>индикаторите</w:t>
      </w:r>
      <w:r w:rsidRPr="002E44FC">
        <w:rPr>
          <w:rFonts w:ascii="Verdana" w:hAnsi="Verdana"/>
          <w:bCs/>
          <w:color w:val="000000"/>
          <w:sz w:val="20"/>
          <w:szCs w:val="20"/>
          <w:lang w:val="bg-BG" w:eastAsia="bg-BG"/>
        </w:rPr>
        <w:t xml:space="preserve"> не трябва да се ограничава</w:t>
      </w:r>
      <w:r>
        <w:rPr>
          <w:rFonts w:ascii="Verdana" w:hAnsi="Verdana"/>
          <w:bCs/>
          <w:color w:val="000000"/>
          <w:sz w:val="20"/>
          <w:szCs w:val="20"/>
          <w:lang w:val="bg-BG" w:eastAsia="bg-BG"/>
        </w:rPr>
        <w:t>т</w:t>
      </w:r>
      <w:r w:rsidRPr="002E44FC">
        <w:rPr>
          <w:rFonts w:ascii="Verdana" w:hAnsi="Verdana"/>
          <w:bCs/>
          <w:color w:val="000000"/>
          <w:sz w:val="20"/>
          <w:szCs w:val="20"/>
          <w:lang w:val="bg-BG" w:eastAsia="bg-BG"/>
        </w:rPr>
        <w:t xml:space="preserve"> до подпомаганите лица. Що се отнася до ЕСФ, </w:t>
      </w:r>
      <w:r>
        <w:rPr>
          <w:rFonts w:ascii="Verdana" w:hAnsi="Verdana"/>
          <w:bCs/>
          <w:color w:val="000000"/>
          <w:sz w:val="20"/>
          <w:szCs w:val="20"/>
          <w:lang w:val="bg-BG" w:eastAsia="bg-BG"/>
        </w:rPr>
        <w:t>индикаторите</w:t>
      </w:r>
      <w:r w:rsidRPr="002E44FC">
        <w:rPr>
          <w:rFonts w:ascii="Verdana" w:hAnsi="Verdana"/>
          <w:bCs/>
          <w:color w:val="000000"/>
          <w:sz w:val="20"/>
          <w:szCs w:val="20"/>
          <w:lang w:val="bg-BG" w:eastAsia="bg-BG"/>
        </w:rPr>
        <w:t xml:space="preserve"> трябва да са насочени към улавяне ефекти на подпомаганите </w:t>
      </w:r>
      <w:r w:rsidRPr="002E44FC">
        <w:rPr>
          <w:rFonts w:ascii="Verdana" w:hAnsi="Verdana"/>
          <w:bCs/>
          <w:color w:val="000000"/>
          <w:sz w:val="20"/>
          <w:szCs w:val="20"/>
          <w:lang w:val="bg-BG" w:eastAsia="bg-BG"/>
        </w:rPr>
        <w:lastRenderedPageBreak/>
        <w:t xml:space="preserve">лица или </w:t>
      </w:r>
      <w:r>
        <w:rPr>
          <w:rFonts w:ascii="Verdana" w:hAnsi="Verdana"/>
          <w:bCs/>
          <w:color w:val="000000"/>
          <w:sz w:val="20"/>
          <w:szCs w:val="20"/>
          <w:lang w:val="bg-BG" w:eastAsia="bg-BG"/>
        </w:rPr>
        <w:t>институции</w:t>
      </w:r>
      <w:r w:rsidRPr="002E44FC">
        <w:rPr>
          <w:rFonts w:ascii="Verdana" w:hAnsi="Verdana"/>
          <w:bCs/>
          <w:color w:val="000000"/>
          <w:sz w:val="20"/>
          <w:szCs w:val="20"/>
          <w:lang w:val="bg-BG" w:eastAsia="bg-BG"/>
        </w:rPr>
        <w:t xml:space="preserve">. </w:t>
      </w:r>
      <w:r>
        <w:rPr>
          <w:rFonts w:ascii="Verdana" w:hAnsi="Verdana"/>
          <w:bCs/>
          <w:color w:val="000000"/>
          <w:sz w:val="20"/>
          <w:szCs w:val="20"/>
          <w:lang w:val="bg-BG" w:eastAsia="bg-BG"/>
        </w:rPr>
        <w:t xml:space="preserve">Допълнителни </w:t>
      </w:r>
      <w:r w:rsidRPr="002E44FC">
        <w:rPr>
          <w:rFonts w:ascii="Verdana" w:hAnsi="Verdana"/>
          <w:bCs/>
          <w:color w:val="000000"/>
          <w:sz w:val="20"/>
          <w:szCs w:val="20"/>
          <w:lang w:val="bg-BG" w:eastAsia="bg-BG"/>
        </w:rPr>
        <w:t xml:space="preserve">глобални ефекти върху например положението </w:t>
      </w:r>
      <w:r>
        <w:rPr>
          <w:rFonts w:ascii="Verdana" w:hAnsi="Verdana"/>
          <w:bCs/>
          <w:color w:val="000000"/>
          <w:sz w:val="20"/>
          <w:szCs w:val="20"/>
          <w:lang w:val="bg-BG" w:eastAsia="bg-BG"/>
        </w:rPr>
        <w:t>в дадена страна</w:t>
      </w:r>
      <w:r w:rsidRPr="002E44FC">
        <w:rPr>
          <w:rFonts w:ascii="Verdana" w:hAnsi="Verdana"/>
          <w:bCs/>
          <w:color w:val="000000"/>
          <w:sz w:val="20"/>
          <w:szCs w:val="20"/>
          <w:lang w:val="bg-BG" w:eastAsia="bg-BG"/>
        </w:rPr>
        <w:t>-членка или регион, следва да се оценява</w:t>
      </w:r>
      <w:r>
        <w:rPr>
          <w:rFonts w:ascii="Verdana" w:hAnsi="Verdana"/>
          <w:bCs/>
          <w:color w:val="000000"/>
          <w:sz w:val="20"/>
          <w:szCs w:val="20"/>
          <w:lang w:val="bg-BG" w:eastAsia="bg-BG"/>
        </w:rPr>
        <w:t xml:space="preserve">т </w:t>
      </w:r>
      <w:r w:rsidRPr="002E44FC">
        <w:rPr>
          <w:rFonts w:ascii="Verdana" w:hAnsi="Verdana"/>
          <w:bCs/>
          <w:color w:val="000000"/>
          <w:sz w:val="20"/>
          <w:szCs w:val="20"/>
          <w:lang w:val="bg-BG" w:eastAsia="bg-BG"/>
        </w:rPr>
        <w:t>чрез оценки</w:t>
      </w:r>
      <w:r>
        <w:rPr>
          <w:rFonts w:ascii="Verdana" w:hAnsi="Verdana"/>
          <w:bCs/>
          <w:color w:val="000000"/>
          <w:sz w:val="20"/>
          <w:szCs w:val="20"/>
          <w:lang w:val="bg-BG" w:eastAsia="bg-BG"/>
        </w:rPr>
        <w:t>.</w:t>
      </w:r>
      <w:r w:rsidR="00F5613C">
        <w:rPr>
          <w:rFonts w:ascii="Verdana" w:hAnsi="Verdana"/>
          <w:bCs/>
          <w:color w:val="000000"/>
          <w:sz w:val="20"/>
          <w:szCs w:val="20"/>
          <w:lang w:val="bg-BG" w:eastAsia="bg-BG"/>
        </w:rPr>
        <w:t xml:space="preserve"> </w:t>
      </w:r>
      <w:r w:rsidR="003E57EE">
        <w:rPr>
          <w:rFonts w:ascii="Verdana" w:hAnsi="Verdana"/>
          <w:bCs/>
          <w:color w:val="000000"/>
          <w:sz w:val="20"/>
          <w:szCs w:val="20"/>
          <w:lang w:val="bg-BG" w:eastAsia="bg-BG"/>
        </w:rPr>
        <w:t>Заложените</w:t>
      </w:r>
      <w:r w:rsidR="00F5613C">
        <w:rPr>
          <w:rFonts w:ascii="Verdana" w:hAnsi="Verdana"/>
          <w:bCs/>
          <w:color w:val="000000"/>
          <w:sz w:val="20"/>
          <w:szCs w:val="20"/>
          <w:lang w:val="bg-BG" w:eastAsia="bg-BG"/>
        </w:rPr>
        <w:t xml:space="preserve"> индикатори за резултат в Логическата рамка на ОПНОИР не следват </w:t>
      </w:r>
      <w:r w:rsidR="003E57EE">
        <w:rPr>
          <w:rFonts w:ascii="Verdana" w:hAnsi="Verdana"/>
          <w:bCs/>
          <w:color w:val="000000"/>
          <w:sz w:val="20"/>
          <w:szCs w:val="20"/>
          <w:lang w:val="bg-BG" w:eastAsia="bg-BG"/>
        </w:rPr>
        <w:t xml:space="preserve">изцяло </w:t>
      </w:r>
      <w:r w:rsidR="00F5613C">
        <w:rPr>
          <w:rFonts w:ascii="Verdana" w:hAnsi="Verdana"/>
          <w:bCs/>
          <w:color w:val="000000"/>
          <w:sz w:val="20"/>
          <w:szCs w:val="20"/>
          <w:lang w:val="bg-BG" w:eastAsia="bg-BG"/>
        </w:rPr>
        <w:t>тези предписания, т.е. индикаторите за резултат по ЕФРР не измерват глобални ефекти, докато</w:t>
      </w:r>
      <w:r w:rsidR="003E57EE">
        <w:rPr>
          <w:rFonts w:ascii="Verdana" w:hAnsi="Verdana"/>
          <w:bCs/>
          <w:color w:val="000000"/>
          <w:sz w:val="20"/>
          <w:szCs w:val="20"/>
          <w:lang w:val="bg-BG" w:eastAsia="bg-BG"/>
        </w:rPr>
        <w:t xml:space="preserve"> някои от</w:t>
      </w:r>
      <w:r w:rsidR="00F5613C">
        <w:rPr>
          <w:rFonts w:ascii="Verdana" w:hAnsi="Verdana"/>
          <w:bCs/>
          <w:color w:val="000000"/>
          <w:sz w:val="20"/>
          <w:szCs w:val="20"/>
          <w:lang w:val="bg-BG" w:eastAsia="bg-BG"/>
        </w:rPr>
        <w:t xml:space="preserve"> индикаторите по ЕСФ са насочени към ефекти върху цялата територия на страната</w:t>
      </w:r>
      <w:r w:rsidR="003E57EE">
        <w:rPr>
          <w:rFonts w:ascii="Verdana" w:hAnsi="Verdana"/>
          <w:bCs/>
          <w:color w:val="000000"/>
          <w:sz w:val="20"/>
          <w:szCs w:val="20"/>
          <w:lang w:val="bg-BG" w:eastAsia="bg-BG"/>
        </w:rPr>
        <w:t xml:space="preserve"> – като например дял на преждевременно напусналите училище или дял на завършилите висше образование</w:t>
      </w:r>
      <w:r w:rsidR="00F5613C">
        <w:rPr>
          <w:rFonts w:ascii="Verdana" w:hAnsi="Verdana"/>
          <w:bCs/>
          <w:color w:val="000000"/>
          <w:sz w:val="20"/>
          <w:szCs w:val="20"/>
          <w:lang w:val="bg-BG" w:eastAsia="bg-BG"/>
        </w:rPr>
        <w:t>.</w:t>
      </w:r>
      <w:r w:rsidR="003E57EE">
        <w:rPr>
          <w:rFonts w:ascii="Verdana" w:hAnsi="Verdana"/>
          <w:bCs/>
          <w:color w:val="000000"/>
          <w:sz w:val="20"/>
          <w:szCs w:val="20"/>
          <w:lang w:val="bg-BG" w:eastAsia="bg-BG"/>
        </w:rPr>
        <w:t xml:space="preserve"> Предвид спецификата на програмата обаче, консултантът не счита, че това </w:t>
      </w:r>
      <w:r w:rsidR="005E1633">
        <w:rPr>
          <w:rFonts w:ascii="Verdana" w:hAnsi="Verdana"/>
          <w:bCs/>
          <w:color w:val="000000"/>
          <w:sz w:val="20"/>
          <w:szCs w:val="20"/>
          <w:lang w:val="bg-BG" w:eastAsia="bg-BG"/>
        </w:rPr>
        <w:t xml:space="preserve">не </w:t>
      </w:r>
      <w:r w:rsidR="003E57EE">
        <w:rPr>
          <w:rFonts w:ascii="Verdana" w:hAnsi="Verdana"/>
          <w:bCs/>
          <w:color w:val="000000"/>
          <w:sz w:val="20"/>
          <w:szCs w:val="20"/>
          <w:lang w:val="bg-BG" w:eastAsia="bg-BG"/>
        </w:rPr>
        <w:t xml:space="preserve">е </w:t>
      </w:r>
      <w:r w:rsidR="005E1633">
        <w:rPr>
          <w:rFonts w:ascii="Verdana" w:hAnsi="Verdana"/>
          <w:bCs/>
          <w:color w:val="000000"/>
          <w:sz w:val="20"/>
          <w:szCs w:val="20"/>
          <w:lang w:val="bg-BG" w:eastAsia="bg-BG"/>
        </w:rPr>
        <w:t>съществен</w:t>
      </w:r>
      <w:r w:rsidR="003E57EE">
        <w:rPr>
          <w:rFonts w:ascii="Verdana" w:hAnsi="Verdana"/>
          <w:bCs/>
          <w:color w:val="000000"/>
          <w:sz w:val="20"/>
          <w:szCs w:val="20"/>
          <w:lang w:val="bg-BG" w:eastAsia="bg-BG"/>
        </w:rPr>
        <w:t xml:space="preserve"> проблем.</w:t>
      </w:r>
    </w:p>
    <w:p w:rsidR="001962B4" w:rsidRDefault="001962B4" w:rsidP="001962B4">
      <w:pPr>
        <w:widowControl w:val="0"/>
        <w:tabs>
          <w:tab w:val="left" w:pos="0"/>
          <w:tab w:val="right" w:pos="9214"/>
        </w:tabs>
        <w:spacing w:after="120"/>
        <w:jc w:val="both"/>
        <w:rPr>
          <w:rFonts w:ascii="Verdana" w:hAnsi="Verdana"/>
          <w:bCs/>
          <w:color w:val="000000"/>
          <w:sz w:val="20"/>
          <w:szCs w:val="20"/>
          <w:lang w:val="bg-BG" w:eastAsia="bg-BG"/>
        </w:rPr>
      </w:pPr>
      <w:r w:rsidRPr="00B45B4F">
        <w:rPr>
          <w:rFonts w:ascii="Verdana" w:hAnsi="Verdana"/>
          <w:bCs/>
          <w:color w:val="000000"/>
          <w:sz w:val="20"/>
          <w:szCs w:val="20"/>
          <w:lang w:val="bg-BG" w:eastAsia="bg-BG"/>
        </w:rPr>
        <w:t>Едно от</w:t>
      </w:r>
      <w:r>
        <w:rPr>
          <w:rFonts w:ascii="Verdana" w:hAnsi="Verdana"/>
          <w:bCs/>
          <w:color w:val="000000"/>
          <w:sz w:val="20"/>
          <w:szCs w:val="20"/>
          <w:lang w:val="bg-BG" w:eastAsia="bg-BG"/>
        </w:rPr>
        <w:t xml:space="preserve"> предписанията на ЕК, изложени в Насоките за предварителна оценка е, че броят на индикаторите за резултат трябва да бъде ограничен, като се препоръчва използването на един индикатор за всеки инвестиционен приоритет и специфична цел по ЕФРР</w:t>
      </w:r>
      <w:r w:rsidRPr="00B45B4F">
        <w:rPr>
          <w:rFonts w:ascii="Verdana" w:hAnsi="Verdana"/>
          <w:bCs/>
          <w:color w:val="000000"/>
          <w:sz w:val="20"/>
          <w:szCs w:val="20"/>
          <w:lang w:val="bg-BG" w:eastAsia="bg-BG"/>
        </w:rPr>
        <w:t xml:space="preserve">. </w:t>
      </w:r>
      <w:r w:rsidR="003E57EE">
        <w:rPr>
          <w:rFonts w:ascii="Verdana" w:hAnsi="Verdana"/>
          <w:bCs/>
          <w:color w:val="000000"/>
          <w:sz w:val="20"/>
          <w:szCs w:val="20"/>
          <w:lang w:val="bg-BG" w:eastAsia="bg-BG"/>
        </w:rPr>
        <w:t>С ревизирането на системата от индикатори броят на индикаторите за резултат беше ограничен, но все още има възможности за подобряване на връзката между индикаторите за резултат и специфичните цели</w:t>
      </w:r>
      <w:r>
        <w:rPr>
          <w:rFonts w:ascii="Verdana" w:hAnsi="Verdana"/>
          <w:bCs/>
          <w:color w:val="000000"/>
          <w:sz w:val="20"/>
          <w:szCs w:val="20"/>
          <w:lang w:val="bg-BG" w:eastAsia="bg-BG"/>
        </w:rPr>
        <w:t>.</w:t>
      </w:r>
    </w:p>
    <w:p w:rsidR="0032425C" w:rsidRPr="00B45B4F" w:rsidRDefault="0032425C" w:rsidP="0045263B">
      <w:pPr>
        <w:widowControl w:val="0"/>
        <w:tabs>
          <w:tab w:val="left" w:pos="0"/>
          <w:tab w:val="right" w:pos="9214"/>
        </w:tabs>
        <w:spacing w:after="120"/>
        <w:jc w:val="both"/>
        <w:rPr>
          <w:rFonts w:ascii="Verdana" w:hAnsi="Verdana"/>
          <w:bCs/>
          <w:color w:val="000000"/>
          <w:sz w:val="20"/>
          <w:szCs w:val="20"/>
          <w:lang w:val="bg-BG" w:eastAsia="bg-BG"/>
        </w:rPr>
      </w:pPr>
    </w:p>
    <w:p w:rsidR="0032425C" w:rsidRPr="00B45B4F" w:rsidRDefault="0032425C" w:rsidP="0045263B">
      <w:pPr>
        <w:widowControl w:val="0"/>
        <w:tabs>
          <w:tab w:val="left" w:pos="0"/>
          <w:tab w:val="right" w:pos="9214"/>
        </w:tabs>
        <w:spacing w:after="120"/>
        <w:jc w:val="both"/>
        <w:rPr>
          <w:rFonts w:ascii="Verdana" w:hAnsi="Verdana"/>
          <w:bCs/>
          <w:color w:val="000000"/>
          <w:sz w:val="20"/>
          <w:szCs w:val="20"/>
          <w:lang w:val="bg-BG" w:eastAsia="bg-BG"/>
        </w:rPr>
        <w:sectPr w:rsidR="0032425C" w:rsidRPr="00B45B4F" w:rsidSect="00957212">
          <w:headerReference w:type="default" r:id="rId46"/>
          <w:pgSz w:w="11907" w:h="16839" w:code="9"/>
          <w:pgMar w:top="2085" w:right="1377" w:bottom="1440" w:left="1440" w:header="720" w:footer="726" w:gutter="0"/>
          <w:cols w:space="720"/>
          <w:docGrid w:linePitch="360"/>
        </w:sectPr>
      </w:pPr>
    </w:p>
    <w:p w:rsidR="0032425C" w:rsidRDefault="0032425C" w:rsidP="0045263B">
      <w:pPr>
        <w:widowControl w:val="0"/>
        <w:tabs>
          <w:tab w:val="left" w:pos="0"/>
          <w:tab w:val="right" w:pos="9214"/>
        </w:tabs>
        <w:spacing w:after="120"/>
        <w:jc w:val="both"/>
        <w:rPr>
          <w:rFonts w:ascii="Verdana" w:hAnsi="Verdana"/>
          <w:bCs/>
          <w:color w:val="000000"/>
          <w:sz w:val="20"/>
          <w:szCs w:val="20"/>
          <w:lang w:val="bg-BG" w:eastAsia="bg-BG"/>
        </w:rPr>
      </w:pPr>
    </w:p>
    <w:p w:rsidR="00111C3E" w:rsidRPr="00B45B4F" w:rsidRDefault="00111C3E" w:rsidP="00111C3E">
      <w:pPr>
        <w:pStyle w:val="Caption"/>
        <w:keepNext/>
        <w:spacing w:after="120"/>
        <w:rPr>
          <w:rFonts w:ascii="Verdana" w:hAnsi="Verdana"/>
          <w:color w:val="548DD4" w:themeColor="text2" w:themeTint="99"/>
        </w:rPr>
      </w:pPr>
      <w:bookmarkStart w:id="127" w:name="_Toc395612591"/>
      <w:r w:rsidRPr="002F203A">
        <w:rPr>
          <w:rFonts w:ascii="Verdana" w:hAnsi="Verdana"/>
          <w:color w:val="548DD4" w:themeColor="text2" w:themeTint="99"/>
        </w:rPr>
        <w:t xml:space="preserve">Таблица </w:t>
      </w:r>
      <w:r w:rsidR="00BF1936" w:rsidRPr="002F203A">
        <w:rPr>
          <w:rFonts w:ascii="Verdana" w:hAnsi="Verdana"/>
          <w:color w:val="548DD4" w:themeColor="text2" w:themeTint="99"/>
        </w:rPr>
        <w:fldChar w:fldCharType="begin"/>
      </w:r>
      <w:r w:rsidRPr="002F203A">
        <w:rPr>
          <w:rFonts w:ascii="Verdana" w:hAnsi="Verdana"/>
          <w:color w:val="548DD4" w:themeColor="text2" w:themeTint="99"/>
        </w:rPr>
        <w:instrText xml:space="preserve"> SEQ таблица \* ARABIC </w:instrText>
      </w:r>
      <w:r w:rsidR="00BF1936" w:rsidRPr="002F203A">
        <w:rPr>
          <w:rFonts w:ascii="Verdana" w:hAnsi="Verdana"/>
          <w:color w:val="548DD4" w:themeColor="text2" w:themeTint="99"/>
        </w:rPr>
        <w:fldChar w:fldCharType="separate"/>
      </w:r>
      <w:r w:rsidR="001361E0">
        <w:rPr>
          <w:rFonts w:ascii="Verdana" w:hAnsi="Verdana"/>
          <w:noProof/>
          <w:color w:val="548DD4" w:themeColor="text2" w:themeTint="99"/>
        </w:rPr>
        <w:t>35</w:t>
      </w:r>
      <w:r w:rsidR="00BF1936" w:rsidRPr="002F203A">
        <w:rPr>
          <w:rFonts w:ascii="Verdana" w:hAnsi="Verdana"/>
          <w:color w:val="548DD4" w:themeColor="text2" w:themeTint="99"/>
        </w:rPr>
        <w:fldChar w:fldCharType="end"/>
      </w:r>
      <w:r w:rsidRPr="002F203A">
        <w:rPr>
          <w:rFonts w:ascii="Verdana" w:hAnsi="Verdana"/>
          <w:color w:val="548DD4" w:themeColor="text2" w:themeTint="99"/>
        </w:rPr>
        <w:t>.</w:t>
      </w:r>
      <w:r>
        <w:rPr>
          <w:rFonts w:ascii="Verdana" w:hAnsi="Verdana"/>
          <w:color w:val="548DD4" w:themeColor="text2" w:themeTint="99"/>
        </w:rPr>
        <w:t>Оценката на уместността и яснотата на системата от индикатори</w:t>
      </w:r>
      <w:r w:rsidR="00270CD6">
        <w:rPr>
          <w:rFonts w:ascii="Verdana" w:hAnsi="Verdana"/>
          <w:color w:val="548DD4" w:themeColor="text2" w:themeTint="99"/>
        </w:rPr>
        <w:t xml:space="preserve"> (версия на програмата от май 2014)</w:t>
      </w:r>
      <w:bookmarkEnd w:id="127"/>
    </w:p>
    <w:tbl>
      <w:tblPr>
        <w:tblStyle w:val="TableGrid"/>
        <w:tblW w:w="14884" w:type="dxa"/>
        <w:tblInd w:w="-459" w:type="dxa"/>
        <w:tblLook w:val="04A0" w:firstRow="1" w:lastRow="0" w:firstColumn="1" w:lastColumn="0" w:noHBand="0" w:noVBand="1"/>
      </w:tblPr>
      <w:tblGrid>
        <w:gridCol w:w="2385"/>
        <w:gridCol w:w="2270"/>
        <w:gridCol w:w="1866"/>
        <w:gridCol w:w="2008"/>
        <w:gridCol w:w="2076"/>
        <w:gridCol w:w="2423"/>
        <w:gridCol w:w="1856"/>
      </w:tblGrid>
      <w:tr w:rsidR="007C44A3" w:rsidRPr="00B45B4F" w:rsidTr="003C4D02">
        <w:trPr>
          <w:tblHeader/>
        </w:trPr>
        <w:tc>
          <w:tcPr>
            <w:tcW w:w="1843" w:type="dxa"/>
            <w:shd w:val="clear" w:color="auto" w:fill="1F497D" w:themeFill="text2"/>
          </w:tcPr>
          <w:p w:rsidR="00111C3E" w:rsidRPr="00B45B4F" w:rsidRDefault="00111C3E" w:rsidP="003C4D02">
            <w:pPr>
              <w:widowControl w:val="0"/>
              <w:tabs>
                <w:tab w:val="left" w:pos="0"/>
                <w:tab w:val="right" w:pos="9214"/>
              </w:tabs>
              <w:spacing w:after="0" w:line="240" w:lineRule="auto"/>
              <w:jc w:val="center"/>
              <w:rPr>
                <w:rFonts w:ascii="Verdana" w:hAnsi="Verdana"/>
                <w:b/>
                <w:bCs/>
                <w:color w:val="FFFFFF" w:themeColor="background1"/>
                <w:sz w:val="16"/>
                <w:szCs w:val="16"/>
                <w:lang w:val="bg-BG" w:eastAsia="bg-BG"/>
              </w:rPr>
            </w:pPr>
            <w:r w:rsidRPr="00B45B4F">
              <w:rPr>
                <w:rFonts w:ascii="Verdana" w:hAnsi="Verdana"/>
                <w:b/>
                <w:bCs/>
                <w:color w:val="FFFFFF" w:themeColor="background1"/>
                <w:sz w:val="16"/>
                <w:szCs w:val="16"/>
                <w:lang w:val="bg-BG" w:eastAsia="bg-BG"/>
              </w:rPr>
              <w:t>Специфична цел</w:t>
            </w:r>
          </w:p>
        </w:tc>
        <w:tc>
          <w:tcPr>
            <w:tcW w:w="2299" w:type="dxa"/>
            <w:shd w:val="clear" w:color="auto" w:fill="1F497D" w:themeFill="text2"/>
          </w:tcPr>
          <w:p w:rsidR="00111C3E" w:rsidRPr="00B45B4F" w:rsidRDefault="00111C3E" w:rsidP="003C4D02">
            <w:pPr>
              <w:widowControl w:val="0"/>
              <w:tabs>
                <w:tab w:val="left" w:pos="0"/>
                <w:tab w:val="right" w:pos="9214"/>
              </w:tabs>
              <w:spacing w:after="0" w:line="240" w:lineRule="auto"/>
              <w:jc w:val="center"/>
              <w:rPr>
                <w:rFonts w:ascii="Verdana" w:hAnsi="Verdana"/>
                <w:b/>
                <w:bCs/>
                <w:color w:val="FFFFFF" w:themeColor="background1"/>
                <w:sz w:val="16"/>
                <w:szCs w:val="16"/>
                <w:lang w:val="bg-BG" w:eastAsia="bg-BG"/>
              </w:rPr>
            </w:pPr>
            <w:r w:rsidRPr="00B45B4F">
              <w:rPr>
                <w:rFonts w:ascii="Verdana" w:hAnsi="Verdana"/>
                <w:b/>
                <w:bCs/>
                <w:color w:val="FFFFFF" w:themeColor="background1"/>
                <w:sz w:val="16"/>
                <w:szCs w:val="16"/>
                <w:lang w:val="bg-BG" w:eastAsia="bg-BG"/>
              </w:rPr>
              <w:t>Индикатор за изпълнение</w:t>
            </w:r>
          </w:p>
        </w:tc>
        <w:tc>
          <w:tcPr>
            <w:tcW w:w="2092" w:type="dxa"/>
            <w:shd w:val="clear" w:color="auto" w:fill="1F497D" w:themeFill="text2"/>
          </w:tcPr>
          <w:p w:rsidR="00111C3E" w:rsidRPr="00B45B4F" w:rsidRDefault="00111C3E" w:rsidP="003C4D02">
            <w:pPr>
              <w:widowControl w:val="0"/>
              <w:tabs>
                <w:tab w:val="left" w:pos="0"/>
                <w:tab w:val="right" w:pos="9214"/>
              </w:tabs>
              <w:spacing w:after="0" w:line="240" w:lineRule="auto"/>
              <w:jc w:val="center"/>
              <w:rPr>
                <w:rFonts w:ascii="Verdana" w:hAnsi="Verdana"/>
                <w:b/>
                <w:bCs/>
                <w:color w:val="FFFFFF" w:themeColor="background1"/>
                <w:sz w:val="16"/>
                <w:szCs w:val="16"/>
                <w:lang w:val="bg-BG" w:eastAsia="bg-BG"/>
              </w:rPr>
            </w:pPr>
            <w:r w:rsidRPr="00B45B4F">
              <w:rPr>
                <w:rFonts w:ascii="Verdana" w:hAnsi="Verdana"/>
                <w:b/>
                <w:bCs/>
                <w:color w:val="FFFFFF" w:themeColor="background1"/>
                <w:sz w:val="16"/>
                <w:szCs w:val="16"/>
                <w:lang w:val="bg-BG" w:eastAsia="bg-BG"/>
              </w:rPr>
              <w:t>Уместност</w:t>
            </w:r>
          </w:p>
        </w:tc>
        <w:tc>
          <w:tcPr>
            <w:tcW w:w="2216" w:type="dxa"/>
            <w:shd w:val="clear" w:color="auto" w:fill="1F497D" w:themeFill="text2"/>
          </w:tcPr>
          <w:p w:rsidR="00111C3E" w:rsidRPr="00B45B4F" w:rsidRDefault="00111C3E" w:rsidP="003C4D02">
            <w:pPr>
              <w:widowControl w:val="0"/>
              <w:tabs>
                <w:tab w:val="left" w:pos="0"/>
                <w:tab w:val="right" w:pos="9214"/>
              </w:tabs>
              <w:spacing w:after="0" w:line="240" w:lineRule="auto"/>
              <w:jc w:val="center"/>
              <w:rPr>
                <w:rFonts w:ascii="Verdana" w:hAnsi="Verdana"/>
                <w:b/>
                <w:bCs/>
                <w:color w:val="FFFFFF" w:themeColor="background1"/>
                <w:sz w:val="16"/>
                <w:szCs w:val="16"/>
                <w:lang w:val="bg-BG" w:eastAsia="bg-BG"/>
              </w:rPr>
            </w:pPr>
            <w:r w:rsidRPr="00B45B4F">
              <w:rPr>
                <w:rFonts w:ascii="Verdana" w:hAnsi="Verdana"/>
                <w:b/>
                <w:bCs/>
                <w:color w:val="FFFFFF" w:themeColor="background1"/>
                <w:sz w:val="16"/>
                <w:szCs w:val="16"/>
                <w:lang w:val="bg-BG" w:eastAsia="bg-BG"/>
              </w:rPr>
              <w:t>Яснота</w:t>
            </w:r>
          </w:p>
        </w:tc>
        <w:tc>
          <w:tcPr>
            <w:tcW w:w="2250" w:type="dxa"/>
            <w:shd w:val="clear" w:color="auto" w:fill="1F497D" w:themeFill="text2"/>
          </w:tcPr>
          <w:p w:rsidR="00111C3E" w:rsidRPr="00B45B4F" w:rsidRDefault="00111C3E" w:rsidP="003C4D02">
            <w:pPr>
              <w:widowControl w:val="0"/>
              <w:tabs>
                <w:tab w:val="left" w:pos="0"/>
                <w:tab w:val="right" w:pos="9214"/>
              </w:tabs>
              <w:spacing w:after="0" w:line="240" w:lineRule="auto"/>
              <w:jc w:val="center"/>
              <w:rPr>
                <w:rFonts w:ascii="Verdana" w:hAnsi="Verdana"/>
                <w:b/>
                <w:bCs/>
                <w:color w:val="FFFFFF" w:themeColor="background1"/>
                <w:sz w:val="16"/>
                <w:szCs w:val="16"/>
                <w:lang w:val="bg-BG" w:eastAsia="bg-BG"/>
              </w:rPr>
            </w:pPr>
            <w:r w:rsidRPr="00B45B4F">
              <w:rPr>
                <w:rFonts w:ascii="Verdana" w:hAnsi="Verdana"/>
                <w:b/>
                <w:bCs/>
                <w:color w:val="FFFFFF" w:themeColor="background1"/>
                <w:sz w:val="16"/>
                <w:szCs w:val="16"/>
                <w:lang w:val="bg-BG" w:eastAsia="bg-BG"/>
              </w:rPr>
              <w:t>Индикатор за резултат</w:t>
            </w:r>
          </w:p>
        </w:tc>
        <w:tc>
          <w:tcPr>
            <w:tcW w:w="2104" w:type="dxa"/>
            <w:shd w:val="clear" w:color="auto" w:fill="1F497D" w:themeFill="text2"/>
          </w:tcPr>
          <w:p w:rsidR="00111C3E" w:rsidRPr="00B45B4F" w:rsidRDefault="00111C3E" w:rsidP="003C4D02">
            <w:pPr>
              <w:widowControl w:val="0"/>
              <w:tabs>
                <w:tab w:val="left" w:pos="0"/>
                <w:tab w:val="right" w:pos="9214"/>
              </w:tabs>
              <w:spacing w:after="0" w:line="240" w:lineRule="auto"/>
              <w:jc w:val="center"/>
              <w:rPr>
                <w:rFonts w:ascii="Verdana" w:hAnsi="Verdana"/>
                <w:b/>
                <w:bCs/>
                <w:color w:val="FFFFFF" w:themeColor="background1"/>
                <w:sz w:val="16"/>
                <w:szCs w:val="16"/>
                <w:lang w:val="bg-BG" w:eastAsia="bg-BG"/>
              </w:rPr>
            </w:pPr>
            <w:r w:rsidRPr="00B45B4F">
              <w:rPr>
                <w:rFonts w:ascii="Verdana" w:hAnsi="Verdana"/>
                <w:b/>
                <w:bCs/>
                <w:color w:val="FFFFFF" w:themeColor="background1"/>
                <w:sz w:val="16"/>
                <w:szCs w:val="16"/>
                <w:lang w:val="bg-BG" w:eastAsia="bg-BG"/>
              </w:rPr>
              <w:t>Уместност</w:t>
            </w:r>
          </w:p>
        </w:tc>
        <w:tc>
          <w:tcPr>
            <w:tcW w:w="2080" w:type="dxa"/>
            <w:shd w:val="clear" w:color="auto" w:fill="1F497D" w:themeFill="text2"/>
          </w:tcPr>
          <w:p w:rsidR="00111C3E" w:rsidRPr="00B45B4F" w:rsidRDefault="00111C3E" w:rsidP="003C4D02">
            <w:pPr>
              <w:widowControl w:val="0"/>
              <w:tabs>
                <w:tab w:val="left" w:pos="0"/>
                <w:tab w:val="right" w:pos="9214"/>
              </w:tabs>
              <w:spacing w:after="0" w:line="240" w:lineRule="auto"/>
              <w:jc w:val="center"/>
              <w:rPr>
                <w:rFonts w:ascii="Verdana" w:hAnsi="Verdana"/>
                <w:b/>
                <w:bCs/>
                <w:color w:val="FFFFFF" w:themeColor="background1"/>
                <w:sz w:val="16"/>
                <w:szCs w:val="16"/>
                <w:lang w:val="bg-BG" w:eastAsia="bg-BG"/>
              </w:rPr>
            </w:pPr>
            <w:r w:rsidRPr="00B45B4F">
              <w:rPr>
                <w:rFonts w:ascii="Verdana" w:hAnsi="Verdana"/>
                <w:b/>
                <w:bCs/>
                <w:color w:val="FFFFFF" w:themeColor="background1"/>
                <w:sz w:val="16"/>
                <w:szCs w:val="16"/>
                <w:lang w:val="bg-BG" w:eastAsia="bg-BG"/>
              </w:rPr>
              <w:t>Яснота</w:t>
            </w:r>
          </w:p>
        </w:tc>
      </w:tr>
      <w:tr w:rsidR="00111C3E" w:rsidRPr="00B45B4F" w:rsidTr="003C4D02">
        <w:tc>
          <w:tcPr>
            <w:tcW w:w="14884" w:type="dxa"/>
            <w:gridSpan w:val="7"/>
          </w:tcPr>
          <w:p w:rsidR="00111C3E" w:rsidRPr="00B45B4F" w:rsidRDefault="00111C3E" w:rsidP="006A3075">
            <w:pPr>
              <w:widowControl w:val="0"/>
              <w:tabs>
                <w:tab w:val="left" w:pos="0"/>
                <w:tab w:val="right" w:pos="9214"/>
              </w:tabs>
              <w:spacing w:before="120" w:after="120" w:line="240" w:lineRule="auto"/>
              <w:jc w:val="both"/>
              <w:rPr>
                <w:rFonts w:ascii="Verdana" w:hAnsi="Verdana"/>
                <w:b/>
                <w:bCs/>
                <w:color w:val="000000"/>
                <w:sz w:val="16"/>
                <w:szCs w:val="16"/>
                <w:lang w:val="bg-BG" w:eastAsia="bg-BG"/>
              </w:rPr>
            </w:pPr>
            <w:r w:rsidRPr="00B45B4F">
              <w:rPr>
                <w:rFonts w:ascii="Verdana" w:hAnsi="Verdana"/>
                <w:b/>
                <w:sz w:val="16"/>
                <w:szCs w:val="16"/>
                <w:lang w:val="bg-BG"/>
              </w:rPr>
              <w:t>1. Научни изследвания и технологично развитие</w:t>
            </w:r>
          </w:p>
        </w:tc>
      </w:tr>
      <w:tr w:rsidR="007C44A3" w:rsidRPr="00B45B4F" w:rsidTr="003C4D02">
        <w:tc>
          <w:tcPr>
            <w:tcW w:w="1843" w:type="dxa"/>
          </w:tcPr>
          <w:p w:rsidR="00111C3E" w:rsidRPr="00176DF7" w:rsidRDefault="00176DF7" w:rsidP="003C4D02">
            <w:pPr>
              <w:widowControl w:val="0"/>
              <w:tabs>
                <w:tab w:val="left" w:pos="0"/>
                <w:tab w:val="right" w:pos="9214"/>
              </w:tabs>
              <w:spacing w:after="0" w:line="240" w:lineRule="auto"/>
              <w:jc w:val="both"/>
              <w:rPr>
                <w:rFonts w:ascii="Verdana" w:hAnsi="Verdana"/>
                <w:sz w:val="16"/>
                <w:szCs w:val="16"/>
                <w:lang w:val="bg-BG"/>
              </w:rPr>
            </w:pPr>
            <w:r w:rsidRPr="00176DF7">
              <w:rPr>
                <w:rFonts w:ascii="Verdana" w:hAnsi="Verdana"/>
                <w:sz w:val="16"/>
                <w:szCs w:val="16"/>
                <w:lang w:val="bg-BG"/>
              </w:rPr>
              <w:t>Модернизиране на съществуващи центрове за върхови постижения и центрове за компетентност и целенасочено създаване на нови такива структури въз основа на техния потенциал за принос към базата знания и иновационния капацитет в концентрирани ПО.</w:t>
            </w:r>
          </w:p>
        </w:tc>
        <w:tc>
          <w:tcPr>
            <w:tcW w:w="2299" w:type="dxa"/>
          </w:tcPr>
          <w:p w:rsidR="00111C3E" w:rsidRPr="00B45B4F" w:rsidRDefault="00111C3E" w:rsidP="003C4D02">
            <w:pPr>
              <w:widowControl w:val="0"/>
              <w:tabs>
                <w:tab w:val="left" w:pos="0"/>
                <w:tab w:val="right" w:pos="9214"/>
              </w:tabs>
              <w:spacing w:after="0" w:line="240" w:lineRule="auto"/>
              <w:jc w:val="both"/>
              <w:rPr>
                <w:rFonts w:ascii="Verdana" w:hAnsi="Verdana"/>
                <w:sz w:val="16"/>
                <w:szCs w:val="16"/>
                <w:lang w:val="bg-BG"/>
              </w:rPr>
            </w:pPr>
            <w:r w:rsidRPr="00B45B4F">
              <w:rPr>
                <w:rFonts w:ascii="Verdana" w:hAnsi="Verdana"/>
                <w:sz w:val="16"/>
                <w:szCs w:val="16"/>
                <w:lang w:val="bg-BG"/>
              </w:rPr>
              <w:t>1) Брой изследователи, работещи в подобрени инфраструктури за научни изследвания</w:t>
            </w:r>
          </w:p>
          <w:p w:rsidR="00111C3E" w:rsidRPr="00B45B4F" w:rsidRDefault="00111C3E" w:rsidP="003C4D02">
            <w:pPr>
              <w:widowControl w:val="0"/>
              <w:tabs>
                <w:tab w:val="left" w:pos="0"/>
                <w:tab w:val="right" w:pos="9214"/>
              </w:tabs>
              <w:spacing w:after="0" w:line="240" w:lineRule="auto"/>
              <w:jc w:val="both"/>
              <w:rPr>
                <w:rFonts w:ascii="Verdana" w:hAnsi="Verdana"/>
                <w:sz w:val="16"/>
                <w:szCs w:val="16"/>
                <w:lang w:val="bg-BG"/>
              </w:rPr>
            </w:pPr>
          </w:p>
          <w:p w:rsidR="00111C3E" w:rsidRPr="00B45B4F" w:rsidRDefault="00111C3E" w:rsidP="003C4D02">
            <w:pPr>
              <w:widowControl w:val="0"/>
              <w:tabs>
                <w:tab w:val="left" w:pos="0"/>
                <w:tab w:val="right" w:pos="9214"/>
              </w:tabs>
              <w:spacing w:after="0" w:line="240" w:lineRule="auto"/>
              <w:jc w:val="both"/>
              <w:rPr>
                <w:rFonts w:ascii="Verdana" w:hAnsi="Verdana"/>
                <w:sz w:val="16"/>
                <w:szCs w:val="16"/>
                <w:lang w:val="bg-BG"/>
              </w:rPr>
            </w:pPr>
            <w:r w:rsidRPr="00B45B4F">
              <w:rPr>
                <w:rFonts w:ascii="Verdana" w:hAnsi="Verdana"/>
                <w:sz w:val="16"/>
                <w:szCs w:val="16"/>
                <w:lang w:val="bg-BG"/>
              </w:rPr>
              <w:t>2) Брой нови изследователи в подпомогнатите центрове за върхови постижения и центрове за компетентност</w:t>
            </w:r>
          </w:p>
          <w:p w:rsidR="00111C3E" w:rsidRPr="00B45B4F"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tc>
        <w:tc>
          <w:tcPr>
            <w:tcW w:w="2092" w:type="dxa"/>
          </w:tcPr>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1) Индикаторът е уместен (общ индикатор от Регламент 1301/2013)</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Pr="00B45B4F"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2) Индикаторът е уместен (модифициран общ индикатор от Регламент 1301/2013)</w:t>
            </w:r>
          </w:p>
        </w:tc>
        <w:tc>
          <w:tcPr>
            <w:tcW w:w="2216" w:type="dxa"/>
          </w:tcPr>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1) Индикаторът е ясен</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Pr="00B45B4F"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2) Индикаторът е ясен, но се препоръчва да не се променя формулировката на общия индикатор</w:t>
            </w:r>
          </w:p>
        </w:tc>
        <w:tc>
          <w:tcPr>
            <w:tcW w:w="2250" w:type="dxa"/>
          </w:tcPr>
          <w:p w:rsidR="00111C3E" w:rsidRPr="00B45B4F"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sidRPr="00B45B4F">
              <w:rPr>
                <w:rFonts w:ascii="Verdana" w:hAnsi="Verdana"/>
                <w:sz w:val="16"/>
                <w:szCs w:val="16"/>
                <w:lang w:val="bg-BG"/>
              </w:rPr>
              <w:t>Брой Подкрепени центрове за върхови постижения и центрове за компетентност</w:t>
            </w:r>
          </w:p>
        </w:tc>
        <w:tc>
          <w:tcPr>
            <w:tcW w:w="4184" w:type="dxa"/>
            <w:gridSpan w:val="2"/>
          </w:tcPr>
          <w:p w:rsidR="00111C3E" w:rsidRPr="00B45B4F"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sidRPr="00B45B4F">
              <w:rPr>
                <w:rFonts w:ascii="Verdana" w:hAnsi="Verdana"/>
                <w:bCs/>
                <w:color w:val="000000"/>
                <w:sz w:val="16"/>
                <w:szCs w:val="16"/>
                <w:lang w:val="bg-BG" w:eastAsia="bg-BG"/>
              </w:rPr>
              <w:t>Индикаторът е индикатор за изпълнение</w:t>
            </w:r>
            <w:r>
              <w:rPr>
                <w:rFonts w:ascii="Verdana" w:hAnsi="Verdana"/>
                <w:bCs/>
                <w:color w:val="000000"/>
                <w:sz w:val="16"/>
                <w:szCs w:val="16"/>
                <w:lang w:val="bg-BG" w:eastAsia="bg-BG"/>
              </w:rPr>
              <w:t>. Индикаторът следва да отчита какъв ще бъде резултатът от подкрепата за центрове за върхови постижения и центровете за компетентност</w:t>
            </w:r>
          </w:p>
        </w:tc>
      </w:tr>
      <w:tr w:rsidR="007C44A3" w:rsidRPr="00B45B4F" w:rsidTr="003C4D02">
        <w:tc>
          <w:tcPr>
            <w:tcW w:w="1843" w:type="dxa"/>
          </w:tcPr>
          <w:p w:rsidR="00111C3E" w:rsidRPr="00B45B4F" w:rsidRDefault="00176DF7" w:rsidP="003C4D02">
            <w:pPr>
              <w:widowControl w:val="0"/>
              <w:tabs>
                <w:tab w:val="left" w:pos="0"/>
                <w:tab w:val="right" w:pos="9214"/>
              </w:tabs>
              <w:spacing w:after="0" w:line="240" w:lineRule="auto"/>
              <w:jc w:val="both"/>
              <w:rPr>
                <w:rFonts w:ascii="Verdana" w:hAnsi="Verdana"/>
                <w:sz w:val="16"/>
                <w:szCs w:val="16"/>
                <w:lang w:val="bg-BG"/>
              </w:rPr>
            </w:pPr>
            <w:r w:rsidRPr="00176DF7">
              <w:rPr>
                <w:rFonts w:ascii="Verdana" w:hAnsi="Verdana"/>
                <w:sz w:val="16"/>
                <w:szCs w:val="16"/>
                <w:lang w:val="bg-BG"/>
              </w:rPr>
              <w:t>Поддържане и развитие на научноизследователската инфраструктура с цел утвърждаване на университетите и научните организации като регионални фондове на знанието и технологиите и/ или изпълняване на функции на разпределителни възли в подкрепа на реализацията и устойчивостта на паневропейските научноизследователски съоръжения.</w:t>
            </w:r>
          </w:p>
        </w:tc>
        <w:tc>
          <w:tcPr>
            <w:tcW w:w="2299" w:type="dxa"/>
          </w:tcPr>
          <w:p w:rsidR="00111C3E" w:rsidRPr="00B45B4F" w:rsidRDefault="00111C3E" w:rsidP="003C4D02">
            <w:pPr>
              <w:widowControl w:val="0"/>
              <w:tabs>
                <w:tab w:val="left" w:pos="0"/>
                <w:tab w:val="right" w:pos="9214"/>
              </w:tabs>
              <w:spacing w:after="0" w:line="240" w:lineRule="auto"/>
              <w:jc w:val="both"/>
              <w:rPr>
                <w:rFonts w:ascii="Verdana" w:hAnsi="Verdana"/>
                <w:sz w:val="16"/>
                <w:szCs w:val="16"/>
                <w:lang w:val="bg-BG"/>
              </w:rPr>
            </w:pPr>
            <w:r>
              <w:rPr>
                <w:rFonts w:ascii="Verdana" w:hAnsi="Verdana"/>
                <w:sz w:val="16"/>
                <w:szCs w:val="16"/>
                <w:lang w:val="bg-BG"/>
              </w:rPr>
              <w:t>Вж. по-горе</w:t>
            </w:r>
          </w:p>
        </w:tc>
        <w:tc>
          <w:tcPr>
            <w:tcW w:w="2092" w:type="dxa"/>
          </w:tcPr>
          <w:p w:rsidR="00111C3E" w:rsidRDefault="00111C3E" w:rsidP="003C4D02">
            <w:pPr>
              <w:spacing w:line="240" w:lineRule="auto"/>
            </w:pPr>
            <w:r w:rsidRPr="00831F6F">
              <w:rPr>
                <w:rFonts w:ascii="Verdana" w:hAnsi="Verdana"/>
                <w:sz w:val="16"/>
                <w:szCs w:val="16"/>
                <w:lang w:val="bg-BG"/>
              </w:rPr>
              <w:t>Вж. по-горе</w:t>
            </w:r>
          </w:p>
        </w:tc>
        <w:tc>
          <w:tcPr>
            <w:tcW w:w="2216" w:type="dxa"/>
          </w:tcPr>
          <w:p w:rsidR="00111C3E" w:rsidRDefault="00111C3E" w:rsidP="003C4D02">
            <w:pPr>
              <w:spacing w:line="240" w:lineRule="auto"/>
            </w:pPr>
            <w:r w:rsidRPr="00831F6F">
              <w:rPr>
                <w:rFonts w:ascii="Verdana" w:hAnsi="Verdana"/>
                <w:sz w:val="16"/>
                <w:szCs w:val="16"/>
                <w:lang w:val="bg-BG"/>
              </w:rPr>
              <w:t>Вж. по-горе</w:t>
            </w:r>
          </w:p>
        </w:tc>
        <w:tc>
          <w:tcPr>
            <w:tcW w:w="2250" w:type="dxa"/>
          </w:tcPr>
          <w:p w:rsidR="00111C3E" w:rsidRPr="00B45B4F" w:rsidRDefault="00111C3E" w:rsidP="003C4D02">
            <w:pPr>
              <w:widowControl w:val="0"/>
              <w:tabs>
                <w:tab w:val="left" w:pos="0"/>
                <w:tab w:val="right" w:pos="9214"/>
              </w:tabs>
              <w:spacing w:after="0" w:line="240" w:lineRule="auto"/>
              <w:jc w:val="both"/>
              <w:rPr>
                <w:rFonts w:ascii="Verdana" w:hAnsi="Verdana"/>
                <w:sz w:val="16"/>
                <w:szCs w:val="16"/>
                <w:lang w:val="bg-BG"/>
              </w:rPr>
            </w:pPr>
            <w:r>
              <w:rPr>
                <w:rFonts w:ascii="Verdana" w:hAnsi="Verdana"/>
                <w:sz w:val="16"/>
                <w:szCs w:val="16"/>
                <w:lang w:val="bg-BG"/>
              </w:rPr>
              <w:t>Не е посочен индикатор за резултат</w:t>
            </w:r>
          </w:p>
        </w:tc>
        <w:tc>
          <w:tcPr>
            <w:tcW w:w="2104" w:type="dxa"/>
          </w:tcPr>
          <w:p w:rsidR="00111C3E" w:rsidRPr="00B45B4F"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w:t>
            </w:r>
          </w:p>
        </w:tc>
        <w:tc>
          <w:tcPr>
            <w:tcW w:w="2080" w:type="dxa"/>
          </w:tcPr>
          <w:p w:rsidR="00111C3E" w:rsidRPr="00B45B4F"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w:t>
            </w:r>
          </w:p>
        </w:tc>
      </w:tr>
      <w:tr w:rsidR="007C44A3" w:rsidRPr="00B45B4F" w:rsidTr="003C4D02">
        <w:tc>
          <w:tcPr>
            <w:tcW w:w="1843" w:type="dxa"/>
          </w:tcPr>
          <w:p w:rsidR="00111C3E" w:rsidRPr="00B45B4F" w:rsidRDefault="00111C3E" w:rsidP="003C4D02">
            <w:pPr>
              <w:autoSpaceDE w:val="0"/>
              <w:autoSpaceDN w:val="0"/>
              <w:adjustRightInd w:val="0"/>
              <w:spacing w:after="0" w:line="240" w:lineRule="auto"/>
              <w:jc w:val="both"/>
              <w:rPr>
                <w:rFonts w:ascii="Verdana" w:hAnsi="Verdana"/>
                <w:sz w:val="16"/>
                <w:szCs w:val="16"/>
                <w:lang w:val="bg-BG"/>
              </w:rPr>
            </w:pPr>
            <w:r w:rsidRPr="00B45B4F">
              <w:rPr>
                <w:rFonts w:ascii="Verdana" w:hAnsi="Verdana"/>
                <w:sz w:val="16"/>
                <w:szCs w:val="16"/>
                <w:lang w:val="bg-BG"/>
              </w:rPr>
              <w:t xml:space="preserve">Подкрепа за приложни изследвания и експериментално </w:t>
            </w:r>
            <w:r w:rsidRPr="00B45B4F">
              <w:rPr>
                <w:rFonts w:ascii="Verdana" w:hAnsi="Verdana"/>
                <w:sz w:val="16"/>
                <w:szCs w:val="16"/>
                <w:lang w:val="bg-BG"/>
              </w:rPr>
              <w:lastRenderedPageBreak/>
              <w:t>развитие в приоритетни области, подпомагащи  развитието на икономиката</w:t>
            </w:r>
          </w:p>
        </w:tc>
        <w:tc>
          <w:tcPr>
            <w:tcW w:w="2299" w:type="dxa"/>
          </w:tcPr>
          <w:p w:rsidR="00111C3E" w:rsidRDefault="00111C3E" w:rsidP="003C4D02">
            <w:pPr>
              <w:widowControl w:val="0"/>
              <w:tabs>
                <w:tab w:val="left" w:pos="0"/>
                <w:tab w:val="right" w:pos="9214"/>
              </w:tabs>
              <w:spacing w:after="0" w:line="240" w:lineRule="auto"/>
              <w:jc w:val="both"/>
              <w:rPr>
                <w:rFonts w:ascii="Verdana" w:hAnsi="Verdana"/>
                <w:sz w:val="16"/>
                <w:szCs w:val="16"/>
                <w:lang w:val="bg-BG"/>
              </w:rPr>
            </w:pPr>
          </w:p>
          <w:p w:rsidR="00111C3E" w:rsidRDefault="00111C3E" w:rsidP="003C4D02">
            <w:pPr>
              <w:widowControl w:val="0"/>
              <w:tabs>
                <w:tab w:val="left" w:pos="0"/>
                <w:tab w:val="right" w:pos="9214"/>
              </w:tabs>
              <w:spacing w:after="0" w:line="240" w:lineRule="auto"/>
              <w:jc w:val="both"/>
              <w:rPr>
                <w:rFonts w:ascii="Verdana" w:hAnsi="Verdana"/>
                <w:sz w:val="16"/>
                <w:szCs w:val="16"/>
                <w:lang w:val="bg-BG"/>
              </w:rPr>
            </w:pPr>
          </w:p>
          <w:p w:rsidR="00111C3E" w:rsidRDefault="00111C3E" w:rsidP="003C4D02">
            <w:pPr>
              <w:widowControl w:val="0"/>
              <w:tabs>
                <w:tab w:val="left" w:pos="0"/>
                <w:tab w:val="right" w:pos="9214"/>
              </w:tabs>
              <w:spacing w:after="0" w:line="240" w:lineRule="auto"/>
              <w:jc w:val="both"/>
              <w:rPr>
                <w:rFonts w:ascii="Verdana" w:hAnsi="Verdana"/>
                <w:sz w:val="16"/>
                <w:szCs w:val="16"/>
                <w:lang w:val="bg-BG"/>
              </w:rPr>
            </w:pPr>
          </w:p>
          <w:p w:rsidR="00111C3E" w:rsidRDefault="00111C3E" w:rsidP="003C4D02">
            <w:pPr>
              <w:widowControl w:val="0"/>
              <w:tabs>
                <w:tab w:val="left" w:pos="0"/>
                <w:tab w:val="right" w:pos="9214"/>
              </w:tabs>
              <w:spacing w:after="0" w:line="240" w:lineRule="auto"/>
              <w:jc w:val="both"/>
              <w:rPr>
                <w:rFonts w:ascii="Verdana" w:hAnsi="Verdana"/>
                <w:sz w:val="16"/>
                <w:szCs w:val="16"/>
                <w:lang w:val="bg-BG"/>
              </w:rPr>
            </w:pPr>
          </w:p>
          <w:p w:rsidR="00111C3E" w:rsidRDefault="00111C3E" w:rsidP="003C4D02">
            <w:pPr>
              <w:widowControl w:val="0"/>
              <w:tabs>
                <w:tab w:val="left" w:pos="0"/>
                <w:tab w:val="right" w:pos="9214"/>
              </w:tabs>
              <w:spacing w:after="0" w:line="240" w:lineRule="auto"/>
              <w:jc w:val="both"/>
              <w:rPr>
                <w:rFonts w:ascii="Verdana" w:hAnsi="Verdana"/>
                <w:sz w:val="16"/>
                <w:szCs w:val="16"/>
                <w:lang w:val="bg-BG"/>
              </w:rPr>
            </w:pPr>
          </w:p>
          <w:p w:rsidR="00111C3E" w:rsidRDefault="00111C3E" w:rsidP="003C4D02">
            <w:pPr>
              <w:widowControl w:val="0"/>
              <w:tabs>
                <w:tab w:val="left" w:pos="0"/>
                <w:tab w:val="right" w:pos="9214"/>
              </w:tabs>
              <w:spacing w:after="0" w:line="240" w:lineRule="auto"/>
              <w:jc w:val="both"/>
              <w:rPr>
                <w:rFonts w:ascii="Verdana" w:hAnsi="Verdana"/>
                <w:sz w:val="16"/>
                <w:szCs w:val="16"/>
                <w:lang w:val="bg-BG"/>
              </w:rPr>
            </w:pPr>
          </w:p>
          <w:p w:rsidR="00111C3E" w:rsidRDefault="00111C3E" w:rsidP="003C4D02">
            <w:pPr>
              <w:widowControl w:val="0"/>
              <w:tabs>
                <w:tab w:val="left" w:pos="0"/>
                <w:tab w:val="right" w:pos="9214"/>
              </w:tabs>
              <w:spacing w:after="0" w:line="240" w:lineRule="auto"/>
              <w:jc w:val="both"/>
              <w:rPr>
                <w:rFonts w:ascii="Verdana" w:hAnsi="Verdana"/>
                <w:sz w:val="16"/>
                <w:szCs w:val="16"/>
                <w:lang w:val="bg-BG"/>
              </w:rPr>
            </w:pPr>
          </w:p>
          <w:p w:rsidR="00111C3E" w:rsidRDefault="00111C3E" w:rsidP="003C4D02">
            <w:pPr>
              <w:widowControl w:val="0"/>
              <w:tabs>
                <w:tab w:val="left" w:pos="0"/>
                <w:tab w:val="right" w:pos="9214"/>
              </w:tabs>
              <w:spacing w:after="0" w:line="240" w:lineRule="auto"/>
              <w:jc w:val="both"/>
              <w:rPr>
                <w:rFonts w:ascii="Verdana" w:hAnsi="Verdana"/>
                <w:sz w:val="16"/>
                <w:szCs w:val="16"/>
                <w:lang w:val="bg-BG"/>
              </w:rPr>
            </w:pPr>
          </w:p>
          <w:p w:rsidR="00111C3E" w:rsidRDefault="00111C3E" w:rsidP="003C4D02">
            <w:pPr>
              <w:widowControl w:val="0"/>
              <w:tabs>
                <w:tab w:val="left" w:pos="0"/>
                <w:tab w:val="right" w:pos="9214"/>
              </w:tabs>
              <w:spacing w:after="0" w:line="240" w:lineRule="auto"/>
              <w:jc w:val="both"/>
              <w:rPr>
                <w:rFonts w:ascii="Verdana" w:hAnsi="Verdana"/>
                <w:sz w:val="16"/>
                <w:szCs w:val="16"/>
                <w:lang w:val="bg-BG"/>
              </w:rPr>
            </w:pPr>
          </w:p>
          <w:p w:rsidR="00111C3E" w:rsidRDefault="00111C3E" w:rsidP="003C4D02">
            <w:pPr>
              <w:widowControl w:val="0"/>
              <w:tabs>
                <w:tab w:val="left" w:pos="0"/>
                <w:tab w:val="right" w:pos="9214"/>
              </w:tabs>
              <w:spacing w:after="0" w:line="240" w:lineRule="auto"/>
              <w:jc w:val="both"/>
              <w:rPr>
                <w:rFonts w:ascii="Verdana" w:hAnsi="Verdana"/>
                <w:sz w:val="16"/>
                <w:szCs w:val="16"/>
                <w:lang w:val="bg-BG"/>
              </w:rPr>
            </w:pPr>
          </w:p>
          <w:p w:rsidR="00111C3E" w:rsidRDefault="00111C3E" w:rsidP="003C4D02">
            <w:pPr>
              <w:widowControl w:val="0"/>
              <w:tabs>
                <w:tab w:val="left" w:pos="0"/>
                <w:tab w:val="right" w:pos="9214"/>
              </w:tabs>
              <w:spacing w:after="0" w:line="240" w:lineRule="auto"/>
              <w:jc w:val="both"/>
              <w:rPr>
                <w:rFonts w:ascii="Verdana" w:hAnsi="Verdana"/>
                <w:sz w:val="16"/>
                <w:szCs w:val="16"/>
                <w:lang w:val="bg-BG"/>
              </w:rPr>
            </w:pPr>
          </w:p>
          <w:p w:rsidR="00111C3E" w:rsidRDefault="00111C3E" w:rsidP="003C4D02">
            <w:pPr>
              <w:widowControl w:val="0"/>
              <w:tabs>
                <w:tab w:val="left" w:pos="0"/>
                <w:tab w:val="right" w:pos="9214"/>
              </w:tabs>
              <w:spacing w:after="0" w:line="240" w:lineRule="auto"/>
              <w:jc w:val="both"/>
              <w:rPr>
                <w:rFonts w:ascii="Verdana" w:hAnsi="Verdana"/>
                <w:sz w:val="16"/>
                <w:szCs w:val="16"/>
                <w:lang w:val="bg-BG"/>
              </w:rPr>
            </w:pPr>
          </w:p>
          <w:p w:rsidR="00111C3E" w:rsidRPr="00B45B4F" w:rsidRDefault="00111C3E" w:rsidP="003C4D02">
            <w:pPr>
              <w:widowControl w:val="0"/>
              <w:tabs>
                <w:tab w:val="left" w:pos="0"/>
                <w:tab w:val="right" w:pos="9214"/>
              </w:tabs>
              <w:spacing w:after="0" w:line="240" w:lineRule="auto"/>
              <w:jc w:val="both"/>
              <w:rPr>
                <w:rFonts w:ascii="Verdana" w:hAnsi="Verdana"/>
                <w:sz w:val="16"/>
                <w:szCs w:val="16"/>
                <w:lang w:val="bg-BG"/>
              </w:rPr>
            </w:pPr>
            <w:r>
              <w:rPr>
                <w:rFonts w:ascii="Verdana" w:hAnsi="Verdana"/>
                <w:sz w:val="16"/>
                <w:szCs w:val="16"/>
                <w:lang w:val="bg-BG"/>
              </w:rPr>
              <w:t xml:space="preserve">1) </w:t>
            </w:r>
            <w:r w:rsidRPr="00B45B4F">
              <w:rPr>
                <w:rFonts w:ascii="Verdana" w:hAnsi="Verdana"/>
                <w:sz w:val="16"/>
                <w:szCs w:val="16"/>
                <w:lang w:val="bg-BG"/>
              </w:rPr>
              <w:t>Брой предприятия, които си сътрудничат с подпомогнатите научноизследователски институции</w:t>
            </w:r>
          </w:p>
          <w:p w:rsidR="00111C3E" w:rsidRPr="00B45B4F" w:rsidRDefault="00111C3E" w:rsidP="003C4D02">
            <w:pPr>
              <w:widowControl w:val="0"/>
              <w:tabs>
                <w:tab w:val="left" w:pos="0"/>
                <w:tab w:val="right" w:pos="9214"/>
              </w:tabs>
              <w:spacing w:after="0" w:line="240" w:lineRule="auto"/>
              <w:jc w:val="both"/>
              <w:rPr>
                <w:rFonts w:ascii="Verdana" w:hAnsi="Verdana"/>
                <w:sz w:val="16"/>
                <w:szCs w:val="16"/>
                <w:lang w:val="bg-BG"/>
              </w:rPr>
            </w:pPr>
          </w:p>
          <w:p w:rsidR="00111C3E" w:rsidRDefault="00111C3E" w:rsidP="003C4D02">
            <w:pPr>
              <w:pStyle w:val="Default"/>
              <w:jc w:val="both"/>
              <w:rPr>
                <w:rFonts w:ascii="Verdana" w:hAnsi="Verdana"/>
                <w:color w:val="auto"/>
                <w:sz w:val="16"/>
                <w:szCs w:val="16"/>
                <w:lang w:val="bg-BG"/>
              </w:rPr>
            </w:pPr>
          </w:p>
          <w:p w:rsidR="00111C3E" w:rsidRDefault="00111C3E" w:rsidP="003C4D02">
            <w:pPr>
              <w:pStyle w:val="Default"/>
              <w:jc w:val="both"/>
              <w:rPr>
                <w:rFonts w:ascii="Verdana" w:hAnsi="Verdana"/>
                <w:color w:val="auto"/>
                <w:sz w:val="16"/>
                <w:szCs w:val="16"/>
                <w:lang w:val="bg-BG"/>
              </w:rPr>
            </w:pPr>
            <w:r>
              <w:rPr>
                <w:rFonts w:ascii="Verdana" w:hAnsi="Verdana"/>
                <w:color w:val="auto"/>
                <w:sz w:val="16"/>
                <w:szCs w:val="16"/>
                <w:lang w:val="bg-BG"/>
              </w:rPr>
              <w:t xml:space="preserve">2) </w:t>
            </w:r>
            <w:r w:rsidRPr="00B45B4F">
              <w:rPr>
                <w:rFonts w:ascii="Verdana" w:hAnsi="Verdana"/>
                <w:color w:val="auto"/>
                <w:sz w:val="16"/>
                <w:szCs w:val="16"/>
                <w:lang w:val="bg-BG"/>
              </w:rPr>
              <w:t>Брой предприятия, въвели нови или значително подобрени продукти на пазара и създадени в резултат от подпомогнатите иновации или научноизследователски и развойни проекти.</w:t>
            </w:r>
          </w:p>
          <w:p w:rsidR="00111C3E" w:rsidRPr="00B45B4F" w:rsidRDefault="00111C3E" w:rsidP="003C4D02">
            <w:pPr>
              <w:pStyle w:val="Default"/>
              <w:jc w:val="both"/>
              <w:rPr>
                <w:rFonts w:ascii="Verdana" w:hAnsi="Verdana"/>
                <w:color w:val="auto"/>
                <w:sz w:val="16"/>
                <w:szCs w:val="16"/>
                <w:lang w:val="bg-BG"/>
              </w:rPr>
            </w:pPr>
          </w:p>
          <w:p w:rsidR="00111C3E" w:rsidRPr="00B45B4F" w:rsidRDefault="00111C3E" w:rsidP="003C4D02">
            <w:pPr>
              <w:pStyle w:val="Default"/>
              <w:jc w:val="both"/>
              <w:rPr>
                <w:rFonts w:ascii="Verdana" w:hAnsi="Verdana"/>
                <w:color w:val="auto"/>
                <w:sz w:val="16"/>
                <w:szCs w:val="16"/>
                <w:lang w:val="bg-BG"/>
              </w:rPr>
            </w:pPr>
          </w:p>
          <w:p w:rsidR="00111C3E" w:rsidRDefault="00111C3E" w:rsidP="003C4D02">
            <w:pPr>
              <w:pStyle w:val="Default"/>
              <w:jc w:val="both"/>
              <w:rPr>
                <w:rFonts w:ascii="Verdana" w:hAnsi="Verdana"/>
                <w:color w:val="auto"/>
                <w:sz w:val="16"/>
                <w:szCs w:val="16"/>
                <w:lang w:val="bg-BG"/>
              </w:rPr>
            </w:pPr>
          </w:p>
          <w:p w:rsidR="00111C3E" w:rsidRPr="00B45B4F" w:rsidRDefault="00111C3E" w:rsidP="003C4D02">
            <w:pPr>
              <w:pStyle w:val="Default"/>
              <w:jc w:val="both"/>
              <w:rPr>
                <w:rFonts w:ascii="Verdana" w:hAnsi="Verdana"/>
                <w:color w:val="auto"/>
                <w:sz w:val="16"/>
                <w:szCs w:val="16"/>
                <w:lang w:val="bg-BG"/>
              </w:rPr>
            </w:pPr>
            <w:r>
              <w:rPr>
                <w:rFonts w:ascii="Verdana" w:hAnsi="Verdana"/>
                <w:color w:val="auto"/>
                <w:sz w:val="16"/>
                <w:szCs w:val="16"/>
                <w:lang w:val="bg-BG"/>
              </w:rPr>
              <w:t xml:space="preserve">3) </w:t>
            </w:r>
            <w:r w:rsidRPr="00B45B4F">
              <w:rPr>
                <w:rFonts w:ascii="Verdana" w:hAnsi="Verdana"/>
                <w:color w:val="auto"/>
                <w:sz w:val="16"/>
                <w:szCs w:val="16"/>
                <w:lang w:val="bg-BG"/>
              </w:rPr>
              <w:t>Брой висши училища, подкрепили или осигурили достъп на български научни организации до различни европейски технологични платформи, осъществили съвместни технологични инициативи.</w:t>
            </w:r>
          </w:p>
          <w:p w:rsidR="00111C3E" w:rsidRDefault="00111C3E" w:rsidP="003C4D02">
            <w:pPr>
              <w:pStyle w:val="Default"/>
              <w:jc w:val="both"/>
              <w:rPr>
                <w:rFonts w:ascii="Verdana" w:hAnsi="Verdana"/>
                <w:color w:val="auto"/>
                <w:sz w:val="16"/>
                <w:szCs w:val="16"/>
                <w:lang w:val="bg-BG"/>
              </w:rPr>
            </w:pPr>
          </w:p>
          <w:p w:rsidR="00111C3E" w:rsidRPr="00B45B4F" w:rsidRDefault="00111C3E" w:rsidP="003C4D02">
            <w:pPr>
              <w:pStyle w:val="Default"/>
              <w:jc w:val="both"/>
              <w:rPr>
                <w:rFonts w:ascii="Verdana" w:hAnsi="Verdana"/>
                <w:b/>
                <w:bCs/>
                <w:color w:val="auto"/>
                <w:sz w:val="16"/>
                <w:szCs w:val="16"/>
                <w:lang w:val="bg-BG"/>
              </w:rPr>
            </w:pPr>
            <w:r>
              <w:rPr>
                <w:rFonts w:ascii="Verdana" w:hAnsi="Verdana"/>
                <w:color w:val="auto"/>
                <w:sz w:val="16"/>
                <w:szCs w:val="16"/>
                <w:lang w:val="bg-BG"/>
              </w:rPr>
              <w:lastRenderedPageBreak/>
              <w:t xml:space="preserve">4) </w:t>
            </w:r>
            <w:r w:rsidRPr="00B45B4F">
              <w:rPr>
                <w:rFonts w:ascii="Verdana" w:hAnsi="Verdana"/>
                <w:color w:val="auto"/>
                <w:sz w:val="16"/>
                <w:szCs w:val="16"/>
                <w:lang w:val="bg-BG"/>
              </w:rPr>
              <w:t>Брой обучени студенти по заявка и с финансовото участие на бизнес</w:t>
            </w:r>
            <w:r w:rsidR="00D84F40">
              <w:rPr>
                <w:rFonts w:ascii="Verdana" w:hAnsi="Verdana"/>
                <w:color w:val="auto"/>
                <w:sz w:val="16"/>
                <w:szCs w:val="16"/>
                <w:lang w:val="bg-BG"/>
              </w:rPr>
              <w:t>а</w:t>
            </w:r>
          </w:p>
          <w:p w:rsidR="00111C3E" w:rsidRDefault="00111C3E" w:rsidP="003C4D02">
            <w:pPr>
              <w:pStyle w:val="Default"/>
              <w:jc w:val="both"/>
              <w:rPr>
                <w:rFonts w:ascii="Verdana" w:hAnsi="Verdana"/>
                <w:sz w:val="16"/>
                <w:szCs w:val="16"/>
                <w:lang w:val="bg-BG"/>
              </w:rPr>
            </w:pPr>
          </w:p>
          <w:p w:rsidR="00111C3E" w:rsidRDefault="00111C3E" w:rsidP="003C4D02">
            <w:pPr>
              <w:pStyle w:val="Default"/>
              <w:jc w:val="both"/>
              <w:rPr>
                <w:rFonts w:ascii="Verdana" w:hAnsi="Verdana"/>
                <w:sz w:val="16"/>
                <w:szCs w:val="16"/>
                <w:lang w:val="bg-BG"/>
              </w:rPr>
            </w:pPr>
          </w:p>
          <w:p w:rsidR="00111C3E" w:rsidRDefault="00111C3E" w:rsidP="003C4D02">
            <w:pPr>
              <w:pStyle w:val="Default"/>
              <w:jc w:val="both"/>
              <w:rPr>
                <w:rFonts w:ascii="Verdana" w:hAnsi="Verdana"/>
                <w:sz w:val="16"/>
                <w:szCs w:val="16"/>
                <w:lang w:val="bg-BG"/>
              </w:rPr>
            </w:pPr>
          </w:p>
          <w:p w:rsidR="00111C3E" w:rsidRPr="00B45B4F" w:rsidRDefault="00111C3E" w:rsidP="003C4D02">
            <w:pPr>
              <w:pStyle w:val="Default"/>
              <w:jc w:val="both"/>
              <w:rPr>
                <w:rFonts w:ascii="Verdana" w:hAnsi="Verdana"/>
                <w:b/>
                <w:bCs/>
                <w:color w:val="auto"/>
                <w:sz w:val="16"/>
                <w:szCs w:val="16"/>
                <w:lang w:val="bg-BG"/>
              </w:rPr>
            </w:pPr>
            <w:r>
              <w:rPr>
                <w:rFonts w:ascii="Verdana" w:hAnsi="Verdana"/>
                <w:sz w:val="16"/>
                <w:szCs w:val="16"/>
                <w:lang w:val="bg-BG"/>
              </w:rPr>
              <w:t xml:space="preserve">5) </w:t>
            </w:r>
            <w:r w:rsidRPr="00B45B4F">
              <w:rPr>
                <w:rFonts w:ascii="Verdana" w:hAnsi="Verdana"/>
                <w:sz w:val="16"/>
                <w:szCs w:val="16"/>
                <w:lang w:val="bg-BG"/>
              </w:rPr>
              <w:t>Брой изградени пилотни производствени центрове във ВУ и научните институти</w:t>
            </w:r>
          </w:p>
        </w:tc>
        <w:tc>
          <w:tcPr>
            <w:tcW w:w="2092" w:type="dxa"/>
          </w:tcPr>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lastRenderedPageBreak/>
              <w:t xml:space="preserve">Общ коментар: за тази специфична цел са предвидени </w:t>
            </w:r>
            <w:r>
              <w:rPr>
                <w:rFonts w:ascii="Verdana" w:hAnsi="Verdana"/>
                <w:bCs/>
                <w:color w:val="000000"/>
                <w:sz w:val="16"/>
                <w:szCs w:val="16"/>
                <w:lang w:val="bg-BG" w:eastAsia="bg-BG"/>
              </w:rPr>
              <w:lastRenderedPageBreak/>
              <w:t>твърде голям брой индикатори и в случай, че за някои от дейностите не са предвидени значителни средства, се препоръчва намаляването им.</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1) Индикаторът е уместен (модифициран общ индикатор от Регламент 1301/2013)</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2) Индикаторът е модифициран общ индикатор от Регламент 1301/2013, но не е напълно уместен, тъй като програмата няма пряк контрол върху този индикатор</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3) Индикаторът е уместен</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4) Индикаторът е уместен</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Pr="00B45B4F"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5) Индикаторът е уместен</w:t>
            </w:r>
          </w:p>
        </w:tc>
        <w:tc>
          <w:tcPr>
            <w:tcW w:w="2216" w:type="dxa"/>
          </w:tcPr>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1) Индикаторът е ясен</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sidRPr="00A84771">
              <w:rPr>
                <w:rFonts w:ascii="Verdana" w:hAnsi="Verdana"/>
                <w:bCs/>
                <w:color w:val="000000"/>
                <w:sz w:val="16"/>
                <w:szCs w:val="16"/>
                <w:lang w:val="bg-BG" w:eastAsia="bg-BG"/>
              </w:rPr>
              <w:t>2) Трудно</w:t>
            </w:r>
            <w:r>
              <w:rPr>
                <w:rFonts w:ascii="Verdana" w:hAnsi="Verdana"/>
                <w:bCs/>
                <w:color w:val="000000"/>
                <w:sz w:val="16"/>
                <w:szCs w:val="16"/>
                <w:lang w:val="bg-BG" w:eastAsia="bg-BG"/>
              </w:rPr>
              <w:t xml:space="preserve"> може да бъде проследена връзката между дейностите по програмата и постигането на този индикатор</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3) Следва да се уточни какво се има предвид под европейски технологични платформи, както и под осъществяване на съвместни технологични инициативи</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lastRenderedPageBreak/>
              <w:t>4) В индикаторните фишове следва да се уточни кои обучения ще бъдат отчитани в рамките на индикатора</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Pr="00B45B4F"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5) В индикаторните фишове следва да се уточни какво се има предвид под пилотни производствени центрове</w:t>
            </w:r>
          </w:p>
        </w:tc>
        <w:tc>
          <w:tcPr>
            <w:tcW w:w="2250" w:type="dxa"/>
          </w:tcPr>
          <w:p w:rsidR="00111C3E" w:rsidRDefault="00111C3E" w:rsidP="003C4D02">
            <w:pPr>
              <w:widowControl w:val="0"/>
              <w:tabs>
                <w:tab w:val="left" w:pos="0"/>
                <w:tab w:val="right" w:pos="9214"/>
              </w:tabs>
              <w:spacing w:after="0" w:line="240" w:lineRule="auto"/>
              <w:jc w:val="both"/>
              <w:rPr>
                <w:rFonts w:ascii="Verdana" w:hAnsi="Verdana"/>
                <w:sz w:val="16"/>
                <w:szCs w:val="16"/>
                <w:lang w:val="bg-BG"/>
              </w:rPr>
            </w:pPr>
            <w:r w:rsidRPr="00B45B4F">
              <w:rPr>
                <w:rFonts w:ascii="Verdana" w:hAnsi="Verdana"/>
                <w:sz w:val="16"/>
                <w:szCs w:val="16"/>
                <w:lang w:val="bg-BG"/>
              </w:rPr>
              <w:lastRenderedPageBreak/>
              <w:t xml:space="preserve">Частни инвестиции в НИРД, допълващи публичната подкрепа </w:t>
            </w:r>
            <w:r w:rsidRPr="00B45B4F">
              <w:rPr>
                <w:rFonts w:ascii="Verdana" w:hAnsi="Verdana"/>
                <w:sz w:val="16"/>
                <w:szCs w:val="16"/>
                <w:lang w:val="bg-BG"/>
              </w:rPr>
              <w:lastRenderedPageBreak/>
              <w:t>в лв./евро</w:t>
            </w:r>
          </w:p>
          <w:p w:rsidR="00111C3E" w:rsidRDefault="00111C3E" w:rsidP="003C4D02">
            <w:pPr>
              <w:widowControl w:val="0"/>
              <w:tabs>
                <w:tab w:val="left" w:pos="0"/>
                <w:tab w:val="right" w:pos="9214"/>
              </w:tabs>
              <w:spacing w:after="0" w:line="240" w:lineRule="auto"/>
              <w:jc w:val="both"/>
              <w:rPr>
                <w:rFonts w:ascii="Verdana" w:hAnsi="Verdana"/>
                <w:sz w:val="16"/>
                <w:szCs w:val="16"/>
                <w:lang w:val="bg-BG"/>
              </w:rPr>
            </w:pPr>
          </w:p>
          <w:p w:rsidR="00111C3E" w:rsidRDefault="00111C3E" w:rsidP="003C4D02">
            <w:pPr>
              <w:widowControl w:val="0"/>
              <w:tabs>
                <w:tab w:val="left" w:pos="0"/>
                <w:tab w:val="right" w:pos="9214"/>
              </w:tabs>
              <w:spacing w:after="0" w:line="240" w:lineRule="auto"/>
              <w:jc w:val="both"/>
              <w:rPr>
                <w:rFonts w:ascii="Verdana" w:hAnsi="Verdana"/>
                <w:sz w:val="16"/>
                <w:szCs w:val="16"/>
                <w:lang w:val="bg-BG"/>
              </w:rPr>
            </w:pPr>
          </w:p>
          <w:p w:rsidR="00111C3E" w:rsidRPr="00B45B4F" w:rsidRDefault="00111C3E" w:rsidP="003C4D02">
            <w:pPr>
              <w:widowControl w:val="0"/>
              <w:tabs>
                <w:tab w:val="left" w:pos="0"/>
                <w:tab w:val="right" w:pos="9214"/>
              </w:tabs>
              <w:spacing w:after="0" w:line="240" w:lineRule="auto"/>
              <w:jc w:val="both"/>
              <w:rPr>
                <w:rFonts w:ascii="Verdana" w:hAnsi="Verdana"/>
                <w:sz w:val="16"/>
                <w:szCs w:val="16"/>
                <w:lang w:val="bg-BG"/>
              </w:rPr>
            </w:pPr>
          </w:p>
        </w:tc>
        <w:tc>
          <w:tcPr>
            <w:tcW w:w="4184" w:type="dxa"/>
            <w:gridSpan w:val="2"/>
          </w:tcPr>
          <w:p w:rsidR="00111C3E" w:rsidRPr="00B45B4F"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lastRenderedPageBreak/>
              <w:t>Съгласно Регламент 1301/2013, индикаторът е индикатор за изпълнение. Следва да се разработят други индикатори за резултат.</w:t>
            </w:r>
          </w:p>
        </w:tc>
      </w:tr>
      <w:tr w:rsidR="00111C3E" w:rsidRPr="00B45B4F" w:rsidTr="003C4D02">
        <w:tc>
          <w:tcPr>
            <w:tcW w:w="14884" w:type="dxa"/>
            <w:gridSpan w:val="7"/>
          </w:tcPr>
          <w:p w:rsidR="00111C3E" w:rsidRPr="00B45B4F" w:rsidRDefault="00111C3E" w:rsidP="006A3075">
            <w:pPr>
              <w:pStyle w:val="Default"/>
              <w:spacing w:before="120" w:after="120"/>
              <w:jc w:val="both"/>
              <w:rPr>
                <w:rFonts w:ascii="Verdana" w:hAnsi="Verdana"/>
                <w:b/>
                <w:color w:val="auto"/>
                <w:sz w:val="16"/>
                <w:szCs w:val="16"/>
                <w:lang w:val="bg-BG"/>
              </w:rPr>
            </w:pPr>
            <w:r w:rsidRPr="00B45B4F">
              <w:rPr>
                <w:rFonts w:ascii="Verdana" w:hAnsi="Verdana"/>
                <w:b/>
                <w:color w:val="auto"/>
                <w:sz w:val="16"/>
                <w:szCs w:val="16"/>
                <w:lang w:val="bg-BG"/>
              </w:rPr>
              <w:lastRenderedPageBreak/>
              <w:t>2. Образование и учене през целия живот</w:t>
            </w:r>
          </w:p>
        </w:tc>
      </w:tr>
      <w:tr w:rsidR="007C44A3" w:rsidRPr="00B45B4F" w:rsidTr="003C4D02">
        <w:tc>
          <w:tcPr>
            <w:tcW w:w="1843" w:type="dxa"/>
          </w:tcPr>
          <w:p w:rsidR="00111C3E" w:rsidRPr="00B45B4F" w:rsidRDefault="00111C3E" w:rsidP="003C4D02">
            <w:pPr>
              <w:autoSpaceDE w:val="0"/>
              <w:autoSpaceDN w:val="0"/>
              <w:adjustRightInd w:val="0"/>
              <w:spacing w:after="0" w:line="240" w:lineRule="auto"/>
              <w:jc w:val="both"/>
              <w:rPr>
                <w:rFonts w:ascii="Verdana" w:hAnsi="Verdana"/>
                <w:sz w:val="16"/>
                <w:szCs w:val="16"/>
                <w:lang w:val="bg-BG"/>
              </w:rPr>
            </w:pPr>
            <w:r w:rsidRPr="00B45B4F">
              <w:rPr>
                <w:rFonts w:ascii="Verdana" w:hAnsi="Verdana"/>
                <w:sz w:val="16"/>
                <w:szCs w:val="16"/>
                <w:lang w:val="bg-BG"/>
              </w:rPr>
              <w:t>Подобряване на постиженията на децата и учениците в овладяването на ключови компетентности по отношение предучилищното и училищното образование</w:t>
            </w:r>
          </w:p>
        </w:tc>
        <w:tc>
          <w:tcPr>
            <w:tcW w:w="2299" w:type="dxa"/>
          </w:tcPr>
          <w:p w:rsidR="00111C3E" w:rsidRPr="00B45B4F" w:rsidRDefault="00111C3E" w:rsidP="003C4D02">
            <w:pPr>
              <w:widowControl w:val="0"/>
              <w:tabs>
                <w:tab w:val="left" w:pos="0"/>
                <w:tab w:val="right" w:pos="9214"/>
              </w:tabs>
              <w:spacing w:after="0" w:line="240" w:lineRule="auto"/>
              <w:jc w:val="both"/>
              <w:rPr>
                <w:rFonts w:ascii="Verdana" w:hAnsi="Verdana"/>
                <w:sz w:val="16"/>
                <w:szCs w:val="16"/>
                <w:lang w:val="bg-BG"/>
              </w:rPr>
            </w:pPr>
            <w:r w:rsidRPr="00C20440">
              <w:rPr>
                <w:rFonts w:ascii="Verdana" w:hAnsi="Verdana"/>
                <w:sz w:val="16"/>
                <w:szCs w:val="16"/>
                <w:lang w:val="bg-BG"/>
              </w:rPr>
              <w:t>Брой деца на възраст от 4 години до започване на училище, обхванати в предучилищно образование</w:t>
            </w:r>
          </w:p>
        </w:tc>
        <w:tc>
          <w:tcPr>
            <w:tcW w:w="2092" w:type="dxa"/>
          </w:tcPr>
          <w:p w:rsidR="00111C3E" w:rsidRPr="00B45B4F" w:rsidRDefault="00111C3E" w:rsidP="0075224C">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 xml:space="preserve">Индикаторът </w:t>
            </w:r>
            <w:r w:rsidR="0075224C">
              <w:rPr>
                <w:rFonts w:ascii="Verdana" w:hAnsi="Verdana"/>
                <w:bCs/>
                <w:color w:val="000000"/>
                <w:sz w:val="16"/>
                <w:szCs w:val="16"/>
                <w:lang w:val="bg-BG" w:eastAsia="bg-BG"/>
              </w:rPr>
              <w:t>е уместен, но има характер по-скоро на индикатор за резултат. Не е изцяло в обхвата и контрола на програмата.</w:t>
            </w:r>
          </w:p>
        </w:tc>
        <w:tc>
          <w:tcPr>
            <w:tcW w:w="2216" w:type="dxa"/>
          </w:tcPr>
          <w:p w:rsidR="00111C3E" w:rsidRPr="00B45B4F"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w:t>
            </w:r>
          </w:p>
        </w:tc>
        <w:tc>
          <w:tcPr>
            <w:tcW w:w="2250" w:type="dxa"/>
          </w:tcPr>
          <w:p w:rsidR="00111C3E" w:rsidRDefault="00111C3E" w:rsidP="003C4D02">
            <w:pPr>
              <w:pStyle w:val="Default"/>
              <w:jc w:val="both"/>
              <w:rPr>
                <w:rFonts w:ascii="Verdana" w:hAnsi="Verdana"/>
                <w:bCs/>
                <w:color w:val="auto"/>
                <w:sz w:val="16"/>
                <w:szCs w:val="16"/>
                <w:lang w:val="bg-BG"/>
              </w:rPr>
            </w:pPr>
            <w:r>
              <w:rPr>
                <w:rFonts w:ascii="Verdana" w:hAnsi="Verdana"/>
                <w:bCs/>
                <w:color w:val="auto"/>
                <w:sz w:val="16"/>
                <w:szCs w:val="16"/>
                <w:lang w:val="bg-BG"/>
              </w:rPr>
              <w:t xml:space="preserve">1) </w:t>
            </w:r>
            <w:r w:rsidRPr="00B45B4F">
              <w:rPr>
                <w:rFonts w:ascii="Verdana" w:hAnsi="Verdana"/>
                <w:bCs/>
                <w:color w:val="auto"/>
                <w:sz w:val="16"/>
                <w:szCs w:val="16"/>
                <w:lang w:val="bg-BG"/>
              </w:rPr>
              <w:t>Най-много 11% ПНУ от лицата на възраст между 18 и 24 г.</w:t>
            </w:r>
          </w:p>
          <w:p w:rsidR="00111C3E" w:rsidRDefault="00111C3E" w:rsidP="003C4D02">
            <w:pPr>
              <w:pStyle w:val="Default"/>
              <w:jc w:val="both"/>
              <w:rPr>
                <w:rFonts w:ascii="Verdana" w:hAnsi="Verdana"/>
                <w:bCs/>
                <w:color w:val="auto"/>
                <w:sz w:val="16"/>
                <w:szCs w:val="16"/>
                <w:lang w:val="bg-BG"/>
              </w:rPr>
            </w:pPr>
          </w:p>
          <w:p w:rsidR="00111C3E" w:rsidRDefault="00111C3E" w:rsidP="003C4D02">
            <w:pPr>
              <w:pStyle w:val="Default"/>
              <w:jc w:val="both"/>
              <w:rPr>
                <w:rFonts w:ascii="Verdana" w:hAnsi="Verdana"/>
                <w:bCs/>
                <w:color w:val="auto"/>
                <w:sz w:val="16"/>
                <w:szCs w:val="16"/>
                <w:lang w:val="bg-BG"/>
              </w:rPr>
            </w:pPr>
          </w:p>
          <w:p w:rsidR="00111C3E" w:rsidRPr="00B45B4F" w:rsidRDefault="00111C3E" w:rsidP="003C4D02">
            <w:pPr>
              <w:pStyle w:val="Default"/>
              <w:jc w:val="both"/>
              <w:rPr>
                <w:rFonts w:ascii="Verdana" w:hAnsi="Verdana"/>
                <w:color w:val="auto"/>
                <w:sz w:val="16"/>
                <w:szCs w:val="16"/>
                <w:lang w:val="bg-BG"/>
              </w:rPr>
            </w:pPr>
          </w:p>
          <w:p w:rsidR="00111C3E" w:rsidRDefault="00111C3E" w:rsidP="003C4D02">
            <w:pPr>
              <w:pStyle w:val="Default"/>
              <w:jc w:val="both"/>
              <w:rPr>
                <w:rFonts w:ascii="Verdana" w:hAnsi="Verdana"/>
                <w:color w:val="auto"/>
                <w:sz w:val="16"/>
                <w:szCs w:val="16"/>
                <w:lang w:val="bg-BG"/>
              </w:rPr>
            </w:pPr>
          </w:p>
          <w:p w:rsidR="00111C3E" w:rsidRDefault="00111C3E" w:rsidP="003C4D02">
            <w:pPr>
              <w:pStyle w:val="Default"/>
              <w:jc w:val="both"/>
              <w:rPr>
                <w:rFonts w:ascii="Verdana" w:hAnsi="Verdana"/>
                <w:color w:val="auto"/>
                <w:sz w:val="16"/>
                <w:szCs w:val="16"/>
                <w:lang w:val="bg-BG"/>
              </w:rPr>
            </w:pPr>
          </w:p>
          <w:p w:rsidR="00111C3E" w:rsidRDefault="00111C3E" w:rsidP="003C4D02">
            <w:pPr>
              <w:pStyle w:val="Default"/>
              <w:jc w:val="both"/>
              <w:rPr>
                <w:rFonts w:ascii="Verdana" w:hAnsi="Verdana"/>
                <w:color w:val="auto"/>
                <w:sz w:val="16"/>
                <w:szCs w:val="16"/>
                <w:lang w:val="bg-BG"/>
              </w:rPr>
            </w:pPr>
          </w:p>
          <w:p w:rsidR="00111C3E" w:rsidRDefault="00111C3E" w:rsidP="003C4D02">
            <w:pPr>
              <w:pStyle w:val="Default"/>
              <w:jc w:val="both"/>
              <w:rPr>
                <w:rFonts w:ascii="Verdana" w:hAnsi="Verdana"/>
                <w:color w:val="auto"/>
                <w:sz w:val="16"/>
                <w:szCs w:val="16"/>
                <w:lang w:val="bg-BG"/>
              </w:rPr>
            </w:pPr>
          </w:p>
          <w:p w:rsidR="00111C3E" w:rsidRDefault="00111C3E" w:rsidP="003C4D02">
            <w:pPr>
              <w:pStyle w:val="Default"/>
              <w:jc w:val="both"/>
              <w:rPr>
                <w:rFonts w:ascii="Verdana" w:hAnsi="Verdana"/>
                <w:color w:val="auto"/>
                <w:sz w:val="16"/>
                <w:szCs w:val="16"/>
                <w:lang w:val="bg-BG"/>
              </w:rPr>
            </w:pPr>
          </w:p>
          <w:p w:rsidR="00111C3E" w:rsidRDefault="00111C3E" w:rsidP="003C4D02">
            <w:pPr>
              <w:pStyle w:val="Default"/>
              <w:jc w:val="both"/>
              <w:rPr>
                <w:rFonts w:ascii="Verdana" w:hAnsi="Verdana"/>
                <w:color w:val="auto"/>
                <w:sz w:val="16"/>
                <w:szCs w:val="16"/>
                <w:lang w:val="bg-BG"/>
              </w:rPr>
            </w:pPr>
          </w:p>
          <w:p w:rsidR="00111C3E" w:rsidRDefault="00111C3E" w:rsidP="003C4D02">
            <w:pPr>
              <w:pStyle w:val="Default"/>
              <w:jc w:val="both"/>
              <w:rPr>
                <w:rFonts w:ascii="Verdana" w:hAnsi="Verdana"/>
                <w:color w:val="auto"/>
                <w:sz w:val="16"/>
                <w:szCs w:val="16"/>
                <w:lang w:val="bg-BG"/>
              </w:rPr>
            </w:pPr>
          </w:p>
          <w:p w:rsidR="00111C3E" w:rsidRDefault="00111C3E" w:rsidP="003C4D02">
            <w:pPr>
              <w:pStyle w:val="Default"/>
              <w:jc w:val="both"/>
              <w:rPr>
                <w:rFonts w:ascii="Verdana" w:hAnsi="Verdana"/>
                <w:color w:val="auto"/>
                <w:sz w:val="16"/>
                <w:szCs w:val="16"/>
                <w:lang w:val="bg-BG"/>
              </w:rPr>
            </w:pPr>
          </w:p>
          <w:p w:rsidR="00111C3E" w:rsidRDefault="00111C3E" w:rsidP="003C4D02">
            <w:pPr>
              <w:pStyle w:val="Default"/>
              <w:jc w:val="both"/>
              <w:rPr>
                <w:rFonts w:ascii="Verdana" w:hAnsi="Verdana"/>
                <w:color w:val="auto"/>
                <w:sz w:val="16"/>
                <w:szCs w:val="16"/>
                <w:lang w:val="bg-BG"/>
              </w:rPr>
            </w:pPr>
          </w:p>
          <w:p w:rsidR="00111C3E" w:rsidRDefault="00111C3E" w:rsidP="003C4D02">
            <w:pPr>
              <w:pStyle w:val="Default"/>
              <w:jc w:val="both"/>
              <w:rPr>
                <w:rFonts w:ascii="Verdana" w:hAnsi="Verdana"/>
                <w:color w:val="auto"/>
                <w:sz w:val="16"/>
                <w:szCs w:val="16"/>
                <w:lang w:val="bg-BG"/>
              </w:rPr>
            </w:pPr>
          </w:p>
          <w:p w:rsidR="00111C3E" w:rsidRDefault="00111C3E" w:rsidP="003C4D02">
            <w:pPr>
              <w:pStyle w:val="Default"/>
              <w:jc w:val="both"/>
              <w:rPr>
                <w:rFonts w:ascii="Verdana" w:hAnsi="Verdana"/>
                <w:color w:val="auto"/>
                <w:sz w:val="16"/>
                <w:szCs w:val="16"/>
                <w:lang w:val="bg-BG"/>
              </w:rPr>
            </w:pPr>
          </w:p>
          <w:p w:rsidR="00111C3E" w:rsidRDefault="00111C3E" w:rsidP="003C4D02">
            <w:pPr>
              <w:pStyle w:val="Default"/>
              <w:jc w:val="both"/>
              <w:rPr>
                <w:rFonts w:ascii="Verdana" w:hAnsi="Verdana"/>
                <w:color w:val="auto"/>
                <w:sz w:val="16"/>
                <w:szCs w:val="16"/>
                <w:lang w:val="bg-BG"/>
              </w:rPr>
            </w:pPr>
          </w:p>
          <w:p w:rsidR="00111C3E" w:rsidRDefault="00111C3E" w:rsidP="003C4D02">
            <w:pPr>
              <w:pStyle w:val="Default"/>
              <w:jc w:val="both"/>
              <w:rPr>
                <w:rFonts w:ascii="Verdana" w:hAnsi="Verdana"/>
                <w:color w:val="auto"/>
                <w:sz w:val="16"/>
                <w:szCs w:val="16"/>
                <w:lang w:val="bg-BG"/>
              </w:rPr>
            </w:pPr>
          </w:p>
          <w:p w:rsidR="00111C3E" w:rsidRDefault="00111C3E" w:rsidP="003C4D02">
            <w:pPr>
              <w:pStyle w:val="Default"/>
              <w:jc w:val="both"/>
              <w:rPr>
                <w:rFonts w:ascii="Verdana" w:hAnsi="Verdana"/>
                <w:color w:val="auto"/>
                <w:sz w:val="16"/>
                <w:szCs w:val="16"/>
                <w:lang w:val="bg-BG"/>
              </w:rPr>
            </w:pPr>
          </w:p>
          <w:p w:rsidR="00111C3E" w:rsidRDefault="00111C3E" w:rsidP="003C4D02">
            <w:pPr>
              <w:pStyle w:val="Default"/>
              <w:jc w:val="both"/>
              <w:rPr>
                <w:rFonts w:ascii="Verdana" w:hAnsi="Verdana"/>
                <w:color w:val="auto"/>
                <w:sz w:val="16"/>
                <w:szCs w:val="16"/>
                <w:lang w:val="bg-BG"/>
              </w:rPr>
            </w:pPr>
          </w:p>
          <w:p w:rsidR="00111C3E" w:rsidRDefault="00111C3E" w:rsidP="003C4D02">
            <w:pPr>
              <w:pStyle w:val="Default"/>
              <w:jc w:val="both"/>
              <w:rPr>
                <w:rFonts w:ascii="Verdana" w:hAnsi="Verdana"/>
                <w:color w:val="auto"/>
                <w:sz w:val="16"/>
                <w:szCs w:val="16"/>
                <w:lang w:val="bg-BG"/>
              </w:rPr>
            </w:pPr>
          </w:p>
          <w:p w:rsidR="00111C3E" w:rsidRDefault="00111C3E" w:rsidP="003C4D02">
            <w:pPr>
              <w:pStyle w:val="Default"/>
              <w:jc w:val="both"/>
              <w:rPr>
                <w:rFonts w:ascii="Verdana" w:hAnsi="Verdana"/>
                <w:color w:val="auto"/>
                <w:sz w:val="16"/>
                <w:szCs w:val="16"/>
                <w:lang w:val="bg-BG"/>
              </w:rPr>
            </w:pPr>
          </w:p>
          <w:p w:rsidR="00111C3E" w:rsidRDefault="00111C3E" w:rsidP="003C4D02">
            <w:pPr>
              <w:pStyle w:val="Default"/>
              <w:jc w:val="both"/>
              <w:rPr>
                <w:rFonts w:ascii="Verdana" w:hAnsi="Verdana"/>
                <w:color w:val="auto"/>
                <w:sz w:val="16"/>
                <w:szCs w:val="16"/>
                <w:lang w:val="bg-BG"/>
              </w:rPr>
            </w:pPr>
          </w:p>
          <w:p w:rsidR="00111C3E" w:rsidRDefault="00111C3E" w:rsidP="003C4D02">
            <w:pPr>
              <w:pStyle w:val="Default"/>
              <w:jc w:val="both"/>
              <w:rPr>
                <w:rFonts w:ascii="Verdana" w:hAnsi="Verdana"/>
                <w:color w:val="auto"/>
                <w:sz w:val="16"/>
                <w:szCs w:val="16"/>
                <w:lang w:val="bg-BG"/>
              </w:rPr>
            </w:pPr>
          </w:p>
          <w:p w:rsidR="00111C3E" w:rsidRDefault="00111C3E" w:rsidP="003C4D02">
            <w:pPr>
              <w:pStyle w:val="Default"/>
              <w:jc w:val="both"/>
              <w:rPr>
                <w:rFonts w:ascii="Verdana" w:hAnsi="Verdana"/>
                <w:color w:val="auto"/>
                <w:sz w:val="16"/>
                <w:szCs w:val="16"/>
                <w:lang w:val="bg-BG"/>
              </w:rPr>
            </w:pPr>
          </w:p>
          <w:p w:rsidR="00111C3E" w:rsidRDefault="00111C3E" w:rsidP="003C4D02">
            <w:pPr>
              <w:pStyle w:val="Default"/>
              <w:jc w:val="both"/>
              <w:rPr>
                <w:rFonts w:ascii="Verdana" w:hAnsi="Verdana"/>
                <w:color w:val="auto"/>
                <w:sz w:val="16"/>
                <w:szCs w:val="16"/>
                <w:lang w:val="bg-BG"/>
              </w:rPr>
            </w:pPr>
          </w:p>
          <w:p w:rsidR="00111C3E" w:rsidRDefault="00111C3E" w:rsidP="003C4D02">
            <w:pPr>
              <w:pStyle w:val="Default"/>
              <w:jc w:val="both"/>
              <w:rPr>
                <w:rFonts w:ascii="Verdana" w:hAnsi="Verdana"/>
                <w:color w:val="auto"/>
                <w:sz w:val="16"/>
                <w:szCs w:val="16"/>
                <w:lang w:val="bg-BG"/>
              </w:rPr>
            </w:pPr>
          </w:p>
          <w:p w:rsidR="00111C3E" w:rsidRPr="00B45B4F" w:rsidRDefault="00111C3E" w:rsidP="003C4D02">
            <w:pPr>
              <w:pStyle w:val="Default"/>
              <w:jc w:val="both"/>
              <w:rPr>
                <w:rFonts w:ascii="Verdana" w:hAnsi="Verdana"/>
                <w:color w:val="auto"/>
                <w:sz w:val="16"/>
                <w:szCs w:val="16"/>
                <w:lang w:val="bg-BG"/>
              </w:rPr>
            </w:pPr>
            <w:r>
              <w:rPr>
                <w:rFonts w:ascii="Verdana" w:hAnsi="Verdana"/>
                <w:color w:val="auto"/>
                <w:sz w:val="16"/>
                <w:szCs w:val="16"/>
                <w:lang w:val="bg-BG"/>
              </w:rPr>
              <w:t xml:space="preserve">2) </w:t>
            </w:r>
            <w:proofErr w:type="spellStart"/>
            <w:r w:rsidRPr="00B45B4F">
              <w:rPr>
                <w:rFonts w:ascii="Verdana" w:hAnsi="Verdana"/>
                <w:color w:val="auto"/>
                <w:sz w:val="16"/>
                <w:szCs w:val="16"/>
                <w:lang w:val="bg-BG"/>
              </w:rPr>
              <w:t>Повишeн</w:t>
            </w:r>
            <w:proofErr w:type="spellEnd"/>
            <w:r w:rsidRPr="00B45B4F">
              <w:rPr>
                <w:rFonts w:ascii="Verdana" w:hAnsi="Verdana"/>
                <w:color w:val="auto"/>
                <w:sz w:val="16"/>
                <w:szCs w:val="16"/>
                <w:lang w:val="bg-BG"/>
              </w:rPr>
              <w:t xml:space="preserve"> среден резултат на българските четвъртокласници по PIRLS – до 540 точки</w:t>
            </w:r>
          </w:p>
          <w:p w:rsidR="00111C3E" w:rsidRDefault="00111C3E" w:rsidP="003C4D02">
            <w:pPr>
              <w:pStyle w:val="Default"/>
              <w:jc w:val="both"/>
              <w:rPr>
                <w:rFonts w:ascii="Verdana" w:hAnsi="Verdana"/>
                <w:color w:val="auto"/>
                <w:sz w:val="16"/>
                <w:szCs w:val="16"/>
                <w:lang w:val="bg-BG"/>
              </w:rPr>
            </w:pPr>
          </w:p>
          <w:p w:rsidR="00111C3E" w:rsidRDefault="00111C3E" w:rsidP="003C4D02">
            <w:pPr>
              <w:pStyle w:val="Default"/>
              <w:jc w:val="both"/>
              <w:rPr>
                <w:rFonts w:ascii="Verdana" w:hAnsi="Verdana"/>
                <w:bCs/>
                <w:color w:val="auto"/>
                <w:sz w:val="16"/>
                <w:szCs w:val="16"/>
                <w:lang w:val="bg-BG"/>
              </w:rPr>
            </w:pPr>
            <w:r>
              <w:rPr>
                <w:rFonts w:ascii="Verdana" w:hAnsi="Verdana"/>
                <w:color w:val="auto"/>
                <w:sz w:val="16"/>
                <w:szCs w:val="16"/>
                <w:lang w:val="bg-BG"/>
              </w:rPr>
              <w:t>2</w:t>
            </w:r>
            <w:r w:rsidRPr="00B45B4F">
              <w:rPr>
                <w:rFonts w:ascii="Verdana" w:hAnsi="Verdana"/>
                <w:color w:val="auto"/>
                <w:sz w:val="16"/>
                <w:szCs w:val="16"/>
                <w:lang w:val="bg-BG"/>
              </w:rPr>
              <w:t>.1</w:t>
            </w:r>
            <w:r>
              <w:rPr>
                <w:rFonts w:ascii="Verdana" w:hAnsi="Verdana"/>
                <w:color w:val="auto"/>
                <w:sz w:val="16"/>
                <w:szCs w:val="16"/>
                <w:lang w:val="bg-BG"/>
              </w:rPr>
              <w:t>)</w:t>
            </w:r>
            <w:r w:rsidRPr="00B45B4F">
              <w:rPr>
                <w:rFonts w:ascii="Verdana" w:hAnsi="Verdana"/>
                <w:color w:val="auto"/>
                <w:sz w:val="16"/>
                <w:szCs w:val="16"/>
                <w:lang w:val="bg-BG"/>
              </w:rPr>
              <w:t xml:space="preserve"> </w:t>
            </w:r>
            <w:proofErr w:type="spellStart"/>
            <w:r w:rsidRPr="00B45B4F">
              <w:rPr>
                <w:rFonts w:ascii="Verdana" w:hAnsi="Verdana"/>
                <w:color w:val="auto"/>
                <w:sz w:val="16"/>
                <w:szCs w:val="16"/>
                <w:lang w:val="bg-BG"/>
              </w:rPr>
              <w:t>Повишeн</w:t>
            </w:r>
            <w:proofErr w:type="spellEnd"/>
            <w:r w:rsidRPr="00B45B4F">
              <w:rPr>
                <w:rFonts w:ascii="Verdana" w:hAnsi="Verdana"/>
                <w:color w:val="auto"/>
                <w:sz w:val="16"/>
                <w:szCs w:val="16"/>
                <w:lang w:val="bg-BG"/>
              </w:rPr>
              <w:t xml:space="preserve"> среден резултат на </w:t>
            </w:r>
            <w:r w:rsidRPr="00B45B4F">
              <w:rPr>
                <w:rFonts w:ascii="Verdana" w:hAnsi="Verdana"/>
                <w:b/>
                <w:color w:val="auto"/>
                <w:sz w:val="16"/>
                <w:szCs w:val="16"/>
                <w:lang w:val="bg-BG"/>
              </w:rPr>
              <w:t>момичетата</w:t>
            </w:r>
            <w:r w:rsidRPr="00B45B4F">
              <w:rPr>
                <w:rFonts w:ascii="Verdana" w:hAnsi="Verdana"/>
                <w:color w:val="auto"/>
                <w:sz w:val="16"/>
                <w:szCs w:val="16"/>
                <w:lang w:val="bg-BG"/>
              </w:rPr>
              <w:t xml:space="preserve"> по PIRLS</w:t>
            </w:r>
            <w:r w:rsidRPr="00B45B4F">
              <w:rPr>
                <w:rFonts w:ascii="Verdana" w:hAnsi="Verdana"/>
                <w:b/>
                <w:bCs/>
                <w:color w:val="auto"/>
                <w:sz w:val="16"/>
                <w:szCs w:val="16"/>
                <w:lang w:val="bg-BG"/>
              </w:rPr>
              <w:t xml:space="preserve"> – </w:t>
            </w:r>
            <w:r w:rsidRPr="00B45B4F">
              <w:rPr>
                <w:rFonts w:ascii="Verdana" w:hAnsi="Verdana"/>
                <w:bCs/>
                <w:color w:val="auto"/>
                <w:sz w:val="16"/>
                <w:szCs w:val="16"/>
                <w:lang w:val="bg-BG"/>
              </w:rPr>
              <w:t>до 549 точки</w:t>
            </w:r>
          </w:p>
          <w:p w:rsidR="00111C3E" w:rsidRPr="00B45B4F" w:rsidRDefault="00111C3E" w:rsidP="003C4D02">
            <w:pPr>
              <w:pStyle w:val="Default"/>
              <w:jc w:val="both"/>
              <w:rPr>
                <w:rFonts w:ascii="Verdana" w:hAnsi="Verdana"/>
                <w:bCs/>
                <w:color w:val="auto"/>
                <w:sz w:val="16"/>
                <w:szCs w:val="16"/>
                <w:lang w:val="bg-BG"/>
              </w:rPr>
            </w:pPr>
          </w:p>
          <w:p w:rsidR="00111C3E" w:rsidRPr="00B45B4F" w:rsidRDefault="00111C3E" w:rsidP="003C4D02">
            <w:pPr>
              <w:pStyle w:val="Default"/>
              <w:jc w:val="both"/>
              <w:rPr>
                <w:rFonts w:ascii="Verdana" w:hAnsi="Verdana"/>
                <w:bCs/>
                <w:color w:val="auto"/>
                <w:sz w:val="16"/>
                <w:szCs w:val="16"/>
                <w:lang w:val="bg-BG"/>
              </w:rPr>
            </w:pPr>
            <w:r>
              <w:rPr>
                <w:rFonts w:ascii="Verdana" w:hAnsi="Verdana"/>
                <w:bCs/>
                <w:color w:val="auto"/>
                <w:sz w:val="16"/>
                <w:szCs w:val="16"/>
                <w:lang w:val="bg-BG"/>
              </w:rPr>
              <w:t>2</w:t>
            </w:r>
            <w:r w:rsidRPr="00B45B4F">
              <w:rPr>
                <w:rFonts w:ascii="Verdana" w:hAnsi="Verdana"/>
                <w:bCs/>
                <w:color w:val="auto"/>
                <w:sz w:val="16"/>
                <w:szCs w:val="16"/>
                <w:lang w:val="bg-BG"/>
              </w:rPr>
              <w:t>.2</w:t>
            </w:r>
            <w:r>
              <w:rPr>
                <w:rFonts w:ascii="Verdana" w:hAnsi="Verdana"/>
                <w:bCs/>
                <w:color w:val="auto"/>
                <w:sz w:val="16"/>
                <w:szCs w:val="16"/>
                <w:lang w:val="bg-BG"/>
              </w:rPr>
              <w:t>)</w:t>
            </w:r>
            <w:proofErr w:type="spellStart"/>
            <w:r w:rsidRPr="00B45B4F">
              <w:rPr>
                <w:rFonts w:ascii="Verdana" w:hAnsi="Verdana"/>
                <w:color w:val="auto"/>
                <w:sz w:val="16"/>
                <w:szCs w:val="16"/>
                <w:lang w:val="bg-BG"/>
              </w:rPr>
              <w:t>Повишeн</w:t>
            </w:r>
            <w:proofErr w:type="spellEnd"/>
            <w:r w:rsidRPr="00B45B4F">
              <w:rPr>
                <w:rFonts w:ascii="Verdana" w:hAnsi="Verdana"/>
                <w:color w:val="auto"/>
                <w:sz w:val="16"/>
                <w:szCs w:val="16"/>
                <w:lang w:val="bg-BG"/>
              </w:rPr>
              <w:t xml:space="preserve"> среден резултат на </w:t>
            </w:r>
            <w:r w:rsidRPr="00B45B4F">
              <w:rPr>
                <w:rFonts w:ascii="Verdana" w:hAnsi="Verdana"/>
                <w:b/>
                <w:color w:val="auto"/>
                <w:sz w:val="16"/>
                <w:szCs w:val="16"/>
                <w:lang w:val="bg-BG"/>
              </w:rPr>
              <w:t>момчетата</w:t>
            </w:r>
            <w:r w:rsidRPr="00B45B4F">
              <w:rPr>
                <w:rFonts w:ascii="Verdana" w:hAnsi="Verdana"/>
                <w:color w:val="auto"/>
                <w:sz w:val="16"/>
                <w:szCs w:val="16"/>
                <w:lang w:val="bg-BG"/>
              </w:rPr>
              <w:t xml:space="preserve"> по PIRLS</w:t>
            </w:r>
            <w:r w:rsidRPr="00B45B4F">
              <w:rPr>
                <w:rFonts w:ascii="Verdana" w:hAnsi="Verdana"/>
                <w:b/>
                <w:bCs/>
                <w:color w:val="auto"/>
                <w:sz w:val="16"/>
                <w:szCs w:val="16"/>
                <w:lang w:val="bg-BG"/>
              </w:rPr>
              <w:t xml:space="preserve"> – </w:t>
            </w:r>
            <w:r w:rsidRPr="00B45B4F">
              <w:rPr>
                <w:rFonts w:ascii="Verdana" w:hAnsi="Verdana"/>
                <w:bCs/>
                <w:color w:val="auto"/>
                <w:sz w:val="16"/>
                <w:szCs w:val="16"/>
                <w:lang w:val="bg-BG"/>
              </w:rPr>
              <w:t xml:space="preserve">до 531 точки </w:t>
            </w:r>
          </w:p>
        </w:tc>
        <w:tc>
          <w:tcPr>
            <w:tcW w:w="2104" w:type="dxa"/>
          </w:tcPr>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lastRenderedPageBreak/>
              <w:t>1) Индикаторът е уместен от гледна точка на дейностите, но не е пряко обвързан с поставената специфична цел – по-подходящ е за следващата специфична цел. Той е национална цел по стратегия Европа 2020. Следва да се има предвид, че принос за постигането му ще имат и други програми, финансирани от ЕС, както и от националния бюджет. Съответно за установяване на приноса на ОПНОИР следва да има допълнителни изследвания по време на изпълнението й.</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Pr="00B45B4F"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 xml:space="preserve">2) Индикаторът е уместен, но в </w:t>
            </w:r>
            <w:r>
              <w:rPr>
                <w:rFonts w:ascii="Verdana" w:hAnsi="Verdana"/>
                <w:bCs/>
                <w:color w:val="000000"/>
                <w:sz w:val="16"/>
                <w:szCs w:val="16"/>
                <w:lang w:val="bg-BG" w:eastAsia="bg-BG"/>
              </w:rPr>
              <w:lastRenderedPageBreak/>
              <w:t xml:space="preserve">специфичната цел и дейностите следва ясно да се посочи, че те са насочени към ученици до 4 клас включително. </w:t>
            </w:r>
          </w:p>
        </w:tc>
        <w:tc>
          <w:tcPr>
            <w:tcW w:w="2080" w:type="dxa"/>
          </w:tcPr>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lastRenderedPageBreak/>
              <w:t>1) Индикаторът е ясен</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Pr="00B45B4F"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2) Индикаторът е ясен</w:t>
            </w:r>
          </w:p>
        </w:tc>
      </w:tr>
      <w:tr w:rsidR="007C44A3" w:rsidRPr="00B45B4F" w:rsidTr="003C4D02">
        <w:tc>
          <w:tcPr>
            <w:tcW w:w="1843" w:type="dxa"/>
          </w:tcPr>
          <w:p w:rsidR="00111C3E" w:rsidRPr="00B45B4F" w:rsidRDefault="00111C3E" w:rsidP="003C4D02">
            <w:pPr>
              <w:autoSpaceDE w:val="0"/>
              <w:autoSpaceDN w:val="0"/>
              <w:adjustRightInd w:val="0"/>
              <w:spacing w:after="0" w:line="240" w:lineRule="auto"/>
              <w:jc w:val="both"/>
              <w:rPr>
                <w:rFonts w:ascii="Verdana" w:hAnsi="Verdana"/>
                <w:sz w:val="16"/>
                <w:szCs w:val="16"/>
                <w:lang w:val="bg-BG"/>
              </w:rPr>
            </w:pPr>
            <w:r w:rsidRPr="00B45B4F">
              <w:rPr>
                <w:rFonts w:ascii="Verdana" w:hAnsi="Verdana"/>
                <w:sz w:val="16"/>
                <w:szCs w:val="16"/>
                <w:lang w:val="bg-BG"/>
              </w:rPr>
              <w:lastRenderedPageBreak/>
              <w:t>Обхващане и задържане на децата и учениците в образователната система чрез повишаване на мотивацията за учене на привлекателността на образователните институции</w:t>
            </w:r>
          </w:p>
        </w:tc>
        <w:tc>
          <w:tcPr>
            <w:tcW w:w="2299" w:type="dxa"/>
          </w:tcPr>
          <w:p w:rsidR="00111C3E" w:rsidRPr="00B45B4F" w:rsidRDefault="00111C3E" w:rsidP="003C4D02">
            <w:pPr>
              <w:pStyle w:val="Default"/>
              <w:jc w:val="both"/>
              <w:rPr>
                <w:rFonts w:ascii="Verdana" w:hAnsi="Verdana"/>
                <w:color w:val="auto"/>
                <w:sz w:val="16"/>
                <w:szCs w:val="16"/>
                <w:lang w:val="bg-BG"/>
              </w:rPr>
            </w:pPr>
            <w:r>
              <w:rPr>
                <w:rFonts w:ascii="Verdana" w:hAnsi="Verdana"/>
                <w:color w:val="auto"/>
                <w:sz w:val="16"/>
                <w:szCs w:val="16"/>
                <w:lang w:val="bg-BG"/>
              </w:rPr>
              <w:t xml:space="preserve">1) </w:t>
            </w:r>
            <w:r w:rsidRPr="00B45B4F">
              <w:rPr>
                <w:rFonts w:ascii="Verdana" w:hAnsi="Verdana"/>
                <w:color w:val="auto"/>
                <w:sz w:val="16"/>
                <w:szCs w:val="16"/>
                <w:lang w:val="bg-BG"/>
              </w:rPr>
              <w:t>Брой ученици, получили стипендии</w:t>
            </w:r>
          </w:p>
          <w:p w:rsidR="00111C3E" w:rsidRPr="00B45B4F" w:rsidRDefault="00111C3E" w:rsidP="003C4D02">
            <w:pPr>
              <w:pStyle w:val="Default"/>
              <w:jc w:val="both"/>
              <w:rPr>
                <w:rFonts w:ascii="Verdana" w:hAnsi="Verdana"/>
                <w:color w:val="auto"/>
                <w:sz w:val="16"/>
                <w:szCs w:val="16"/>
                <w:lang w:val="bg-BG"/>
              </w:rPr>
            </w:pPr>
          </w:p>
          <w:p w:rsidR="00111C3E" w:rsidRDefault="00111C3E" w:rsidP="003C4D02">
            <w:pPr>
              <w:widowControl w:val="0"/>
              <w:tabs>
                <w:tab w:val="left" w:pos="0"/>
                <w:tab w:val="right" w:pos="9214"/>
              </w:tabs>
              <w:spacing w:after="0" w:line="240" w:lineRule="auto"/>
              <w:jc w:val="both"/>
              <w:rPr>
                <w:rFonts w:ascii="Verdana" w:hAnsi="Verdana"/>
                <w:sz w:val="16"/>
                <w:szCs w:val="16"/>
                <w:lang w:val="bg-BG"/>
              </w:rPr>
            </w:pPr>
          </w:p>
          <w:p w:rsidR="00111C3E" w:rsidRPr="00B45B4F" w:rsidRDefault="00111C3E" w:rsidP="003C4D02">
            <w:pPr>
              <w:widowControl w:val="0"/>
              <w:tabs>
                <w:tab w:val="left" w:pos="0"/>
                <w:tab w:val="right" w:pos="9214"/>
              </w:tabs>
              <w:spacing w:after="0" w:line="240" w:lineRule="auto"/>
              <w:jc w:val="both"/>
              <w:rPr>
                <w:rFonts w:ascii="Verdana" w:hAnsi="Verdana"/>
                <w:sz w:val="16"/>
                <w:szCs w:val="16"/>
                <w:lang w:val="bg-BG"/>
              </w:rPr>
            </w:pPr>
            <w:r>
              <w:rPr>
                <w:rFonts w:ascii="Verdana" w:hAnsi="Verdana"/>
                <w:sz w:val="16"/>
                <w:szCs w:val="16"/>
                <w:lang w:val="bg-BG"/>
              </w:rPr>
              <w:t xml:space="preserve">2) </w:t>
            </w:r>
            <w:r w:rsidRPr="00B45B4F">
              <w:rPr>
                <w:rFonts w:ascii="Verdana" w:hAnsi="Verdana"/>
                <w:sz w:val="16"/>
                <w:szCs w:val="16"/>
                <w:lang w:val="bg-BG"/>
              </w:rPr>
              <w:t>Брой ученици, включени в извънкласни и извънучилищни дейности</w:t>
            </w:r>
          </w:p>
        </w:tc>
        <w:tc>
          <w:tcPr>
            <w:tcW w:w="2092" w:type="dxa"/>
          </w:tcPr>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1) Индикаторът е уместен</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Pr="00B45B4F" w:rsidRDefault="00111C3E" w:rsidP="0075224C">
            <w:pPr>
              <w:widowControl w:val="0"/>
              <w:tabs>
                <w:tab w:val="left" w:pos="0"/>
                <w:tab w:val="right" w:pos="9214"/>
              </w:tabs>
              <w:spacing w:after="0" w:line="240" w:lineRule="auto"/>
              <w:jc w:val="both"/>
              <w:rPr>
                <w:rFonts w:ascii="Verdana" w:hAnsi="Verdana"/>
                <w:bCs/>
                <w:color w:val="000000"/>
                <w:sz w:val="16"/>
                <w:szCs w:val="16"/>
                <w:lang w:val="bg-BG" w:eastAsia="bg-BG"/>
              </w:rPr>
            </w:pPr>
            <w:r w:rsidRPr="00C20440">
              <w:rPr>
                <w:rFonts w:ascii="Verdana" w:hAnsi="Verdana"/>
                <w:bCs/>
                <w:color w:val="000000"/>
                <w:sz w:val="16"/>
                <w:szCs w:val="16"/>
                <w:lang w:val="bg-BG" w:eastAsia="bg-BG"/>
              </w:rPr>
              <w:t>2) Индикаторът е уместен</w:t>
            </w:r>
          </w:p>
        </w:tc>
        <w:tc>
          <w:tcPr>
            <w:tcW w:w="2216" w:type="dxa"/>
          </w:tcPr>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1) Индикаторът е ясен</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Pr="00B45B4F"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2) -</w:t>
            </w:r>
          </w:p>
        </w:tc>
        <w:tc>
          <w:tcPr>
            <w:tcW w:w="2250" w:type="dxa"/>
          </w:tcPr>
          <w:p w:rsidR="00111C3E" w:rsidRPr="00B45B4F" w:rsidRDefault="00111C3E" w:rsidP="003C4D02">
            <w:pPr>
              <w:pStyle w:val="Default"/>
              <w:jc w:val="both"/>
              <w:rPr>
                <w:rFonts w:ascii="Verdana" w:hAnsi="Verdana"/>
                <w:bCs/>
                <w:color w:val="auto"/>
                <w:sz w:val="16"/>
                <w:szCs w:val="16"/>
                <w:lang w:val="bg-BG"/>
              </w:rPr>
            </w:pPr>
            <w:r>
              <w:rPr>
                <w:rFonts w:ascii="Verdana" w:hAnsi="Verdana"/>
                <w:bCs/>
                <w:color w:val="auto"/>
                <w:sz w:val="16"/>
                <w:szCs w:val="16"/>
                <w:lang w:val="bg-BG"/>
              </w:rPr>
              <w:t xml:space="preserve">1) </w:t>
            </w:r>
            <w:r w:rsidRPr="00B45B4F">
              <w:rPr>
                <w:rFonts w:ascii="Verdana" w:hAnsi="Verdana"/>
                <w:bCs/>
                <w:color w:val="auto"/>
                <w:sz w:val="16"/>
                <w:szCs w:val="16"/>
                <w:lang w:val="bg-BG"/>
              </w:rPr>
              <w:t>Най-много 11% ПНУ от лицата на възраст между 18 и 24 г.</w:t>
            </w:r>
          </w:p>
          <w:p w:rsidR="00111C3E" w:rsidRDefault="00111C3E" w:rsidP="003C4D02">
            <w:pPr>
              <w:pStyle w:val="Default"/>
              <w:jc w:val="both"/>
              <w:rPr>
                <w:rFonts w:ascii="Verdana" w:hAnsi="Verdana"/>
                <w:color w:val="auto"/>
                <w:sz w:val="16"/>
                <w:szCs w:val="16"/>
                <w:lang w:val="bg-BG"/>
              </w:rPr>
            </w:pPr>
          </w:p>
          <w:p w:rsidR="00111C3E" w:rsidRPr="00B45B4F" w:rsidRDefault="00111C3E" w:rsidP="003C4D02">
            <w:pPr>
              <w:pStyle w:val="Default"/>
              <w:jc w:val="both"/>
              <w:rPr>
                <w:rFonts w:ascii="Verdana" w:hAnsi="Verdana"/>
                <w:color w:val="auto"/>
                <w:sz w:val="16"/>
                <w:szCs w:val="16"/>
                <w:lang w:val="bg-BG"/>
              </w:rPr>
            </w:pPr>
            <w:r>
              <w:rPr>
                <w:rFonts w:ascii="Verdana" w:hAnsi="Verdana"/>
                <w:color w:val="auto"/>
                <w:sz w:val="16"/>
                <w:szCs w:val="16"/>
                <w:lang w:val="bg-BG"/>
              </w:rPr>
              <w:t>2)</w:t>
            </w:r>
            <w:r w:rsidRPr="00B45B4F">
              <w:rPr>
                <w:rFonts w:ascii="Verdana" w:hAnsi="Verdana"/>
                <w:color w:val="auto"/>
                <w:sz w:val="16"/>
                <w:szCs w:val="16"/>
                <w:lang w:val="bg-BG"/>
              </w:rPr>
              <w:t xml:space="preserve"> </w:t>
            </w:r>
            <w:proofErr w:type="spellStart"/>
            <w:r w:rsidRPr="00B45B4F">
              <w:rPr>
                <w:rFonts w:ascii="Verdana" w:hAnsi="Verdana"/>
                <w:color w:val="auto"/>
                <w:sz w:val="16"/>
                <w:szCs w:val="16"/>
                <w:lang w:val="bg-BG"/>
              </w:rPr>
              <w:t>Повишeн</w:t>
            </w:r>
            <w:proofErr w:type="spellEnd"/>
            <w:r w:rsidRPr="00B45B4F">
              <w:rPr>
                <w:rFonts w:ascii="Verdana" w:hAnsi="Verdana"/>
                <w:color w:val="auto"/>
                <w:sz w:val="16"/>
                <w:szCs w:val="16"/>
                <w:lang w:val="bg-BG"/>
              </w:rPr>
              <w:t xml:space="preserve"> среден резултат на българските четвъртокласници по PIRLS – до 540 точки</w:t>
            </w:r>
          </w:p>
          <w:p w:rsidR="00111C3E" w:rsidRPr="00B45B4F" w:rsidRDefault="00111C3E" w:rsidP="003C4D02">
            <w:pPr>
              <w:pStyle w:val="Default"/>
              <w:jc w:val="both"/>
              <w:rPr>
                <w:rFonts w:ascii="Verdana" w:hAnsi="Verdana"/>
                <w:color w:val="auto"/>
                <w:sz w:val="16"/>
                <w:szCs w:val="16"/>
                <w:lang w:val="bg-BG"/>
              </w:rPr>
            </w:pPr>
            <w:r>
              <w:rPr>
                <w:rFonts w:ascii="Verdana" w:hAnsi="Verdana"/>
                <w:color w:val="auto"/>
                <w:sz w:val="16"/>
                <w:szCs w:val="16"/>
                <w:lang w:val="bg-BG"/>
              </w:rPr>
              <w:t>2</w:t>
            </w:r>
            <w:r w:rsidRPr="00B45B4F">
              <w:rPr>
                <w:rFonts w:ascii="Verdana" w:hAnsi="Verdana"/>
                <w:color w:val="auto"/>
                <w:sz w:val="16"/>
                <w:szCs w:val="16"/>
                <w:lang w:val="bg-BG"/>
              </w:rPr>
              <w:t>.1</w:t>
            </w:r>
            <w:r>
              <w:rPr>
                <w:rFonts w:ascii="Verdana" w:hAnsi="Verdana"/>
                <w:color w:val="auto"/>
                <w:sz w:val="16"/>
                <w:szCs w:val="16"/>
                <w:lang w:val="bg-BG"/>
              </w:rPr>
              <w:t>)</w:t>
            </w:r>
            <w:r w:rsidRPr="00B45B4F">
              <w:rPr>
                <w:rFonts w:ascii="Verdana" w:hAnsi="Verdana"/>
                <w:color w:val="auto"/>
                <w:sz w:val="16"/>
                <w:szCs w:val="16"/>
                <w:lang w:val="bg-BG"/>
              </w:rPr>
              <w:t xml:space="preserve"> </w:t>
            </w:r>
            <w:proofErr w:type="spellStart"/>
            <w:r w:rsidRPr="00B45B4F">
              <w:rPr>
                <w:rFonts w:ascii="Verdana" w:hAnsi="Verdana"/>
                <w:color w:val="auto"/>
                <w:sz w:val="16"/>
                <w:szCs w:val="16"/>
                <w:lang w:val="bg-BG"/>
              </w:rPr>
              <w:t>Повишeн</w:t>
            </w:r>
            <w:proofErr w:type="spellEnd"/>
            <w:r w:rsidRPr="00B45B4F">
              <w:rPr>
                <w:rFonts w:ascii="Verdana" w:hAnsi="Verdana"/>
                <w:color w:val="auto"/>
                <w:sz w:val="16"/>
                <w:szCs w:val="16"/>
                <w:lang w:val="bg-BG"/>
              </w:rPr>
              <w:t xml:space="preserve"> среден резултат на момичетата по PIRLS – до 549 точки</w:t>
            </w:r>
          </w:p>
          <w:p w:rsidR="00111C3E" w:rsidRPr="00B45B4F" w:rsidRDefault="00111C3E" w:rsidP="003C4D02">
            <w:pPr>
              <w:pStyle w:val="Default"/>
              <w:jc w:val="both"/>
              <w:rPr>
                <w:rFonts w:ascii="Verdana" w:hAnsi="Verdana"/>
                <w:color w:val="auto"/>
                <w:sz w:val="16"/>
                <w:szCs w:val="16"/>
                <w:lang w:val="bg-BG"/>
              </w:rPr>
            </w:pPr>
            <w:r>
              <w:rPr>
                <w:rFonts w:ascii="Verdana" w:hAnsi="Verdana"/>
                <w:color w:val="auto"/>
                <w:sz w:val="16"/>
                <w:szCs w:val="16"/>
                <w:lang w:val="bg-BG"/>
              </w:rPr>
              <w:t>2</w:t>
            </w:r>
            <w:r w:rsidRPr="00B45B4F">
              <w:rPr>
                <w:rFonts w:ascii="Verdana" w:hAnsi="Verdana"/>
                <w:color w:val="auto"/>
                <w:sz w:val="16"/>
                <w:szCs w:val="16"/>
                <w:lang w:val="bg-BG"/>
              </w:rPr>
              <w:t>.2</w:t>
            </w:r>
            <w:r>
              <w:rPr>
                <w:rFonts w:ascii="Verdana" w:hAnsi="Verdana"/>
                <w:color w:val="auto"/>
                <w:sz w:val="16"/>
                <w:szCs w:val="16"/>
                <w:lang w:val="bg-BG"/>
              </w:rPr>
              <w:t>)</w:t>
            </w:r>
            <w:r w:rsidRPr="00B45B4F">
              <w:rPr>
                <w:rFonts w:ascii="Verdana" w:hAnsi="Verdana"/>
                <w:color w:val="auto"/>
                <w:sz w:val="16"/>
                <w:szCs w:val="16"/>
                <w:lang w:val="bg-BG"/>
              </w:rPr>
              <w:t xml:space="preserve"> </w:t>
            </w:r>
            <w:proofErr w:type="spellStart"/>
            <w:r w:rsidRPr="00B45B4F">
              <w:rPr>
                <w:rFonts w:ascii="Verdana" w:hAnsi="Verdana"/>
                <w:color w:val="auto"/>
                <w:sz w:val="16"/>
                <w:szCs w:val="16"/>
                <w:lang w:val="bg-BG"/>
              </w:rPr>
              <w:t>Повишeн</w:t>
            </w:r>
            <w:proofErr w:type="spellEnd"/>
            <w:r w:rsidRPr="00B45B4F">
              <w:rPr>
                <w:rFonts w:ascii="Verdana" w:hAnsi="Verdana"/>
                <w:color w:val="auto"/>
                <w:sz w:val="16"/>
                <w:szCs w:val="16"/>
                <w:lang w:val="bg-BG"/>
              </w:rPr>
              <w:t xml:space="preserve"> среден резултат на момчетата по PIRLS – до 531 точки</w:t>
            </w:r>
          </w:p>
          <w:p w:rsidR="00111C3E" w:rsidRPr="00B45B4F" w:rsidRDefault="00111C3E" w:rsidP="003C4D02">
            <w:pPr>
              <w:pStyle w:val="Default"/>
              <w:jc w:val="both"/>
              <w:rPr>
                <w:rFonts w:ascii="Verdana" w:hAnsi="Verdana"/>
                <w:bCs/>
                <w:color w:val="auto"/>
                <w:sz w:val="16"/>
                <w:szCs w:val="16"/>
                <w:lang w:val="bg-BG"/>
              </w:rPr>
            </w:pPr>
          </w:p>
        </w:tc>
        <w:tc>
          <w:tcPr>
            <w:tcW w:w="2104" w:type="dxa"/>
          </w:tcPr>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1) Вж. по-горе</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Pr="00B45B4F"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2) Индикаторът е по-подходящ за горната специфична цел</w:t>
            </w:r>
          </w:p>
        </w:tc>
        <w:tc>
          <w:tcPr>
            <w:tcW w:w="2080" w:type="dxa"/>
          </w:tcPr>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1) Вж. по-горе</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2) Вж. по-горе</w:t>
            </w:r>
          </w:p>
          <w:p w:rsidR="00111C3E" w:rsidRPr="00B45B4F"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tc>
      </w:tr>
      <w:tr w:rsidR="007C44A3" w:rsidRPr="00B45B4F" w:rsidTr="003C4D02">
        <w:tc>
          <w:tcPr>
            <w:tcW w:w="1843" w:type="dxa"/>
          </w:tcPr>
          <w:p w:rsidR="00111C3E" w:rsidRPr="00B45B4F" w:rsidRDefault="00111C3E" w:rsidP="003C4D02">
            <w:pPr>
              <w:autoSpaceDE w:val="0"/>
              <w:autoSpaceDN w:val="0"/>
              <w:adjustRightInd w:val="0"/>
              <w:spacing w:after="0" w:line="240" w:lineRule="auto"/>
              <w:jc w:val="both"/>
              <w:rPr>
                <w:rFonts w:ascii="Verdana" w:hAnsi="Verdana"/>
                <w:sz w:val="16"/>
                <w:szCs w:val="16"/>
                <w:lang w:val="bg-BG"/>
              </w:rPr>
            </w:pPr>
            <w:r w:rsidRPr="00B45B4F">
              <w:rPr>
                <w:rFonts w:ascii="Verdana" w:hAnsi="Verdana"/>
                <w:sz w:val="16"/>
                <w:szCs w:val="16"/>
                <w:lang w:val="bg-BG"/>
              </w:rPr>
              <w:lastRenderedPageBreak/>
              <w:t>Управление на качеството на образованието чрез усъвършенстване на системата за оценяване на резултатите от обучението и разработване и прилагане на ефективна система за мониторинг</w:t>
            </w:r>
          </w:p>
        </w:tc>
        <w:tc>
          <w:tcPr>
            <w:tcW w:w="2299" w:type="dxa"/>
          </w:tcPr>
          <w:p w:rsidR="00111C3E" w:rsidRPr="00B45B4F" w:rsidRDefault="00111C3E" w:rsidP="003C4D02">
            <w:pPr>
              <w:pStyle w:val="Default"/>
              <w:jc w:val="both"/>
              <w:rPr>
                <w:rFonts w:ascii="Verdana" w:hAnsi="Verdana"/>
                <w:bCs/>
                <w:color w:val="auto"/>
                <w:sz w:val="16"/>
                <w:szCs w:val="16"/>
                <w:lang w:val="bg-BG"/>
              </w:rPr>
            </w:pPr>
            <w:r>
              <w:rPr>
                <w:rFonts w:ascii="Verdana" w:hAnsi="Verdana"/>
                <w:bCs/>
                <w:color w:val="auto"/>
                <w:sz w:val="16"/>
                <w:szCs w:val="16"/>
                <w:lang w:val="bg-BG"/>
              </w:rPr>
              <w:t xml:space="preserve">1) </w:t>
            </w:r>
            <w:r w:rsidRPr="00B45B4F">
              <w:rPr>
                <w:rFonts w:ascii="Verdana" w:hAnsi="Verdana"/>
                <w:bCs/>
                <w:color w:val="auto"/>
                <w:sz w:val="16"/>
                <w:szCs w:val="16"/>
                <w:lang w:val="bg-BG"/>
              </w:rPr>
              <w:t>Брой ученици явили се на национално и регионално външно оценяване</w:t>
            </w:r>
          </w:p>
          <w:p w:rsidR="00111C3E" w:rsidRPr="00B45B4F" w:rsidRDefault="00111C3E" w:rsidP="003C4D02">
            <w:pPr>
              <w:pStyle w:val="Default"/>
              <w:jc w:val="both"/>
              <w:rPr>
                <w:rFonts w:ascii="Verdana" w:hAnsi="Verdana"/>
                <w:bCs/>
                <w:color w:val="auto"/>
                <w:sz w:val="16"/>
                <w:szCs w:val="16"/>
                <w:lang w:val="bg-BG"/>
              </w:rPr>
            </w:pPr>
          </w:p>
          <w:p w:rsidR="00111C3E" w:rsidRPr="00B45B4F" w:rsidRDefault="00111C3E" w:rsidP="003C4D02">
            <w:pPr>
              <w:pStyle w:val="Default"/>
              <w:jc w:val="both"/>
              <w:rPr>
                <w:rFonts w:ascii="Verdana" w:hAnsi="Verdana"/>
                <w:bCs/>
                <w:color w:val="auto"/>
                <w:sz w:val="16"/>
                <w:szCs w:val="16"/>
                <w:lang w:val="bg-BG"/>
              </w:rPr>
            </w:pPr>
            <w:r>
              <w:rPr>
                <w:rFonts w:ascii="Verdana" w:hAnsi="Verdana"/>
                <w:bCs/>
                <w:color w:val="auto"/>
                <w:sz w:val="16"/>
                <w:szCs w:val="16"/>
                <w:lang w:val="bg-BG"/>
              </w:rPr>
              <w:t xml:space="preserve">2) </w:t>
            </w:r>
            <w:r w:rsidRPr="00B45B4F">
              <w:rPr>
                <w:rFonts w:ascii="Verdana" w:hAnsi="Verdana"/>
                <w:bCs/>
                <w:color w:val="auto"/>
                <w:sz w:val="16"/>
                <w:szCs w:val="16"/>
                <w:lang w:val="bg-BG"/>
              </w:rPr>
              <w:t>Брой проведени национални и регионални външни оценявания</w:t>
            </w:r>
          </w:p>
          <w:p w:rsidR="00111C3E" w:rsidRPr="00B45B4F" w:rsidRDefault="00111C3E" w:rsidP="003C4D02">
            <w:pPr>
              <w:pStyle w:val="Default"/>
              <w:jc w:val="both"/>
              <w:rPr>
                <w:rFonts w:ascii="Verdana" w:hAnsi="Verdana"/>
                <w:bCs/>
                <w:color w:val="auto"/>
                <w:sz w:val="16"/>
                <w:szCs w:val="16"/>
                <w:lang w:val="bg-BG"/>
              </w:rPr>
            </w:pPr>
          </w:p>
          <w:p w:rsidR="00111C3E" w:rsidRPr="00B45B4F" w:rsidRDefault="00111C3E" w:rsidP="003C4D02">
            <w:pPr>
              <w:pStyle w:val="Default"/>
              <w:jc w:val="both"/>
              <w:rPr>
                <w:rFonts w:ascii="Verdana" w:hAnsi="Verdana"/>
                <w:color w:val="auto"/>
                <w:sz w:val="16"/>
                <w:szCs w:val="16"/>
                <w:lang w:val="bg-BG"/>
              </w:rPr>
            </w:pPr>
            <w:r>
              <w:rPr>
                <w:rFonts w:ascii="Verdana" w:hAnsi="Verdana"/>
                <w:sz w:val="16"/>
                <w:szCs w:val="16"/>
                <w:lang w:val="bg-BG"/>
              </w:rPr>
              <w:t xml:space="preserve">3) </w:t>
            </w:r>
            <w:r w:rsidRPr="00B45B4F">
              <w:rPr>
                <w:rFonts w:ascii="Verdana" w:hAnsi="Verdana"/>
                <w:sz w:val="16"/>
                <w:szCs w:val="16"/>
                <w:lang w:val="bg-BG"/>
              </w:rPr>
              <w:t xml:space="preserve">Брой педагогически специалисти преминали обучения </w:t>
            </w:r>
            <w:r w:rsidRPr="00B45B4F">
              <w:rPr>
                <w:rFonts w:ascii="Verdana" w:hAnsi="Verdana"/>
                <w:color w:val="auto"/>
                <w:sz w:val="16"/>
                <w:szCs w:val="16"/>
                <w:lang w:val="bg-BG"/>
              </w:rPr>
              <w:t>за прилагане на международни стандарти за оценяване на учениците</w:t>
            </w:r>
          </w:p>
          <w:p w:rsidR="00111C3E" w:rsidRPr="00B45B4F" w:rsidRDefault="00111C3E" w:rsidP="003C4D02">
            <w:pPr>
              <w:pStyle w:val="Default"/>
              <w:jc w:val="both"/>
              <w:rPr>
                <w:rFonts w:ascii="Verdana" w:hAnsi="Verdana"/>
                <w:color w:val="auto"/>
                <w:sz w:val="16"/>
                <w:szCs w:val="16"/>
                <w:lang w:val="bg-BG"/>
              </w:rPr>
            </w:pPr>
          </w:p>
        </w:tc>
        <w:tc>
          <w:tcPr>
            <w:tcW w:w="2092" w:type="dxa"/>
          </w:tcPr>
          <w:p w:rsidR="00111C3E" w:rsidRPr="00E659D1"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1-2) Следва да се уточни доколко тези индикатори са продукти или резултати от изпълнението на програмата</w:t>
            </w:r>
            <w:r>
              <w:rPr>
                <w:rFonts w:ascii="Verdana" w:hAnsi="Verdana"/>
                <w:bCs/>
                <w:color w:val="000000"/>
                <w:sz w:val="16"/>
                <w:szCs w:val="16"/>
                <w:lang w:eastAsia="bg-BG"/>
              </w:rPr>
              <w:t xml:space="preserve">. </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Pr="00B45B4F"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3) Индикаторът е уместен</w:t>
            </w:r>
          </w:p>
        </w:tc>
        <w:tc>
          <w:tcPr>
            <w:tcW w:w="2216" w:type="dxa"/>
          </w:tcPr>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 xml:space="preserve">1-2) Индикаторите са ясни, но се препоръчва да се разгледа възможността за използване на % вместо „брой“ </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Pr="00B45B4F"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3) Индикаторът е ясен</w:t>
            </w:r>
          </w:p>
        </w:tc>
        <w:tc>
          <w:tcPr>
            <w:tcW w:w="2250" w:type="dxa"/>
          </w:tcPr>
          <w:p w:rsidR="00111C3E" w:rsidRDefault="00111C3E" w:rsidP="003C4D02">
            <w:pPr>
              <w:pStyle w:val="CommentText"/>
              <w:spacing w:after="0" w:line="240" w:lineRule="auto"/>
              <w:rPr>
                <w:rFonts w:ascii="Verdana" w:hAnsi="Verdana"/>
                <w:sz w:val="16"/>
                <w:szCs w:val="16"/>
                <w:lang w:val="bg-BG"/>
              </w:rPr>
            </w:pPr>
            <w:r>
              <w:rPr>
                <w:rFonts w:ascii="Verdana" w:hAnsi="Verdana"/>
                <w:sz w:val="16"/>
                <w:szCs w:val="16"/>
                <w:lang w:val="bg-BG"/>
              </w:rPr>
              <w:t xml:space="preserve">1) </w:t>
            </w:r>
            <w:r w:rsidRPr="00B45B4F">
              <w:rPr>
                <w:rFonts w:ascii="Verdana" w:hAnsi="Verdana"/>
                <w:sz w:val="16"/>
                <w:szCs w:val="16"/>
                <w:lang w:val="bg-BG"/>
              </w:rPr>
              <w:t xml:space="preserve">Най-много 30% от 15-годишните ученици с умения, оценени под критичния втори праг в познавателна област „четене“ по скалата на PISA. </w:t>
            </w:r>
          </w:p>
          <w:p w:rsidR="00111C3E" w:rsidRPr="00B45B4F" w:rsidRDefault="00111C3E" w:rsidP="003C4D02">
            <w:pPr>
              <w:pStyle w:val="CommentText"/>
              <w:spacing w:after="0" w:line="240" w:lineRule="auto"/>
              <w:rPr>
                <w:rFonts w:ascii="Verdana" w:hAnsi="Verdana"/>
                <w:sz w:val="16"/>
                <w:szCs w:val="16"/>
                <w:lang w:val="bg-BG"/>
              </w:rPr>
            </w:pPr>
          </w:p>
          <w:p w:rsidR="00111C3E" w:rsidRDefault="00111C3E" w:rsidP="003C4D02">
            <w:pPr>
              <w:pStyle w:val="CommentText"/>
              <w:spacing w:after="0" w:line="240" w:lineRule="auto"/>
              <w:rPr>
                <w:rFonts w:ascii="Verdana" w:hAnsi="Verdana"/>
                <w:sz w:val="16"/>
                <w:szCs w:val="16"/>
                <w:lang w:val="bg-BG"/>
              </w:rPr>
            </w:pPr>
            <w:r>
              <w:rPr>
                <w:rFonts w:ascii="Verdana" w:hAnsi="Verdana"/>
                <w:sz w:val="16"/>
                <w:szCs w:val="16"/>
                <w:lang w:val="bg-BG"/>
              </w:rPr>
              <w:t xml:space="preserve">2) </w:t>
            </w:r>
            <w:r w:rsidRPr="00B45B4F">
              <w:rPr>
                <w:rFonts w:ascii="Verdana" w:hAnsi="Verdana"/>
                <w:sz w:val="16"/>
                <w:szCs w:val="16"/>
                <w:lang w:val="bg-BG"/>
              </w:rPr>
              <w:t xml:space="preserve">Най-много 35% от 15-годишните ученици с умения, оценени под критичния втори праг в познавателна област „математика“ по скалата на PISA. </w:t>
            </w:r>
          </w:p>
          <w:p w:rsidR="00111C3E" w:rsidRPr="00B45B4F" w:rsidRDefault="00111C3E" w:rsidP="003C4D02">
            <w:pPr>
              <w:pStyle w:val="CommentText"/>
              <w:spacing w:after="0" w:line="240" w:lineRule="auto"/>
              <w:rPr>
                <w:rFonts w:ascii="Verdana" w:hAnsi="Verdana"/>
                <w:sz w:val="16"/>
                <w:szCs w:val="16"/>
                <w:lang w:val="bg-BG"/>
              </w:rPr>
            </w:pPr>
          </w:p>
          <w:p w:rsidR="00111C3E" w:rsidRPr="00B45B4F" w:rsidRDefault="00111C3E" w:rsidP="003C4D02">
            <w:pPr>
              <w:pStyle w:val="CommentText"/>
              <w:spacing w:after="0" w:line="240" w:lineRule="auto"/>
              <w:rPr>
                <w:rFonts w:ascii="Verdana" w:hAnsi="Verdana"/>
                <w:sz w:val="16"/>
                <w:szCs w:val="16"/>
                <w:lang w:val="bg-BG"/>
              </w:rPr>
            </w:pPr>
            <w:r>
              <w:rPr>
                <w:rFonts w:ascii="Verdana" w:hAnsi="Verdana"/>
                <w:sz w:val="16"/>
                <w:szCs w:val="16"/>
                <w:lang w:val="bg-BG"/>
              </w:rPr>
              <w:t xml:space="preserve">3) </w:t>
            </w:r>
            <w:r w:rsidRPr="00B45B4F">
              <w:rPr>
                <w:rFonts w:ascii="Verdana" w:hAnsi="Verdana"/>
                <w:sz w:val="16"/>
                <w:szCs w:val="16"/>
                <w:lang w:val="bg-BG"/>
              </w:rPr>
              <w:t xml:space="preserve">Най-много 30% от 15-годишните ученици с умения, оценени под критичния втори праг в познавателна област „природни науки“ по скалата на PISA. </w:t>
            </w:r>
          </w:p>
          <w:p w:rsidR="00111C3E" w:rsidRPr="00B45B4F" w:rsidRDefault="00111C3E" w:rsidP="003C4D02">
            <w:pPr>
              <w:pStyle w:val="Default"/>
              <w:jc w:val="both"/>
              <w:rPr>
                <w:rFonts w:ascii="Verdana" w:hAnsi="Verdana"/>
                <w:bCs/>
                <w:color w:val="auto"/>
                <w:sz w:val="16"/>
                <w:szCs w:val="16"/>
                <w:lang w:val="bg-BG"/>
              </w:rPr>
            </w:pPr>
          </w:p>
        </w:tc>
        <w:tc>
          <w:tcPr>
            <w:tcW w:w="2104" w:type="dxa"/>
          </w:tcPr>
          <w:p w:rsidR="00111C3E" w:rsidRPr="00B45B4F"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1-3) Индикаторите не са обвързани със специфичната цел и дейностите, които се свеждат по-скоро до подобряване на системата за оценяване, отколкото до подобряване качеството на образованието</w:t>
            </w:r>
          </w:p>
        </w:tc>
        <w:tc>
          <w:tcPr>
            <w:tcW w:w="2080" w:type="dxa"/>
          </w:tcPr>
          <w:p w:rsidR="00111C3E" w:rsidRPr="00B45B4F"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w:t>
            </w:r>
          </w:p>
        </w:tc>
      </w:tr>
      <w:tr w:rsidR="007C44A3" w:rsidRPr="00B45B4F" w:rsidTr="003C4D02">
        <w:tc>
          <w:tcPr>
            <w:tcW w:w="1843" w:type="dxa"/>
          </w:tcPr>
          <w:p w:rsidR="00111C3E" w:rsidRPr="00B45B4F" w:rsidRDefault="00111C3E" w:rsidP="003C4D02">
            <w:pPr>
              <w:autoSpaceDE w:val="0"/>
              <w:autoSpaceDN w:val="0"/>
              <w:adjustRightInd w:val="0"/>
              <w:spacing w:after="0" w:line="240" w:lineRule="auto"/>
              <w:jc w:val="both"/>
              <w:rPr>
                <w:rFonts w:ascii="Verdana" w:hAnsi="Verdana"/>
                <w:sz w:val="16"/>
                <w:szCs w:val="16"/>
                <w:lang w:val="bg-BG"/>
              </w:rPr>
            </w:pPr>
            <w:r w:rsidRPr="00B45B4F">
              <w:rPr>
                <w:rFonts w:ascii="Verdana" w:hAnsi="Verdana"/>
                <w:sz w:val="16"/>
                <w:szCs w:val="16"/>
                <w:lang w:val="bg-BG"/>
              </w:rPr>
              <w:t>Подобряване на знанията, уменията и възможностите за реализация на завършилите висше образование</w:t>
            </w:r>
          </w:p>
        </w:tc>
        <w:tc>
          <w:tcPr>
            <w:tcW w:w="2299" w:type="dxa"/>
          </w:tcPr>
          <w:p w:rsidR="00111C3E" w:rsidRDefault="00111C3E" w:rsidP="003C4D02">
            <w:pPr>
              <w:pStyle w:val="Default"/>
              <w:jc w:val="both"/>
              <w:rPr>
                <w:rFonts w:ascii="Verdana" w:hAnsi="Verdana"/>
                <w:sz w:val="16"/>
                <w:szCs w:val="16"/>
                <w:lang w:val="bg-BG"/>
              </w:rPr>
            </w:pPr>
            <w:r>
              <w:rPr>
                <w:rFonts w:ascii="Verdana" w:hAnsi="Verdana"/>
                <w:sz w:val="16"/>
                <w:szCs w:val="16"/>
              </w:rPr>
              <w:t xml:space="preserve">1) </w:t>
            </w:r>
            <w:r w:rsidRPr="00B45B4F">
              <w:rPr>
                <w:rFonts w:ascii="Verdana" w:hAnsi="Verdana"/>
                <w:sz w:val="16"/>
                <w:szCs w:val="16"/>
                <w:lang w:val="bg-BG"/>
              </w:rPr>
              <w:t>Брой студенти обучаващи се по нови учебни планове и програми</w:t>
            </w:r>
          </w:p>
          <w:p w:rsidR="00111C3E" w:rsidRDefault="00111C3E" w:rsidP="003C4D02">
            <w:pPr>
              <w:pStyle w:val="Default"/>
              <w:jc w:val="both"/>
              <w:rPr>
                <w:rFonts w:ascii="Verdana" w:hAnsi="Verdana"/>
                <w:sz w:val="16"/>
                <w:szCs w:val="16"/>
                <w:lang w:val="bg-BG"/>
              </w:rPr>
            </w:pPr>
          </w:p>
          <w:p w:rsidR="00111C3E" w:rsidRDefault="00111C3E" w:rsidP="003C4D02">
            <w:pPr>
              <w:pStyle w:val="Default"/>
              <w:jc w:val="both"/>
              <w:rPr>
                <w:rFonts w:ascii="Verdana" w:hAnsi="Verdana"/>
                <w:sz w:val="16"/>
                <w:szCs w:val="16"/>
                <w:lang w:val="bg-BG"/>
              </w:rPr>
            </w:pPr>
          </w:p>
          <w:p w:rsidR="00111C3E" w:rsidRPr="00B45B4F" w:rsidRDefault="00111C3E" w:rsidP="003C4D02">
            <w:pPr>
              <w:pStyle w:val="Default"/>
              <w:jc w:val="both"/>
              <w:rPr>
                <w:rFonts w:ascii="Verdana" w:hAnsi="Verdana"/>
                <w:sz w:val="16"/>
                <w:szCs w:val="16"/>
                <w:lang w:val="bg-BG"/>
              </w:rPr>
            </w:pPr>
          </w:p>
          <w:p w:rsidR="00111C3E" w:rsidRPr="00B45B4F" w:rsidRDefault="00111C3E" w:rsidP="003C4D02">
            <w:pPr>
              <w:pStyle w:val="Default"/>
              <w:jc w:val="both"/>
              <w:rPr>
                <w:rFonts w:ascii="Verdana" w:hAnsi="Verdana"/>
                <w:sz w:val="16"/>
                <w:szCs w:val="16"/>
                <w:lang w:val="bg-BG"/>
              </w:rPr>
            </w:pPr>
          </w:p>
          <w:p w:rsidR="00111C3E" w:rsidRPr="00B45B4F" w:rsidRDefault="00111C3E" w:rsidP="003C4D02">
            <w:pPr>
              <w:pStyle w:val="Default"/>
              <w:jc w:val="both"/>
              <w:rPr>
                <w:rFonts w:ascii="Verdana" w:hAnsi="Verdana"/>
                <w:sz w:val="16"/>
                <w:szCs w:val="16"/>
                <w:lang w:val="bg-BG"/>
              </w:rPr>
            </w:pPr>
            <w:r>
              <w:rPr>
                <w:rFonts w:ascii="Verdana" w:hAnsi="Verdana"/>
                <w:sz w:val="16"/>
                <w:szCs w:val="16"/>
              </w:rPr>
              <w:t xml:space="preserve">2) </w:t>
            </w:r>
            <w:r w:rsidRPr="00B45B4F">
              <w:rPr>
                <w:rFonts w:ascii="Verdana" w:hAnsi="Verdana"/>
                <w:sz w:val="16"/>
                <w:szCs w:val="16"/>
                <w:lang w:val="bg-BG"/>
              </w:rPr>
              <w:t>Брой разработени нови учебни планове и програми</w:t>
            </w:r>
          </w:p>
          <w:p w:rsidR="00111C3E" w:rsidRPr="00B45B4F" w:rsidRDefault="00111C3E" w:rsidP="003C4D02">
            <w:pPr>
              <w:pStyle w:val="Default"/>
              <w:jc w:val="both"/>
              <w:rPr>
                <w:rFonts w:ascii="Verdana" w:hAnsi="Verdana"/>
                <w:sz w:val="16"/>
                <w:szCs w:val="16"/>
                <w:lang w:val="bg-BG"/>
              </w:rPr>
            </w:pPr>
          </w:p>
          <w:p w:rsidR="00111C3E" w:rsidRPr="00B45B4F" w:rsidRDefault="00111C3E" w:rsidP="003C4D02">
            <w:pPr>
              <w:pStyle w:val="Default"/>
              <w:jc w:val="both"/>
              <w:rPr>
                <w:rFonts w:ascii="Verdana" w:hAnsi="Verdana"/>
                <w:bCs/>
                <w:color w:val="auto"/>
                <w:sz w:val="16"/>
                <w:szCs w:val="16"/>
                <w:lang w:val="bg-BG"/>
              </w:rPr>
            </w:pPr>
            <w:r>
              <w:rPr>
                <w:rFonts w:ascii="Verdana" w:hAnsi="Verdana"/>
                <w:sz w:val="16"/>
                <w:szCs w:val="16"/>
              </w:rPr>
              <w:lastRenderedPageBreak/>
              <w:t xml:space="preserve">3) </w:t>
            </w:r>
            <w:r w:rsidRPr="00B45B4F">
              <w:rPr>
                <w:rFonts w:ascii="Verdana" w:hAnsi="Verdana"/>
                <w:sz w:val="16"/>
                <w:szCs w:val="16"/>
                <w:lang w:val="bg-BG"/>
              </w:rPr>
              <w:t>Брой обучени преподаватели</w:t>
            </w:r>
          </w:p>
        </w:tc>
        <w:tc>
          <w:tcPr>
            <w:tcW w:w="2092" w:type="dxa"/>
          </w:tcPr>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lastRenderedPageBreak/>
              <w:t>1) Индикаторът е уместен</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2) Индикаторът е уместен</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Pr="00B45B4F"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 xml:space="preserve">3) Индикаторът не е пряко обвързан с </w:t>
            </w:r>
            <w:r>
              <w:rPr>
                <w:rFonts w:ascii="Verdana" w:hAnsi="Verdana"/>
                <w:bCs/>
                <w:color w:val="000000"/>
                <w:sz w:val="16"/>
                <w:szCs w:val="16"/>
                <w:lang w:val="bg-BG" w:eastAsia="bg-BG"/>
              </w:rPr>
              <w:lastRenderedPageBreak/>
              <w:t>дейностите</w:t>
            </w:r>
          </w:p>
        </w:tc>
        <w:tc>
          <w:tcPr>
            <w:tcW w:w="2216" w:type="dxa"/>
          </w:tcPr>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lastRenderedPageBreak/>
              <w:t>1) Индикаторът е ясен, но се препоръчва да бъде обсъдена възможността за използване на %, вместо на „брой“</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2) Индикаторът е ясен</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Pr="00B45B4F"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lastRenderedPageBreak/>
              <w:t>3) -</w:t>
            </w:r>
          </w:p>
        </w:tc>
        <w:tc>
          <w:tcPr>
            <w:tcW w:w="2250" w:type="dxa"/>
          </w:tcPr>
          <w:p w:rsidR="00111C3E" w:rsidRPr="00B45B4F" w:rsidRDefault="00111C3E" w:rsidP="003C4D02">
            <w:pPr>
              <w:pStyle w:val="CommentText"/>
              <w:spacing w:after="0" w:line="240" w:lineRule="auto"/>
              <w:rPr>
                <w:rFonts w:ascii="Verdana" w:hAnsi="Verdana"/>
                <w:sz w:val="16"/>
                <w:szCs w:val="16"/>
                <w:lang w:val="bg-BG"/>
              </w:rPr>
            </w:pPr>
            <w:r w:rsidRPr="00B45B4F">
              <w:rPr>
                <w:rFonts w:ascii="Verdana" w:hAnsi="Verdana"/>
                <w:sz w:val="16"/>
                <w:szCs w:val="16"/>
                <w:lang w:val="bg-BG"/>
              </w:rPr>
              <w:lastRenderedPageBreak/>
              <w:t>Дял на завършилите висше образование, които са започнали работа през първата година след завършването</w:t>
            </w:r>
          </w:p>
        </w:tc>
        <w:tc>
          <w:tcPr>
            <w:tcW w:w="2104" w:type="dxa"/>
          </w:tcPr>
          <w:p w:rsidR="00111C3E" w:rsidRPr="00B45B4F"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Индикаторът е уместен</w:t>
            </w:r>
          </w:p>
        </w:tc>
        <w:tc>
          <w:tcPr>
            <w:tcW w:w="2080" w:type="dxa"/>
          </w:tcPr>
          <w:p w:rsidR="00111C3E" w:rsidRPr="00B45B4F"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Индикаторът е ясен</w:t>
            </w:r>
          </w:p>
        </w:tc>
      </w:tr>
      <w:tr w:rsidR="007C44A3" w:rsidRPr="00B45B4F" w:rsidTr="003C4D02">
        <w:tc>
          <w:tcPr>
            <w:tcW w:w="1843" w:type="dxa"/>
          </w:tcPr>
          <w:p w:rsidR="00111C3E" w:rsidRPr="00B45B4F" w:rsidRDefault="00111C3E" w:rsidP="003C4D02">
            <w:pPr>
              <w:autoSpaceDE w:val="0"/>
              <w:autoSpaceDN w:val="0"/>
              <w:adjustRightInd w:val="0"/>
              <w:spacing w:after="0" w:line="240" w:lineRule="auto"/>
              <w:jc w:val="both"/>
              <w:rPr>
                <w:rFonts w:ascii="Verdana" w:hAnsi="Verdana"/>
                <w:sz w:val="16"/>
                <w:szCs w:val="16"/>
                <w:lang w:val="bg-BG"/>
              </w:rPr>
            </w:pPr>
            <w:r w:rsidRPr="00B45B4F">
              <w:rPr>
                <w:rFonts w:ascii="Verdana" w:hAnsi="Verdana"/>
                <w:sz w:val="16"/>
                <w:szCs w:val="16"/>
                <w:lang w:val="bg-BG"/>
              </w:rPr>
              <w:lastRenderedPageBreak/>
              <w:t>Оптимизиране дейността на висшите училища</w:t>
            </w:r>
          </w:p>
        </w:tc>
        <w:tc>
          <w:tcPr>
            <w:tcW w:w="2299" w:type="dxa"/>
          </w:tcPr>
          <w:p w:rsidR="00111C3E" w:rsidRPr="00B45B4F" w:rsidRDefault="00111C3E" w:rsidP="003C4D02">
            <w:pPr>
              <w:pStyle w:val="Default"/>
              <w:jc w:val="both"/>
              <w:rPr>
                <w:rFonts w:ascii="Verdana" w:hAnsi="Verdana"/>
                <w:sz w:val="16"/>
                <w:szCs w:val="16"/>
                <w:lang w:val="bg-BG"/>
              </w:rPr>
            </w:pPr>
            <w:r w:rsidRPr="00B45B4F">
              <w:rPr>
                <w:rFonts w:ascii="Verdana" w:hAnsi="Verdana"/>
                <w:color w:val="auto"/>
                <w:sz w:val="16"/>
                <w:szCs w:val="16"/>
                <w:lang w:val="bg-BG"/>
              </w:rPr>
              <w:t>Брой висши училища, участващи в инициативи за консолидация</w:t>
            </w:r>
          </w:p>
        </w:tc>
        <w:tc>
          <w:tcPr>
            <w:tcW w:w="2092" w:type="dxa"/>
          </w:tcPr>
          <w:p w:rsidR="00111C3E" w:rsidRPr="00B45B4F"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Индикаторът не е пряко обвързан с предвидените дейности</w:t>
            </w:r>
          </w:p>
        </w:tc>
        <w:tc>
          <w:tcPr>
            <w:tcW w:w="2216" w:type="dxa"/>
          </w:tcPr>
          <w:p w:rsidR="00111C3E" w:rsidRPr="00B45B4F"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Индикаторът е неясен</w:t>
            </w:r>
          </w:p>
        </w:tc>
        <w:tc>
          <w:tcPr>
            <w:tcW w:w="2250" w:type="dxa"/>
          </w:tcPr>
          <w:p w:rsidR="00111C3E" w:rsidRPr="00B45B4F" w:rsidRDefault="00111C3E" w:rsidP="003C4D02">
            <w:pPr>
              <w:pStyle w:val="Default"/>
              <w:jc w:val="both"/>
              <w:rPr>
                <w:rFonts w:ascii="Verdana" w:hAnsi="Verdana"/>
                <w:bCs/>
                <w:color w:val="auto"/>
                <w:sz w:val="16"/>
                <w:szCs w:val="16"/>
                <w:lang w:val="bg-BG"/>
              </w:rPr>
            </w:pPr>
            <w:r>
              <w:rPr>
                <w:rFonts w:ascii="Verdana" w:hAnsi="Verdana"/>
                <w:bCs/>
                <w:color w:val="auto"/>
                <w:sz w:val="16"/>
                <w:szCs w:val="16"/>
                <w:lang w:val="bg-BG"/>
              </w:rPr>
              <w:t xml:space="preserve">1) </w:t>
            </w:r>
            <w:r w:rsidRPr="00B45B4F">
              <w:rPr>
                <w:rFonts w:ascii="Verdana" w:hAnsi="Verdana"/>
                <w:bCs/>
                <w:color w:val="auto"/>
                <w:sz w:val="16"/>
                <w:szCs w:val="16"/>
                <w:lang w:val="bg-BG"/>
              </w:rPr>
              <w:t>Брой ВУ с усъвършенствана система за външно и вътрешно оценяване</w:t>
            </w:r>
          </w:p>
          <w:p w:rsidR="00111C3E" w:rsidRPr="00B45B4F" w:rsidRDefault="00111C3E" w:rsidP="003C4D02">
            <w:pPr>
              <w:pStyle w:val="Default"/>
              <w:jc w:val="both"/>
              <w:rPr>
                <w:rFonts w:ascii="Verdana" w:hAnsi="Verdana"/>
                <w:bCs/>
                <w:color w:val="auto"/>
                <w:sz w:val="16"/>
                <w:szCs w:val="16"/>
                <w:lang w:val="bg-BG"/>
              </w:rPr>
            </w:pPr>
          </w:p>
          <w:p w:rsidR="00111C3E" w:rsidRPr="00B45B4F" w:rsidRDefault="00111C3E" w:rsidP="003C4D02">
            <w:pPr>
              <w:pStyle w:val="CommentText"/>
              <w:spacing w:after="0" w:line="240" w:lineRule="auto"/>
              <w:rPr>
                <w:rFonts w:ascii="Verdana" w:hAnsi="Verdana"/>
                <w:sz w:val="16"/>
                <w:szCs w:val="16"/>
                <w:lang w:val="bg-BG"/>
              </w:rPr>
            </w:pPr>
            <w:r w:rsidRPr="00C6672A">
              <w:rPr>
                <w:rFonts w:ascii="Verdana" w:hAnsi="Verdana"/>
                <w:bCs/>
                <w:sz w:val="16"/>
                <w:szCs w:val="16"/>
                <w:lang w:val="bg-BG"/>
              </w:rPr>
              <w:t>2)</w:t>
            </w:r>
            <w:r w:rsidRPr="00B45B4F">
              <w:rPr>
                <w:rFonts w:ascii="Verdana" w:hAnsi="Verdana"/>
                <w:bCs/>
                <w:sz w:val="16"/>
                <w:szCs w:val="16"/>
                <w:lang w:val="bg-BG"/>
              </w:rPr>
              <w:t>Повишен с най-малко…..процента дял от финансирането за висшите училища, който се формира на база показателите от рейтинговата система.</w:t>
            </w:r>
          </w:p>
        </w:tc>
        <w:tc>
          <w:tcPr>
            <w:tcW w:w="2104" w:type="dxa"/>
          </w:tcPr>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1) Индикаторът има характер на индикатор за продукт</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2) Индикаторът е уместен</w:t>
            </w:r>
          </w:p>
          <w:p w:rsidR="00111C3E" w:rsidRPr="00B45B4F"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tc>
        <w:tc>
          <w:tcPr>
            <w:tcW w:w="2080" w:type="dxa"/>
          </w:tcPr>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1) Индикаторът е ясен</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2) Индикаторът е ясен</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Pr="00B45B4F"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tc>
      </w:tr>
      <w:tr w:rsidR="007C44A3" w:rsidRPr="00B45B4F" w:rsidTr="003C4D02">
        <w:tc>
          <w:tcPr>
            <w:tcW w:w="1843" w:type="dxa"/>
          </w:tcPr>
          <w:p w:rsidR="00111C3E" w:rsidRPr="00B45B4F" w:rsidRDefault="00111C3E" w:rsidP="003C4D02">
            <w:pPr>
              <w:autoSpaceDE w:val="0"/>
              <w:autoSpaceDN w:val="0"/>
              <w:adjustRightInd w:val="0"/>
              <w:spacing w:after="0" w:line="240" w:lineRule="auto"/>
              <w:jc w:val="both"/>
              <w:rPr>
                <w:rFonts w:ascii="Verdana" w:hAnsi="Verdana"/>
                <w:sz w:val="16"/>
                <w:szCs w:val="16"/>
                <w:lang w:val="bg-BG"/>
              </w:rPr>
            </w:pPr>
            <w:r w:rsidRPr="00B45B4F">
              <w:rPr>
                <w:rFonts w:ascii="Verdana" w:hAnsi="Verdana"/>
                <w:sz w:val="16"/>
                <w:szCs w:val="16"/>
                <w:lang w:val="bg-BG"/>
              </w:rPr>
              <w:t>Подобряване на достъпа до висше образование и увеличаване на броя на завършилите висше образование между 30-34 годишните до 36 % до 2020 г</w:t>
            </w:r>
          </w:p>
        </w:tc>
        <w:tc>
          <w:tcPr>
            <w:tcW w:w="2299" w:type="dxa"/>
          </w:tcPr>
          <w:p w:rsidR="00111C3E" w:rsidRDefault="00111C3E" w:rsidP="003C4D02">
            <w:pPr>
              <w:pStyle w:val="Default"/>
              <w:jc w:val="both"/>
              <w:rPr>
                <w:rFonts w:ascii="Verdana" w:hAnsi="Verdana"/>
                <w:color w:val="auto"/>
                <w:sz w:val="16"/>
                <w:szCs w:val="16"/>
                <w:lang w:val="bg-BG"/>
              </w:rPr>
            </w:pPr>
            <w:r>
              <w:rPr>
                <w:rFonts w:ascii="Verdana" w:hAnsi="Verdana"/>
                <w:color w:val="auto"/>
                <w:sz w:val="16"/>
                <w:szCs w:val="16"/>
                <w:lang w:val="bg-BG"/>
              </w:rPr>
              <w:t xml:space="preserve">1) </w:t>
            </w:r>
            <w:r w:rsidRPr="00B45B4F">
              <w:rPr>
                <w:rFonts w:ascii="Verdana" w:hAnsi="Verdana"/>
                <w:color w:val="auto"/>
                <w:sz w:val="16"/>
                <w:szCs w:val="16"/>
                <w:lang w:val="bg-BG"/>
              </w:rPr>
              <w:t>Брой студенти, получили стипендии и специални стипендии</w:t>
            </w:r>
          </w:p>
          <w:p w:rsidR="00111C3E" w:rsidRDefault="00111C3E" w:rsidP="003C4D02">
            <w:pPr>
              <w:pStyle w:val="Default"/>
              <w:jc w:val="both"/>
              <w:rPr>
                <w:rFonts w:ascii="Verdana" w:hAnsi="Verdana"/>
                <w:color w:val="auto"/>
                <w:sz w:val="16"/>
                <w:szCs w:val="16"/>
                <w:lang w:val="bg-BG"/>
              </w:rPr>
            </w:pPr>
          </w:p>
          <w:p w:rsidR="00111C3E" w:rsidRPr="00B45B4F" w:rsidRDefault="00111C3E" w:rsidP="003C4D02">
            <w:pPr>
              <w:pStyle w:val="Default"/>
              <w:jc w:val="both"/>
              <w:rPr>
                <w:rFonts w:ascii="Verdana" w:hAnsi="Verdana"/>
                <w:color w:val="auto"/>
                <w:sz w:val="16"/>
                <w:szCs w:val="16"/>
                <w:lang w:val="bg-BG"/>
              </w:rPr>
            </w:pPr>
          </w:p>
          <w:p w:rsidR="00111C3E" w:rsidRDefault="00111C3E" w:rsidP="003C4D02">
            <w:pPr>
              <w:pStyle w:val="Default"/>
              <w:jc w:val="both"/>
              <w:rPr>
                <w:rFonts w:ascii="Verdana" w:hAnsi="Verdana"/>
                <w:color w:val="auto"/>
                <w:sz w:val="16"/>
                <w:szCs w:val="16"/>
                <w:lang w:val="bg-BG"/>
              </w:rPr>
            </w:pPr>
          </w:p>
          <w:p w:rsidR="00111C3E" w:rsidRPr="00B45B4F" w:rsidRDefault="00111C3E" w:rsidP="003C4D02">
            <w:pPr>
              <w:pStyle w:val="Default"/>
              <w:jc w:val="both"/>
              <w:rPr>
                <w:rFonts w:ascii="Verdana" w:hAnsi="Verdana"/>
                <w:color w:val="auto"/>
                <w:sz w:val="16"/>
                <w:szCs w:val="16"/>
                <w:lang w:val="bg-BG"/>
              </w:rPr>
            </w:pPr>
          </w:p>
          <w:p w:rsidR="00111C3E" w:rsidRPr="00B45B4F" w:rsidRDefault="00111C3E" w:rsidP="003C4D02">
            <w:pPr>
              <w:pStyle w:val="Default"/>
              <w:jc w:val="both"/>
              <w:rPr>
                <w:rFonts w:ascii="Verdana" w:hAnsi="Verdana"/>
                <w:color w:val="auto"/>
                <w:sz w:val="16"/>
                <w:szCs w:val="16"/>
                <w:lang w:val="bg-BG"/>
              </w:rPr>
            </w:pPr>
            <w:r>
              <w:rPr>
                <w:rFonts w:ascii="Verdana" w:hAnsi="Verdana"/>
                <w:bCs/>
                <w:color w:val="auto"/>
                <w:sz w:val="16"/>
                <w:szCs w:val="16"/>
                <w:lang w:val="bg-BG"/>
              </w:rPr>
              <w:t xml:space="preserve">2) </w:t>
            </w:r>
            <w:r w:rsidRPr="00B45B4F">
              <w:rPr>
                <w:rFonts w:ascii="Verdana" w:hAnsi="Verdana"/>
                <w:bCs/>
                <w:color w:val="auto"/>
                <w:sz w:val="16"/>
                <w:szCs w:val="16"/>
                <w:lang w:val="bg-BG"/>
              </w:rPr>
              <w:t>Брой студенти, получили студентско кредитиране</w:t>
            </w:r>
          </w:p>
        </w:tc>
        <w:tc>
          <w:tcPr>
            <w:tcW w:w="2092" w:type="dxa"/>
          </w:tcPr>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1) Индикаторът е уместен</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2) Индикаторът може да бъде уместен, ако по програмата ще се отпускат студентски кредити. В случай, че няма да бъдат отпускани кредити, тогава би могъл да се ползва като индикатор за резултат.</w:t>
            </w:r>
          </w:p>
          <w:p w:rsidR="00111C3E" w:rsidRPr="00B45B4F"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tc>
        <w:tc>
          <w:tcPr>
            <w:tcW w:w="2216" w:type="dxa"/>
          </w:tcPr>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1) Индикаторът е ясен, като следва да се уточни какво се има предвид под „специални стипендии“</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Pr="00B45B4F"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2) Индикаторът е ясен</w:t>
            </w:r>
          </w:p>
        </w:tc>
        <w:tc>
          <w:tcPr>
            <w:tcW w:w="2250" w:type="dxa"/>
          </w:tcPr>
          <w:p w:rsidR="00111C3E" w:rsidRPr="00B45B4F" w:rsidRDefault="00111C3E" w:rsidP="003C4D02">
            <w:pPr>
              <w:pStyle w:val="Default"/>
              <w:jc w:val="both"/>
              <w:rPr>
                <w:rFonts w:ascii="Verdana" w:hAnsi="Verdana"/>
                <w:color w:val="auto"/>
                <w:sz w:val="16"/>
                <w:szCs w:val="16"/>
                <w:lang w:val="bg-BG"/>
              </w:rPr>
            </w:pPr>
            <w:r w:rsidRPr="00B45B4F">
              <w:rPr>
                <w:rFonts w:ascii="Verdana" w:hAnsi="Verdana"/>
                <w:color w:val="auto"/>
                <w:sz w:val="16"/>
                <w:szCs w:val="16"/>
                <w:lang w:val="bg-BG"/>
              </w:rPr>
              <w:t>Най-малко 36 % от 30-34-годишните с висше образование</w:t>
            </w:r>
          </w:p>
          <w:p w:rsidR="00111C3E" w:rsidRPr="00B45B4F" w:rsidRDefault="00111C3E" w:rsidP="003C4D02">
            <w:pPr>
              <w:pStyle w:val="Default"/>
              <w:jc w:val="both"/>
              <w:rPr>
                <w:rFonts w:ascii="Verdana" w:hAnsi="Verdana"/>
                <w:bCs/>
                <w:color w:val="auto"/>
                <w:sz w:val="16"/>
                <w:szCs w:val="16"/>
                <w:lang w:val="bg-BG"/>
              </w:rPr>
            </w:pPr>
          </w:p>
        </w:tc>
        <w:tc>
          <w:tcPr>
            <w:tcW w:w="2104" w:type="dxa"/>
          </w:tcPr>
          <w:p w:rsidR="00111C3E" w:rsidRPr="00B45B4F"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Индикаторът е уместен и отговоря на националната цел съгласно Стратегия Европа 2020</w:t>
            </w:r>
          </w:p>
        </w:tc>
        <w:tc>
          <w:tcPr>
            <w:tcW w:w="2080" w:type="dxa"/>
          </w:tcPr>
          <w:p w:rsidR="00111C3E" w:rsidRPr="00B45B4F"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Индикаторът е ясен</w:t>
            </w:r>
          </w:p>
        </w:tc>
      </w:tr>
      <w:tr w:rsidR="007C44A3" w:rsidRPr="00B45B4F" w:rsidTr="003C4D02">
        <w:tc>
          <w:tcPr>
            <w:tcW w:w="1843" w:type="dxa"/>
            <w:shd w:val="clear" w:color="auto" w:fill="auto"/>
          </w:tcPr>
          <w:p w:rsidR="00111C3E" w:rsidRPr="00B45B4F" w:rsidRDefault="00111C3E" w:rsidP="003C4D02">
            <w:pPr>
              <w:autoSpaceDE w:val="0"/>
              <w:autoSpaceDN w:val="0"/>
              <w:adjustRightInd w:val="0"/>
              <w:spacing w:after="0" w:line="240" w:lineRule="auto"/>
              <w:jc w:val="both"/>
              <w:rPr>
                <w:rFonts w:ascii="Verdana" w:hAnsi="Verdana"/>
                <w:sz w:val="16"/>
                <w:szCs w:val="16"/>
                <w:lang w:val="bg-BG"/>
              </w:rPr>
            </w:pPr>
            <w:r w:rsidRPr="00B45B4F">
              <w:rPr>
                <w:rFonts w:ascii="Verdana" w:hAnsi="Verdana"/>
                <w:sz w:val="16"/>
                <w:szCs w:val="16"/>
                <w:lang w:val="bg-BG"/>
              </w:rPr>
              <w:t xml:space="preserve">Развитие на капацитета и повишаване на квалификацията на </w:t>
            </w:r>
            <w:r w:rsidRPr="00B45B4F">
              <w:rPr>
                <w:rFonts w:ascii="Verdana" w:hAnsi="Verdana"/>
                <w:sz w:val="16"/>
                <w:szCs w:val="16"/>
                <w:lang w:val="bg-BG"/>
              </w:rPr>
              <w:lastRenderedPageBreak/>
              <w:t>заетите в областта на образованието и обучението и науката</w:t>
            </w:r>
          </w:p>
        </w:tc>
        <w:tc>
          <w:tcPr>
            <w:tcW w:w="2299" w:type="dxa"/>
            <w:shd w:val="clear" w:color="auto" w:fill="auto"/>
          </w:tcPr>
          <w:p w:rsidR="00111C3E" w:rsidRDefault="00111C3E" w:rsidP="003C4D02">
            <w:pPr>
              <w:pStyle w:val="Default"/>
              <w:jc w:val="both"/>
              <w:rPr>
                <w:rFonts w:ascii="Verdana" w:hAnsi="Verdana"/>
                <w:color w:val="auto"/>
                <w:sz w:val="16"/>
                <w:szCs w:val="16"/>
              </w:rPr>
            </w:pPr>
          </w:p>
          <w:p w:rsidR="00111C3E" w:rsidRDefault="00111C3E" w:rsidP="003C4D02">
            <w:pPr>
              <w:pStyle w:val="Default"/>
              <w:jc w:val="both"/>
              <w:rPr>
                <w:rFonts w:ascii="Verdana" w:hAnsi="Verdana"/>
                <w:color w:val="auto"/>
                <w:sz w:val="16"/>
                <w:szCs w:val="16"/>
              </w:rPr>
            </w:pPr>
          </w:p>
          <w:p w:rsidR="00111C3E" w:rsidRDefault="00111C3E" w:rsidP="003C4D02">
            <w:pPr>
              <w:pStyle w:val="Default"/>
              <w:jc w:val="both"/>
              <w:rPr>
                <w:rFonts w:ascii="Verdana" w:hAnsi="Verdana"/>
                <w:color w:val="auto"/>
                <w:sz w:val="16"/>
                <w:szCs w:val="16"/>
              </w:rPr>
            </w:pPr>
          </w:p>
          <w:p w:rsidR="00111C3E" w:rsidRDefault="00111C3E" w:rsidP="003C4D02">
            <w:pPr>
              <w:pStyle w:val="Default"/>
              <w:jc w:val="both"/>
              <w:rPr>
                <w:rFonts w:ascii="Verdana" w:hAnsi="Verdana"/>
                <w:color w:val="auto"/>
                <w:sz w:val="16"/>
                <w:szCs w:val="16"/>
              </w:rPr>
            </w:pPr>
          </w:p>
          <w:p w:rsidR="00111C3E" w:rsidRDefault="00111C3E" w:rsidP="003C4D02">
            <w:pPr>
              <w:pStyle w:val="Default"/>
              <w:jc w:val="both"/>
              <w:rPr>
                <w:rFonts w:ascii="Verdana" w:hAnsi="Verdana"/>
                <w:color w:val="auto"/>
                <w:sz w:val="16"/>
                <w:szCs w:val="16"/>
              </w:rPr>
            </w:pPr>
          </w:p>
          <w:p w:rsidR="00111C3E" w:rsidRDefault="00111C3E" w:rsidP="003C4D02">
            <w:pPr>
              <w:pStyle w:val="Default"/>
              <w:jc w:val="both"/>
              <w:rPr>
                <w:rFonts w:ascii="Verdana" w:hAnsi="Verdana"/>
                <w:color w:val="auto"/>
                <w:sz w:val="16"/>
                <w:szCs w:val="16"/>
              </w:rPr>
            </w:pPr>
          </w:p>
          <w:p w:rsidR="00111C3E" w:rsidRDefault="00111C3E" w:rsidP="003C4D02">
            <w:pPr>
              <w:pStyle w:val="Default"/>
              <w:jc w:val="both"/>
              <w:rPr>
                <w:rFonts w:ascii="Verdana" w:hAnsi="Verdana"/>
                <w:color w:val="auto"/>
                <w:sz w:val="16"/>
                <w:szCs w:val="16"/>
              </w:rPr>
            </w:pPr>
          </w:p>
          <w:p w:rsidR="00111C3E" w:rsidRDefault="00111C3E" w:rsidP="003C4D02">
            <w:pPr>
              <w:pStyle w:val="Default"/>
              <w:jc w:val="both"/>
              <w:rPr>
                <w:rFonts w:ascii="Verdana" w:hAnsi="Verdana"/>
                <w:color w:val="auto"/>
                <w:sz w:val="16"/>
                <w:szCs w:val="16"/>
              </w:rPr>
            </w:pPr>
          </w:p>
          <w:p w:rsidR="00111C3E" w:rsidRDefault="00111C3E" w:rsidP="003C4D02">
            <w:pPr>
              <w:pStyle w:val="Default"/>
              <w:jc w:val="both"/>
              <w:rPr>
                <w:rFonts w:ascii="Verdana" w:hAnsi="Verdana"/>
                <w:color w:val="auto"/>
                <w:sz w:val="16"/>
                <w:szCs w:val="16"/>
              </w:rPr>
            </w:pPr>
          </w:p>
          <w:p w:rsidR="00111C3E" w:rsidRDefault="00111C3E" w:rsidP="003C4D02">
            <w:pPr>
              <w:pStyle w:val="Default"/>
              <w:jc w:val="both"/>
              <w:rPr>
                <w:rFonts w:ascii="Verdana" w:hAnsi="Verdana"/>
                <w:color w:val="auto"/>
                <w:sz w:val="16"/>
                <w:szCs w:val="16"/>
              </w:rPr>
            </w:pPr>
          </w:p>
          <w:p w:rsidR="00111C3E" w:rsidRDefault="00111C3E" w:rsidP="003C4D02">
            <w:pPr>
              <w:pStyle w:val="Default"/>
              <w:jc w:val="both"/>
              <w:rPr>
                <w:rFonts w:ascii="Verdana" w:hAnsi="Verdana"/>
                <w:color w:val="auto"/>
                <w:sz w:val="16"/>
                <w:szCs w:val="16"/>
              </w:rPr>
            </w:pPr>
          </w:p>
          <w:p w:rsidR="00111C3E" w:rsidRDefault="00111C3E" w:rsidP="003C4D02">
            <w:pPr>
              <w:pStyle w:val="Default"/>
              <w:jc w:val="both"/>
              <w:rPr>
                <w:rFonts w:ascii="Verdana" w:hAnsi="Verdana"/>
                <w:color w:val="auto"/>
                <w:sz w:val="16"/>
                <w:szCs w:val="16"/>
              </w:rPr>
            </w:pPr>
          </w:p>
          <w:p w:rsidR="00111C3E" w:rsidRDefault="00111C3E" w:rsidP="003C4D02">
            <w:pPr>
              <w:pStyle w:val="Default"/>
              <w:jc w:val="both"/>
              <w:rPr>
                <w:rFonts w:ascii="Verdana" w:hAnsi="Verdana"/>
                <w:color w:val="auto"/>
                <w:sz w:val="16"/>
                <w:szCs w:val="16"/>
              </w:rPr>
            </w:pPr>
          </w:p>
          <w:p w:rsidR="00111C3E" w:rsidRDefault="00111C3E" w:rsidP="003C4D02">
            <w:pPr>
              <w:pStyle w:val="Default"/>
              <w:jc w:val="both"/>
              <w:rPr>
                <w:rFonts w:ascii="Verdana" w:hAnsi="Verdana"/>
                <w:color w:val="auto"/>
                <w:sz w:val="16"/>
                <w:szCs w:val="16"/>
              </w:rPr>
            </w:pPr>
          </w:p>
          <w:p w:rsidR="00111C3E" w:rsidRPr="00B45B4F" w:rsidRDefault="00111C3E" w:rsidP="003C4D02">
            <w:pPr>
              <w:pStyle w:val="Default"/>
              <w:jc w:val="both"/>
              <w:rPr>
                <w:rFonts w:ascii="Verdana" w:hAnsi="Verdana"/>
                <w:color w:val="auto"/>
                <w:sz w:val="16"/>
                <w:szCs w:val="16"/>
                <w:lang w:val="bg-BG"/>
              </w:rPr>
            </w:pPr>
            <w:r>
              <w:rPr>
                <w:rFonts w:ascii="Verdana" w:hAnsi="Verdana"/>
                <w:color w:val="auto"/>
                <w:sz w:val="16"/>
                <w:szCs w:val="16"/>
              </w:rPr>
              <w:t xml:space="preserve">1) </w:t>
            </w:r>
            <w:r w:rsidRPr="00B45B4F">
              <w:rPr>
                <w:rFonts w:ascii="Verdana" w:hAnsi="Verdana"/>
                <w:color w:val="auto"/>
                <w:sz w:val="16"/>
                <w:szCs w:val="16"/>
                <w:lang w:val="bg-BG"/>
              </w:rPr>
              <w:t>Брой обучаващи се в ОКС бакалавър/ магистър, които придобиват професионална квалификация учител и започват работа в първата година след завършването</w:t>
            </w:r>
          </w:p>
          <w:p w:rsidR="00111C3E" w:rsidRPr="00B45B4F" w:rsidRDefault="00111C3E" w:rsidP="003C4D02">
            <w:pPr>
              <w:pStyle w:val="Default"/>
              <w:jc w:val="both"/>
              <w:rPr>
                <w:rFonts w:ascii="Verdana" w:hAnsi="Verdana"/>
                <w:color w:val="auto"/>
                <w:sz w:val="16"/>
                <w:szCs w:val="16"/>
                <w:lang w:val="bg-BG"/>
              </w:rPr>
            </w:pPr>
          </w:p>
          <w:p w:rsidR="00111C3E" w:rsidRPr="00B45B4F" w:rsidRDefault="00111C3E" w:rsidP="003C4D02">
            <w:pPr>
              <w:pStyle w:val="Default"/>
              <w:jc w:val="both"/>
              <w:rPr>
                <w:rFonts w:ascii="Verdana" w:hAnsi="Verdana"/>
                <w:color w:val="auto"/>
                <w:sz w:val="16"/>
                <w:szCs w:val="16"/>
                <w:lang w:val="bg-BG"/>
              </w:rPr>
            </w:pPr>
            <w:r>
              <w:rPr>
                <w:rFonts w:ascii="Verdana" w:hAnsi="Verdana"/>
                <w:color w:val="auto"/>
                <w:sz w:val="16"/>
                <w:szCs w:val="16"/>
              </w:rPr>
              <w:t xml:space="preserve">2) </w:t>
            </w:r>
            <w:r w:rsidRPr="00B45B4F">
              <w:rPr>
                <w:rFonts w:ascii="Verdana" w:hAnsi="Verdana"/>
                <w:color w:val="auto"/>
                <w:sz w:val="16"/>
                <w:szCs w:val="16"/>
                <w:lang w:val="bg-BG"/>
              </w:rPr>
              <w:t xml:space="preserve">Брой млади специалисти, участващи в партньорски мрежи за провеждане на научни изследвания, включително в съвмести проекти с бизнеса. </w:t>
            </w:r>
          </w:p>
          <w:p w:rsidR="00111C3E" w:rsidRDefault="00111C3E" w:rsidP="003C4D02">
            <w:pPr>
              <w:pStyle w:val="Default"/>
              <w:jc w:val="both"/>
              <w:rPr>
                <w:rFonts w:ascii="Verdana" w:hAnsi="Verdana"/>
                <w:color w:val="auto"/>
                <w:sz w:val="16"/>
                <w:szCs w:val="16"/>
                <w:lang w:val="bg-BG"/>
              </w:rPr>
            </w:pPr>
          </w:p>
          <w:p w:rsidR="00111C3E" w:rsidRPr="00B45B4F" w:rsidRDefault="00111C3E" w:rsidP="003C4D02">
            <w:pPr>
              <w:pStyle w:val="Default"/>
              <w:jc w:val="both"/>
              <w:rPr>
                <w:rFonts w:ascii="Verdana" w:hAnsi="Verdana"/>
                <w:color w:val="auto"/>
                <w:sz w:val="16"/>
                <w:szCs w:val="16"/>
                <w:lang w:val="bg-BG"/>
              </w:rPr>
            </w:pPr>
          </w:p>
          <w:p w:rsidR="00111C3E" w:rsidRPr="00B45B4F" w:rsidRDefault="00111C3E" w:rsidP="003C4D02">
            <w:pPr>
              <w:pStyle w:val="Default"/>
              <w:jc w:val="both"/>
              <w:rPr>
                <w:rFonts w:ascii="Verdana" w:hAnsi="Verdana"/>
                <w:color w:val="auto"/>
                <w:sz w:val="16"/>
                <w:szCs w:val="16"/>
                <w:lang w:val="bg-BG"/>
              </w:rPr>
            </w:pPr>
            <w:r>
              <w:rPr>
                <w:rFonts w:ascii="Verdana" w:hAnsi="Verdana"/>
                <w:color w:val="auto"/>
                <w:sz w:val="16"/>
                <w:szCs w:val="16"/>
              </w:rPr>
              <w:t xml:space="preserve">3) </w:t>
            </w:r>
            <w:r w:rsidRPr="00B45B4F">
              <w:rPr>
                <w:rFonts w:ascii="Verdana" w:hAnsi="Verdana"/>
                <w:color w:val="auto"/>
                <w:sz w:val="16"/>
                <w:szCs w:val="16"/>
                <w:lang w:val="bg-BG"/>
              </w:rPr>
              <w:t xml:space="preserve">Брой внедрени в бизнеса научни разработки. </w:t>
            </w:r>
          </w:p>
          <w:p w:rsidR="00111C3E" w:rsidRDefault="00111C3E" w:rsidP="003C4D02">
            <w:pPr>
              <w:pStyle w:val="Default"/>
              <w:jc w:val="both"/>
              <w:rPr>
                <w:rFonts w:ascii="Verdana" w:hAnsi="Verdana"/>
                <w:color w:val="auto"/>
                <w:sz w:val="16"/>
                <w:szCs w:val="16"/>
                <w:lang w:val="bg-BG"/>
              </w:rPr>
            </w:pPr>
          </w:p>
          <w:p w:rsidR="00111C3E" w:rsidRDefault="00111C3E" w:rsidP="003C4D02">
            <w:pPr>
              <w:pStyle w:val="Default"/>
              <w:jc w:val="both"/>
              <w:rPr>
                <w:rFonts w:ascii="Verdana" w:hAnsi="Verdana"/>
                <w:color w:val="auto"/>
                <w:sz w:val="16"/>
                <w:szCs w:val="16"/>
                <w:lang w:val="bg-BG"/>
              </w:rPr>
            </w:pPr>
          </w:p>
          <w:p w:rsidR="00111C3E" w:rsidRPr="00B45B4F" w:rsidRDefault="00111C3E" w:rsidP="003C4D02">
            <w:pPr>
              <w:pStyle w:val="Default"/>
              <w:jc w:val="both"/>
              <w:rPr>
                <w:rFonts w:ascii="Verdana" w:hAnsi="Verdana"/>
                <w:color w:val="auto"/>
                <w:sz w:val="16"/>
                <w:szCs w:val="16"/>
                <w:lang w:val="bg-BG"/>
              </w:rPr>
            </w:pPr>
            <w:r>
              <w:rPr>
                <w:rFonts w:ascii="Verdana" w:hAnsi="Verdana"/>
                <w:color w:val="auto"/>
                <w:sz w:val="16"/>
                <w:szCs w:val="16"/>
              </w:rPr>
              <w:t xml:space="preserve">4) </w:t>
            </w:r>
            <w:r w:rsidRPr="00B45B4F">
              <w:rPr>
                <w:rFonts w:ascii="Verdana" w:hAnsi="Verdana"/>
                <w:color w:val="auto"/>
                <w:sz w:val="16"/>
                <w:szCs w:val="16"/>
                <w:lang w:val="bg-BG"/>
              </w:rPr>
              <w:t xml:space="preserve">Брой привлечени от чужбина млади учени в центровете за върхови </w:t>
            </w:r>
            <w:r w:rsidRPr="00B45B4F">
              <w:rPr>
                <w:rFonts w:ascii="Verdana" w:hAnsi="Verdana"/>
                <w:color w:val="auto"/>
                <w:sz w:val="16"/>
                <w:szCs w:val="16"/>
                <w:lang w:val="bg-BG"/>
              </w:rPr>
              <w:lastRenderedPageBreak/>
              <w:t>постижения и за компетентност.</w:t>
            </w:r>
          </w:p>
          <w:p w:rsidR="00111C3E" w:rsidRPr="00B45B4F" w:rsidRDefault="00111C3E" w:rsidP="003C4D02">
            <w:pPr>
              <w:pStyle w:val="Default"/>
              <w:jc w:val="both"/>
              <w:rPr>
                <w:rFonts w:ascii="Verdana" w:hAnsi="Verdana"/>
                <w:color w:val="auto"/>
                <w:sz w:val="16"/>
                <w:szCs w:val="16"/>
                <w:lang w:val="bg-BG"/>
              </w:rPr>
            </w:pPr>
          </w:p>
          <w:p w:rsidR="00111C3E" w:rsidRPr="00B45B4F" w:rsidRDefault="00111C3E" w:rsidP="00154907">
            <w:pPr>
              <w:pStyle w:val="Default"/>
              <w:jc w:val="both"/>
              <w:rPr>
                <w:rFonts w:ascii="Verdana" w:hAnsi="Verdana"/>
                <w:color w:val="auto"/>
                <w:sz w:val="16"/>
                <w:szCs w:val="16"/>
                <w:lang w:val="bg-BG"/>
              </w:rPr>
            </w:pPr>
            <w:r>
              <w:rPr>
                <w:rFonts w:ascii="Verdana" w:hAnsi="Verdana"/>
                <w:sz w:val="16"/>
                <w:szCs w:val="16"/>
              </w:rPr>
              <w:t xml:space="preserve">5) </w:t>
            </w:r>
            <w:r w:rsidRPr="00B45B4F">
              <w:rPr>
                <w:rFonts w:ascii="Verdana" w:hAnsi="Verdana"/>
                <w:sz w:val="16"/>
                <w:szCs w:val="16"/>
                <w:lang w:val="bg-BG"/>
              </w:rPr>
              <w:t>Брой докторанти, пост-докторанти, специализанти, преподаватели във висшите училища и изследователи от чуждестранни европейски университети и изследователски центрове в България вк</w:t>
            </w:r>
            <w:r>
              <w:rPr>
                <w:rFonts w:ascii="Verdana" w:hAnsi="Verdana"/>
                <w:sz w:val="16"/>
                <w:szCs w:val="16"/>
                <w:lang w:val="bg-BG"/>
              </w:rPr>
              <w:t>лючени в програми за мобилност.</w:t>
            </w:r>
          </w:p>
        </w:tc>
        <w:tc>
          <w:tcPr>
            <w:tcW w:w="2092" w:type="dxa"/>
            <w:shd w:val="clear" w:color="auto" w:fill="auto"/>
          </w:tcPr>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lastRenderedPageBreak/>
              <w:t xml:space="preserve">Общ коментар: за тази специфична цел са предвидени </w:t>
            </w:r>
            <w:r>
              <w:rPr>
                <w:rFonts w:ascii="Verdana" w:hAnsi="Verdana"/>
                <w:bCs/>
                <w:color w:val="000000"/>
                <w:sz w:val="16"/>
                <w:szCs w:val="16"/>
                <w:lang w:val="bg-BG" w:eastAsia="bg-BG"/>
              </w:rPr>
              <w:lastRenderedPageBreak/>
              <w:t>твърде голям брой индикатори и в случай, че за някои от дейностите не са предвидени значителни средства, се препоръчва намаляването им.</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1) Индикаторът има характер на индикатор за резултат</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2) Индикаторът е уместен</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3) Препоръчва се индикаторът да отпадне, тъй като има характер на индикатор за резултат</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 xml:space="preserve">4) Препоръчва се индикаторът да отпадне, тъй като не е пряк продукт </w:t>
            </w:r>
            <w:r>
              <w:rPr>
                <w:rFonts w:ascii="Verdana" w:hAnsi="Verdana"/>
                <w:bCs/>
                <w:color w:val="000000"/>
                <w:sz w:val="16"/>
                <w:szCs w:val="16"/>
                <w:lang w:val="bg-BG" w:eastAsia="bg-BG"/>
              </w:rPr>
              <w:lastRenderedPageBreak/>
              <w:t>от дейностите</w:t>
            </w:r>
          </w:p>
          <w:p w:rsidR="00111C3E" w:rsidRPr="00665C27"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5) Индикаторът е уместен</w:t>
            </w:r>
          </w:p>
        </w:tc>
        <w:tc>
          <w:tcPr>
            <w:tcW w:w="2216" w:type="dxa"/>
            <w:shd w:val="clear" w:color="auto" w:fill="auto"/>
          </w:tcPr>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1) Индикаторът е ясен</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2) Следва да се посочи какво се има предвид под „млади специалисти“ и „партньорски мрежи“</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3) –</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4) –</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 xml:space="preserve">5) Следва по-ясно да се посочи кои </w:t>
            </w:r>
            <w:r>
              <w:rPr>
                <w:rFonts w:ascii="Verdana" w:hAnsi="Verdana"/>
                <w:bCs/>
                <w:color w:val="000000"/>
                <w:sz w:val="16"/>
                <w:szCs w:val="16"/>
                <w:lang w:val="bg-BG" w:eastAsia="bg-BG"/>
              </w:rPr>
              <w:lastRenderedPageBreak/>
              <w:t>изследователи от чуждестранни европейски университети ще бъдат отчетени</w:t>
            </w:r>
          </w:p>
          <w:p w:rsidR="00111C3E" w:rsidRPr="00B45B4F"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tc>
        <w:tc>
          <w:tcPr>
            <w:tcW w:w="2250" w:type="dxa"/>
            <w:shd w:val="clear" w:color="auto" w:fill="auto"/>
          </w:tcPr>
          <w:p w:rsidR="00111C3E" w:rsidRDefault="00111C3E" w:rsidP="003C4D02">
            <w:pPr>
              <w:pStyle w:val="Default"/>
              <w:jc w:val="both"/>
              <w:rPr>
                <w:rFonts w:ascii="Verdana" w:hAnsi="Verdana"/>
                <w:color w:val="auto"/>
                <w:sz w:val="16"/>
                <w:szCs w:val="16"/>
              </w:rPr>
            </w:pPr>
          </w:p>
          <w:p w:rsidR="00111C3E" w:rsidRDefault="00111C3E" w:rsidP="003C4D02">
            <w:pPr>
              <w:pStyle w:val="Default"/>
              <w:jc w:val="both"/>
              <w:rPr>
                <w:rFonts w:ascii="Verdana" w:hAnsi="Verdana"/>
                <w:color w:val="auto"/>
                <w:sz w:val="16"/>
                <w:szCs w:val="16"/>
              </w:rPr>
            </w:pPr>
          </w:p>
          <w:p w:rsidR="00111C3E" w:rsidRDefault="00111C3E" w:rsidP="003C4D02">
            <w:pPr>
              <w:pStyle w:val="Default"/>
              <w:jc w:val="both"/>
              <w:rPr>
                <w:rFonts w:ascii="Verdana" w:hAnsi="Verdana"/>
                <w:color w:val="auto"/>
                <w:sz w:val="16"/>
                <w:szCs w:val="16"/>
              </w:rPr>
            </w:pPr>
          </w:p>
          <w:p w:rsidR="00111C3E" w:rsidRDefault="00111C3E" w:rsidP="003C4D02">
            <w:pPr>
              <w:pStyle w:val="Default"/>
              <w:jc w:val="both"/>
              <w:rPr>
                <w:rFonts w:ascii="Verdana" w:hAnsi="Verdana"/>
                <w:color w:val="auto"/>
                <w:sz w:val="16"/>
                <w:szCs w:val="16"/>
              </w:rPr>
            </w:pPr>
          </w:p>
          <w:p w:rsidR="00111C3E" w:rsidRDefault="00111C3E" w:rsidP="003C4D02">
            <w:pPr>
              <w:pStyle w:val="Default"/>
              <w:jc w:val="both"/>
              <w:rPr>
                <w:rFonts w:ascii="Verdana" w:hAnsi="Verdana"/>
                <w:color w:val="auto"/>
                <w:sz w:val="16"/>
                <w:szCs w:val="16"/>
              </w:rPr>
            </w:pPr>
          </w:p>
          <w:p w:rsidR="00111C3E" w:rsidRDefault="00111C3E" w:rsidP="003C4D02">
            <w:pPr>
              <w:pStyle w:val="Default"/>
              <w:jc w:val="both"/>
              <w:rPr>
                <w:rFonts w:ascii="Verdana" w:hAnsi="Verdana"/>
                <w:color w:val="auto"/>
                <w:sz w:val="16"/>
                <w:szCs w:val="16"/>
              </w:rPr>
            </w:pPr>
          </w:p>
          <w:p w:rsidR="00111C3E" w:rsidRDefault="00111C3E" w:rsidP="003C4D02">
            <w:pPr>
              <w:pStyle w:val="Default"/>
              <w:jc w:val="both"/>
              <w:rPr>
                <w:rFonts w:ascii="Verdana" w:hAnsi="Verdana"/>
                <w:color w:val="auto"/>
                <w:sz w:val="16"/>
                <w:szCs w:val="16"/>
              </w:rPr>
            </w:pPr>
          </w:p>
          <w:p w:rsidR="00111C3E" w:rsidRDefault="00111C3E" w:rsidP="003C4D02">
            <w:pPr>
              <w:pStyle w:val="Default"/>
              <w:jc w:val="both"/>
              <w:rPr>
                <w:rFonts w:ascii="Verdana" w:hAnsi="Verdana"/>
                <w:color w:val="auto"/>
                <w:sz w:val="16"/>
                <w:szCs w:val="16"/>
              </w:rPr>
            </w:pPr>
          </w:p>
          <w:p w:rsidR="00111C3E" w:rsidRDefault="00111C3E" w:rsidP="003C4D02">
            <w:pPr>
              <w:pStyle w:val="Default"/>
              <w:jc w:val="both"/>
              <w:rPr>
                <w:rFonts w:ascii="Verdana" w:hAnsi="Verdana"/>
                <w:color w:val="auto"/>
                <w:sz w:val="16"/>
                <w:szCs w:val="16"/>
              </w:rPr>
            </w:pPr>
          </w:p>
          <w:p w:rsidR="00111C3E" w:rsidRDefault="00111C3E" w:rsidP="003C4D02">
            <w:pPr>
              <w:pStyle w:val="Default"/>
              <w:jc w:val="both"/>
              <w:rPr>
                <w:rFonts w:ascii="Verdana" w:hAnsi="Verdana"/>
                <w:color w:val="auto"/>
                <w:sz w:val="16"/>
                <w:szCs w:val="16"/>
              </w:rPr>
            </w:pPr>
          </w:p>
          <w:p w:rsidR="00111C3E" w:rsidRDefault="00111C3E" w:rsidP="003C4D02">
            <w:pPr>
              <w:pStyle w:val="Default"/>
              <w:jc w:val="both"/>
              <w:rPr>
                <w:rFonts w:ascii="Verdana" w:hAnsi="Verdana"/>
                <w:color w:val="auto"/>
                <w:sz w:val="16"/>
                <w:szCs w:val="16"/>
              </w:rPr>
            </w:pPr>
          </w:p>
          <w:p w:rsidR="00111C3E" w:rsidRDefault="00111C3E" w:rsidP="003C4D02">
            <w:pPr>
              <w:pStyle w:val="Default"/>
              <w:jc w:val="both"/>
              <w:rPr>
                <w:rFonts w:ascii="Verdana" w:hAnsi="Verdana"/>
                <w:color w:val="auto"/>
                <w:sz w:val="16"/>
                <w:szCs w:val="16"/>
              </w:rPr>
            </w:pPr>
          </w:p>
          <w:p w:rsidR="00111C3E" w:rsidRDefault="00111C3E" w:rsidP="003C4D02">
            <w:pPr>
              <w:pStyle w:val="Default"/>
              <w:jc w:val="both"/>
              <w:rPr>
                <w:rFonts w:ascii="Verdana" w:hAnsi="Verdana"/>
                <w:color w:val="auto"/>
                <w:sz w:val="16"/>
                <w:szCs w:val="16"/>
              </w:rPr>
            </w:pPr>
          </w:p>
          <w:p w:rsidR="00111C3E" w:rsidRDefault="00111C3E" w:rsidP="003C4D02">
            <w:pPr>
              <w:pStyle w:val="Default"/>
              <w:jc w:val="both"/>
              <w:rPr>
                <w:rFonts w:ascii="Verdana" w:hAnsi="Verdana"/>
                <w:color w:val="auto"/>
                <w:sz w:val="16"/>
                <w:szCs w:val="16"/>
              </w:rPr>
            </w:pPr>
          </w:p>
          <w:p w:rsidR="00111C3E" w:rsidRPr="00B45B4F" w:rsidRDefault="00111C3E" w:rsidP="003C4D02">
            <w:pPr>
              <w:pStyle w:val="Default"/>
              <w:jc w:val="both"/>
              <w:rPr>
                <w:rFonts w:ascii="Verdana" w:hAnsi="Verdana"/>
                <w:color w:val="auto"/>
                <w:sz w:val="16"/>
                <w:szCs w:val="16"/>
                <w:lang w:val="bg-BG"/>
              </w:rPr>
            </w:pPr>
            <w:r>
              <w:rPr>
                <w:rFonts w:ascii="Verdana" w:hAnsi="Verdana"/>
                <w:color w:val="auto"/>
                <w:sz w:val="16"/>
                <w:szCs w:val="16"/>
              </w:rPr>
              <w:t xml:space="preserve">1) </w:t>
            </w:r>
            <w:r w:rsidRPr="00B45B4F">
              <w:rPr>
                <w:rFonts w:ascii="Verdana" w:hAnsi="Verdana"/>
                <w:color w:val="auto"/>
                <w:sz w:val="16"/>
                <w:szCs w:val="16"/>
                <w:lang w:val="bg-BG"/>
              </w:rPr>
              <w:t>Най-малко 12 %  от учителите да са на възраст до 34 г.</w:t>
            </w:r>
          </w:p>
          <w:p w:rsidR="00111C3E" w:rsidRDefault="00111C3E" w:rsidP="003C4D02">
            <w:pPr>
              <w:spacing w:after="0" w:line="240" w:lineRule="auto"/>
              <w:ind w:hanging="8"/>
              <w:contextualSpacing/>
              <w:jc w:val="both"/>
              <w:rPr>
                <w:rFonts w:ascii="Verdana" w:hAnsi="Verdana"/>
                <w:b/>
                <w:bCs/>
                <w:sz w:val="16"/>
                <w:szCs w:val="16"/>
                <w:lang w:val="bg-BG"/>
              </w:rPr>
            </w:pPr>
          </w:p>
          <w:p w:rsidR="00111C3E" w:rsidRDefault="00111C3E" w:rsidP="003C4D02">
            <w:pPr>
              <w:spacing w:after="0" w:line="240" w:lineRule="auto"/>
              <w:ind w:hanging="8"/>
              <w:contextualSpacing/>
              <w:jc w:val="both"/>
              <w:rPr>
                <w:rFonts w:ascii="Verdana" w:hAnsi="Verdana"/>
                <w:b/>
                <w:bCs/>
                <w:sz w:val="16"/>
                <w:szCs w:val="16"/>
                <w:lang w:val="bg-BG"/>
              </w:rPr>
            </w:pPr>
          </w:p>
          <w:p w:rsidR="00111C3E" w:rsidRDefault="00111C3E" w:rsidP="003C4D02">
            <w:pPr>
              <w:spacing w:after="0" w:line="240" w:lineRule="auto"/>
              <w:ind w:hanging="8"/>
              <w:contextualSpacing/>
              <w:jc w:val="both"/>
              <w:rPr>
                <w:rFonts w:ascii="Verdana" w:hAnsi="Verdana"/>
                <w:b/>
                <w:bCs/>
                <w:sz w:val="16"/>
                <w:szCs w:val="16"/>
                <w:lang w:val="bg-BG"/>
              </w:rPr>
            </w:pPr>
          </w:p>
          <w:p w:rsidR="00111C3E" w:rsidRDefault="00111C3E" w:rsidP="003C4D02">
            <w:pPr>
              <w:spacing w:after="0" w:line="240" w:lineRule="auto"/>
              <w:ind w:hanging="8"/>
              <w:contextualSpacing/>
              <w:jc w:val="both"/>
              <w:rPr>
                <w:rFonts w:ascii="Verdana" w:hAnsi="Verdana"/>
                <w:b/>
                <w:bCs/>
                <w:sz w:val="16"/>
                <w:szCs w:val="16"/>
                <w:lang w:val="bg-BG"/>
              </w:rPr>
            </w:pPr>
          </w:p>
          <w:p w:rsidR="00111C3E" w:rsidRDefault="00111C3E" w:rsidP="003C4D02">
            <w:pPr>
              <w:spacing w:after="0" w:line="240" w:lineRule="auto"/>
              <w:ind w:hanging="8"/>
              <w:contextualSpacing/>
              <w:jc w:val="both"/>
              <w:rPr>
                <w:rFonts w:ascii="Verdana" w:hAnsi="Verdana"/>
                <w:b/>
                <w:bCs/>
                <w:sz w:val="16"/>
                <w:szCs w:val="16"/>
                <w:lang w:val="bg-BG"/>
              </w:rPr>
            </w:pPr>
          </w:p>
          <w:p w:rsidR="00111C3E" w:rsidRPr="00B45B4F" w:rsidRDefault="00111C3E" w:rsidP="003C4D02">
            <w:pPr>
              <w:spacing w:after="0" w:line="240" w:lineRule="auto"/>
              <w:ind w:hanging="8"/>
              <w:contextualSpacing/>
              <w:jc w:val="both"/>
              <w:rPr>
                <w:rFonts w:ascii="Verdana" w:hAnsi="Verdana"/>
                <w:b/>
                <w:bCs/>
                <w:sz w:val="16"/>
                <w:szCs w:val="16"/>
                <w:lang w:val="bg-BG"/>
              </w:rPr>
            </w:pPr>
          </w:p>
          <w:p w:rsidR="00111C3E" w:rsidRDefault="00111C3E" w:rsidP="003C4D02">
            <w:pPr>
              <w:tabs>
                <w:tab w:val="left" w:pos="318"/>
              </w:tabs>
              <w:spacing w:after="0" w:line="240" w:lineRule="auto"/>
              <w:contextualSpacing/>
              <w:rPr>
                <w:rFonts w:ascii="Verdana" w:hAnsi="Verdana"/>
                <w:bCs/>
                <w:sz w:val="16"/>
                <w:szCs w:val="16"/>
                <w:lang w:val="bg-BG"/>
              </w:rPr>
            </w:pPr>
            <w:r>
              <w:rPr>
                <w:rFonts w:ascii="Verdana" w:hAnsi="Verdana"/>
                <w:bCs/>
                <w:sz w:val="16"/>
                <w:szCs w:val="16"/>
              </w:rPr>
              <w:t xml:space="preserve">2) </w:t>
            </w:r>
            <w:r w:rsidRPr="00B45B4F">
              <w:rPr>
                <w:rFonts w:ascii="Verdana" w:hAnsi="Verdana"/>
                <w:bCs/>
                <w:sz w:val="16"/>
                <w:szCs w:val="16"/>
                <w:lang w:val="bg-BG"/>
              </w:rPr>
              <w:t xml:space="preserve">Най-малко….процента от  студентите,  обучаващи се  в педагогически специалности </w:t>
            </w:r>
          </w:p>
          <w:p w:rsidR="00111C3E" w:rsidRDefault="00111C3E" w:rsidP="003C4D02">
            <w:pPr>
              <w:tabs>
                <w:tab w:val="left" w:pos="318"/>
              </w:tabs>
              <w:spacing w:after="0" w:line="240" w:lineRule="auto"/>
              <w:contextualSpacing/>
              <w:rPr>
                <w:rFonts w:ascii="Verdana" w:hAnsi="Verdana"/>
                <w:bCs/>
                <w:sz w:val="16"/>
                <w:szCs w:val="16"/>
                <w:lang w:val="bg-BG"/>
              </w:rPr>
            </w:pPr>
          </w:p>
          <w:p w:rsidR="00111C3E" w:rsidRPr="00B45B4F" w:rsidRDefault="00111C3E" w:rsidP="003C4D02">
            <w:pPr>
              <w:tabs>
                <w:tab w:val="left" w:pos="318"/>
              </w:tabs>
              <w:spacing w:after="0" w:line="240" w:lineRule="auto"/>
              <w:contextualSpacing/>
              <w:rPr>
                <w:rFonts w:ascii="Verdana" w:hAnsi="Verdana"/>
                <w:bCs/>
                <w:sz w:val="16"/>
                <w:szCs w:val="16"/>
                <w:lang w:val="bg-BG"/>
              </w:rPr>
            </w:pPr>
          </w:p>
          <w:p w:rsidR="00111C3E" w:rsidRPr="00B45B4F" w:rsidRDefault="00111C3E" w:rsidP="003C4D02">
            <w:pPr>
              <w:tabs>
                <w:tab w:val="left" w:pos="318"/>
              </w:tabs>
              <w:spacing w:after="0" w:line="240" w:lineRule="auto"/>
              <w:contextualSpacing/>
              <w:rPr>
                <w:rFonts w:ascii="Verdana" w:hAnsi="Verdana"/>
                <w:bCs/>
                <w:sz w:val="16"/>
                <w:szCs w:val="16"/>
                <w:lang w:val="bg-BG"/>
              </w:rPr>
            </w:pPr>
          </w:p>
          <w:p w:rsidR="00111C3E" w:rsidRPr="00B45B4F" w:rsidRDefault="00111C3E" w:rsidP="003C4D02">
            <w:pPr>
              <w:spacing w:after="0" w:line="240" w:lineRule="auto"/>
              <w:ind w:hanging="8"/>
              <w:contextualSpacing/>
              <w:jc w:val="both"/>
              <w:rPr>
                <w:rFonts w:ascii="Verdana" w:hAnsi="Verdana"/>
                <w:bCs/>
                <w:sz w:val="16"/>
                <w:szCs w:val="16"/>
                <w:lang w:val="bg-BG"/>
              </w:rPr>
            </w:pPr>
            <w:r>
              <w:rPr>
                <w:rFonts w:ascii="Verdana" w:hAnsi="Verdana"/>
                <w:bCs/>
                <w:sz w:val="16"/>
                <w:szCs w:val="16"/>
              </w:rPr>
              <w:t xml:space="preserve">3) </w:t>
            </w:r>
            <w:r w:rsidRPr="00B45B4F">
              <w:rPr>
                <w:rFonts w:ascii="Verdana" w:hAnsi="Verdana"/>
                <w:bCs/>
                <w:sz w:val="16"/>
                <w:szCs w:val="16"/>
                <w:lang w:val="bg-BG"/>
              </w:rPr>
              <w:t xml:space="preserve">Най-малко …. % от придобилите ОКС „магистър“, продължаващи в докторантски програми. </w:t>
            </w:r>
          </w:p>
          <w:p w:rsidR="00111C3E" w:rsidRPr="00B45B4F" w:rsidRDefault="00111C3E" w:rsidP="003C4D02">
            <w:pPr>
              <w:spacing w:after="0" w:line="240" w:lineRule="auto"/>
              <w:ind w:hanging="8"/>
              <w:contextualSpacing/>
              <w:jc w:val="both"/>
              <w:rPr>
                <w:rFonts w:ascii="Verdana" w:hAnsi="Verdana"/>
                <w:bCs/>
                <w:sz w:val="16"/>
                <w:szCs w:val="16"/>
                <w:lang w:val="bg-BG"/>
              </w:rPr>
            </w:pPr>
          </w:p>
          <w:p w:rsidR="00111C3E" w:rsidRPr="00B45B4F" w:rsidRDefault="00111C3E" w:rsidP="003C4D02">
            <w:pPr>
              <w:spacing w:after="0" w:line="240" w:lineRule="auto"/>
              <w:ind w:hanging="8"/>
              <w:contextualSpacing/>
              <w:jc w:val="both"/>
              <w:rPr>
                <w:rFonts w:ascii="Verdana" w:hAnsi="Verdana"/>
                <w:bCs/>
                <w:sz w:val="16"/>
                <w:szCs w:val="16"/>
                <w:lang w:val="bg-BG"/>
              </w:rPr>
            </w:pPr>
            <w:r>
              <w:rPr>
                <w:rFonts w:ascii="Verdana" w:hAnsi="Verdana"/>
                <w:bCs/>
                <w:sz w:val="16"/>
                <w:szCs w:val="16"/>
              </w:rPr>
              <w:t xml:space="preserve">4) </w:t>
            </w:r>
            <w:r w:rsidRPr="00B45B4F">
              <w:rPr>
                <w:rFonts w:ascii="Verdana" w:hAnsi="Verdana"/>
                <w:bCs/>
                <w:sz w:val="16"/>
                <w:szCs w:val="16"/>
                <w:lang w:val="bg-BG"/>
              </w:rPr>
              <w:t xml:space="preserve">Дял на участвалите в различни форми на мобилност, които са с </w:t>
            </w:r>
            <w:r w:rsidRPr="00B45B4F">
              <w:rPr>
                <w:rFonts w:ascii="Verdana" w:hAnsi="Verdana"/>
                <w:bCs/>
                <w:sz w:val="16"/>
                <w:szCs w:val="16"/>
                <w:lang w:val="bg-BG"/>
              </w:rPr>
              <w:lastRenderedPageBreak/>
              <w:t xml:space="preserve">повишена квалификация и умения и по-добра реализация </w:t>
            </w:r>
          </w:p>
          <w:p w:rsidR="00111C3E" w:rsidRPr="00B45B4F" w:rsidRDefault="00111C3E" w:rsidP="003C4D02">
            <w:pPr>
              <w:spacing w:after="0" w:line="240" w:lineRule="auto"/>
              <w:ind w:hanging="8"/>
              <w:contextualSpacing/>
              <w:jc w:val="both"/>
              <w:rPr>
                <w:rFonts w:ascii="Verdana" w:hAnsi="Verdana"/>
                <w:bCs/>
                <w:sz w:val="16"/>
                <w:szCs w:val="16"/>
                <w:lang w:val="bg-BG"/>
              </w:rPr>
            </w:pPr>
          </w:p>
          <w:p w:rsidR="00111C3E" w:rsidRPr="00B45B4F" w:rsidRDefault="00111C3E" w:rsidP="003C4D02">
            <w:pPr>
              <w:tabs>
                <w:tab w:val="left" w:pos="318"/>
              </w:tabs>
              <w:spacing w:after="0" w:line="240" w:lineRule="auto"/>
              <w:contextualSpacing/>
              <w:rPr>
                <w:rFonts w:ascii="Verdana" w:hAnsi="Verdana"/>
                <w:bCs/>
                <w:sz w:val="16"/>
                <w:szCs w:val="16"/>
                <w:lang w:val="bg-BG"/>
              </w:rPr>
            </w:pPr>
          </w:p>
          <w:p w:rsidR="00111C3E" w:rsidRPr="00B45B4F" w:rsidRDefault="00111C3E" w:rsidP="003C4D02">
            <w:pPr>
              <w:pStyle w:val="Default"/>
              <w:jc w:val="both"/>
              <w:rPr>
                <w:rFonts w:ascii="Verdana" w:hAnsi="Verdana"/>
                <w:color w:val="auto"/>
                <w:sz w:val="16"/>
                <w:szCs w:val="16"/>
                <w:lang w:val="bg-BG"/>
              </w:rPr>
            </w:pPr>
          </w:p>
        </w:tc>
        <w:tc>
          <w:tcPr>
            <w:tcW w:w="2104" w:type="dxa"/>
            <w:shd w:val="clear" w:color="auto" w:fill="auto"/>
          </w:tcPr>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1) Индикаторът е уместен, но не е пряко обвързан със специфичната цел</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 xml:space="preserve">2) Връзката между </w:t>
            </w:r>
            <w:r w:rsidRPr="00841194">
              <w:rPr>
                <w:rFonts w:ascii="Verdana" w:hAnsi="Verdana"/>
                <w:bCs/>
                <w:color w:val="000000"/>
                <w:sz w:val="16"/>
                <w:szCs w:val="16"/>
                <w:lang w:val="bg-BG" w:eastAsia="bg-BG"/>
              </w:rPr>
              <w:t>дейностите</w:t>
            </w:r>
            <w:r w:rsidR="00841194" w:rsidRPr="00841194">
              <w:rPr>
                <w:rFonts w:ascii="Verdana" w:hAnsi="Verdana"/>
                <w:bCs/>
                <w:color w:val="000000"/>
                <w:sz w:val="16"/>
                <w:szCs w:val="16"/>
                <w:lang w:eastAsia="bg-BG"/>
              </w:rPr>
              <w:t>/</w:t>
            </w:r>
            <w:r w:rsidR="00841194" w:rsidRPr="00841194">
              <w:rPr>
                <w:rFonts w:ascii="Verdana" w:hAnsi="Verdana"/>
                <w:bCs/>
                <w:color w:val="000000"/>
                <w:sz w:val="16"/>
                <w:szCs w:val="16"/>
                <w:lang w:val="bg-BG" w:eastAsia="bg-BG"/>
              </w:rPr>
              <w:t>специфичната</w:t>
            </w:r>
            <w:r w:rsidR="00841194">
              <w:rPr>
                <w:rFonts w:ascii="Verdana" w:hAnsi="Verdana"/>
                <w:bCs/>
                <w:color w:val="000000"/>
                <w:sz w:val="16"/>
                <w:szCs w:val="16"/>
                <w:lang w:val="bg-BG" w:eastAsia="bg-BG"/>
              </w:rPr>
              <w:t xml:space="preserve"> цел</w:t>
            </w:r>
            <w:r>
              <w:rPr>
                <w:rFonts w:ascii="Verdana" w:hAnsi="Verdana"/>
                <w:bCs/>
                <w:color w:val="000000"/>
                <w:sz w:val="16"/>
                <w:szCs w:val="16"/>
                <w:lang w:val="bg-BG" w:eastAsia="bg-BG"/>
              </w:rPr>
              <w:t xml:space="preserve"> и индикатора е трудно-</w:t>
            </w:r>
            <w:proofErr w:type="spellStart"/>
            <w:r>
              <w:rPr>
                <w:rFonts w:ascii="Verdana" w:hAnsi="Verdana"/>
                <w:bCs/>
                <w:color w:val="000000"/>
                <w:sz w:val="16"/>
                <w:szCs w:val="16"/>
                <w:lang w:val="bg-BG" w:eastAsia="bg-BG"/>
              </w:rPr>
              <w:t>проследима</w:t>
            </w:r>
            <w:proofErr w:type="spellEnd"/>
            <w:r>
              <w:rPr>
                <w:rFonts w:ascii="Verdana" w:hAnsi="Verdana"/>
                <w:bCs/>
                <w:color w:val="000000"/>
                <w:sz w:val="16"/>
                <w:szCs w:val="16"/>
                <w:lang w:val="bg-BG" w:eastAsia="bg-BG"/>
              </w:rPr>
              <w:t>. Може да бъде заменен от индикатор отчитащ докторите по педагогически науки</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3) Индикаторът е уместен</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Pr="00B45B4F" w:rsidRDefault="007D3399"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w:t>
            </w:r>
            <w:r w:rsidR="00111C3E" w:rsidRPr="007D3399">
              <w:rPr>
                <w:rFonts w:ascii="Verdana" w:hAnsi="Verdana"/>
                <w:bCs/>
                <w:color w:val="000000"/>
                <w:sz w:val="16"/>
                <w:szCs w:val="16"/>
                <w:lang w:val="bg-BG" w:eastAsia="bg-BG"/>
              </w:rPr>
              <w:t>4) Индикаторът е уместен</w:t>
            </w:r>
          </w:p>
        </w:tc>
        <w:tc>
          <w:tcPr>
            <w:tcW w:w="2080" w:type="dxa"/>
            <w:shd w:val="clear" w:color="auto" w:fill="auto"/>
          </w:tcPr>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1) Индикаторът е ясен (следва да се посочи дали се има предвид 34 г. включително)</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2) –</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3) индикаторът е ясен</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Pr="00B45B4F"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 xml:space="preserve">4) Следва да се посочи какво се има предвид под „повишена квалификация и </w:t>
            </w:r>
            <w:r>
              <w:rPr>
                <w:rFonts w:ascii="Verdana" w:hAnsi="Verdana"/>
                <w:bCs/>
                <w:color w:val="000000"/>
                <w:sz w:val="16"/>
                <w:szCs w:val="16"/>
                <w:lang w:val="bg-BG" w:eastAsia="bg-BG"/>
              </w:rPr>
              <w:lastRenderedPageBreak/>
              <w:t>умения и по-добра реализация“</w:t>
            </w:r>
          </w:p>
        </w:tc>
      </w:tr>
      <w:tr w:rsidR="007C44A3" w:rsidRPr="00B45B4F" w:rsidTr="003C4D02">
        <w:tc>
          <w:tcPr>
            <w:tcW w:w="1843" w:type="dxa"/>
          </w:tcPr>
          <w:p w:rsidR="00111C3E" w:rsidRPr="00B45B4F" w:rsidRDefault="00111C3E" w:rsidP="003C4D02">
            <w:pPr>
              <w:autoSpaceDE w:val="0"/>
              <w:autoSpaceDN w:val="0"/>
              <w:adjustRightInd w:val="0"/>
              <w:spacing w:after="0" w:line="240" w:lineRule="auto"/>
              <w:jc w:val="both"/>
              <w:rPr>
                <w:rFonts w:ascii="Verdana" w:hAnsi="Verdana"/>
                <w:sz w:val="16"/>
                <w:szCs w:val="16"/>
                <w:lang w:val="bg-BG"/>
              </w:rPr>
            </w:pPr>
            <w:r w:rsidRPr="00B45B4F">
              <w:rPr>
                <w:rFonts w:ascii="Verdana" w:hAnsi="Verdana"/>
                <w:sz w:val="16"/>
                <w:szCs w:val="16"/>
                <w:lang w:val="bg-BG"/>
              </w:rPr>
              <w:lastRenderedPageBreak/>
              <w:t>Подкрепа на продължаващото обучение и създаване на условия за придобиване и надграждане на знания, умения и компетентности</w:t>
            </w:r>
          </w:p>
        </w:tc>
        <w:tc>
          <w:tcPr>
            <w:tcW w:w="2299" w:type="dxa"/>
          </w:tcPr>
          <w:p w:rsidR="00111C3E" w:rsidRPr="00B45B4F" w:rsidRDefault="00111C3E" w:rsidP="003C4D02">
            <w:pPr>
              <w:pStyle w:val="Default"/>
              <w:jc w:val="both"/>
              <w:rPr>
                <w:rFonts w:ascii="Verdana" w:hAnsi="Verdana"/>
                <w:color w:val="auto"/>
                <w:sz w:val="16"/>
                <w:szCs w:val="16"/>
                <w:lang w:val="bg-BG"/>
              </w:rPr>
            </w:pPr>
            <w:r>
              <w:rPr>
                <w:rFonts w:ascii="Verdana" w:hAnsi="Verdana"/>
                <w:color w:val="auto"/>
                <w:sz w:val="16"/>
                <w:szCs w:val="16"/>
                <w:lang w:val="bg-BG"/>
              </w:rPr>
              <w:t xml:space="preserve">1) </w:t>
            </w:r>
            <w:r w:rsidRPr="00B45B4F">
              <w:rPr>
                <w:rFonts w:ascii="Verdana" w:hAnsi="Verdana"/>
                <w:color w:val="auto"/>
                <w:sz w:val="16"/>
                <w:szCs w:val="16"/>
                <w:lang w:val="bg-BG"/>
              </w:rPr>
              <w:t>Брой лица на възраст 25-64 г., които участват в учене през целия живот</w:t>
            </w:r>
          </w:p>
          <w:p w:rsidR="00111C3E" w:rsidRPr="00B45B4F" w:rsidRDefault="00111C3E" w:rsidP="003C4D02">
            <w:pPr>
              <w:pStyle w:val="Default"/>
              <w:jc w:val="both"/>
              <w:rPr>
                <w:rFonts w:ascii="Verdana" w:hAnsi="Verdana"/>
                <w:b/>
                <w:bCs/>
                <w:color w:val="auto"/>
                <w:sz w:val="16"/>
                <w:szCs w:val="16"/>
                <w:lang w:val="bg-BG"/>
              </w:rPr>
            </w:pPr>
          </w:p>
          <w:p w:rsidR="00111C3E" w:rsidRPr="00B45B4F" w:rsidRDefault="00111C3E" w:rsidP="003C4D02">
            <w:pPr>
              <w:pStyle w:val="Default"/>
              <w:jc w:val="both"/>
              <w:rPr>
                <w:rFonts w:ascii="Verdana" w:hAnsi="Verdana"/>
                <w:b/>
                <w:bCs/>
                <w:color w:val="auto"/>
                <w:sz w:val="16"/>
                <w:szCs w:val="16"/>
                <w:lang w:val="bg-BG"/>
              </w:rPr>
            </w:pPr>
          </w:p>
          <w:p w:rsidR="00111C3E" w:rsidRPr="00B45B4F" w:rsidRDefault="00111C3E" w:rsidP="003C4D02">
            <w:pPr>
              <w:pStyle w:val="Default"/>
              <w:jc w:val="both"/>
              <w:rPr>
                <w:rFonts w:ascii="Verdana" w:hAnsi="Verdana"/>
                <w:b/>
                <w:bCs/>
                <w:color w:val="auto"/>
                <w:sz w:val="16"/>
                <w:szCs w:val="16"/>
                <w:lang w:val="bg-BG"/>
              </w:rPr>
            </w:pPr>
          </w:p>
          <w:p w:rsidR="00111C3E" w:rsidRPr="00B45B4F" w:rsidRDefault="00111C3E" w:rsidP="003C4D02">
            <w:pPr>
              <w:pStyle w:val="Default"/>
              <w:jc w:val="both"/>
              <w:rPr>
                <w:rFonts w:ascii="Verdana" w:hAnsi="Verdana"/>
                <w:b/>
                <w:bCs/>
                <w:color w:val="auto"/>
                <w:sz w:val="16"/>
                <w:szCs w:val="16"/>
                <w:lang w:val="bg-BG"/>
              </w:rPr>
            </w:pPr>
          </w:p>
          <w:p w:rsidR="00111C3E" w:rsidRPr="00B45B4F" w:rsidRDefault="00111C3E" w:rsidP="003C4D02">
            <w:pPr>
              <w:pStyle w:val="Default"/>
              <w:jc w:val="both"/>
              <w:rPr>
                <w:rFonts w:ascii="Verdana" w:hAnsi="Verdana"/>
                <w:b/>
                <w:bCs/>
                <w:color w:val="auto"/>
                <w:sz w:val="16"/>
                <w:szCs w:val="16"/>
                <w:lang w:val="bg-BG"/>
              </w:rPr>
            </w:pPr>
          </w:p>
          <w:p w:rsidR="00111C3E" w:rsidRPr="00B45B4F" w:rsidRDefault="00111C3E" w:rsidP="003C4D02">
            <w:pPr>
              <w:pStyle w:val="Default"/>
              <w:jc w:val="both"/>
              <w:rPr>
                <w:rFonts w:ascii="Verdana" w:hAnsi="Verdana"/>
                <w:b/>
                <w:bCs/>
                <w:color w:val="auto"/>
                <w:sz w:val="16"/>
                <w:szCs w:val="16"/>
                <w:lang w:val="bg-BG"/>
              </w:rPr>
            </w:pPr>
          </w:p>
          <w:p w:rsidR="00111C3E" w:rsidRDefault="00111C3E" w:rsidP="003C4D02">
            <w:pPr>
              <w:pStyle w:val="Default"/>
              <w:jc w:val="both"/>
              <w:rPr>
                <w:rFonts w:ascii="Verdana" w:hAnsi="Verdana"/>
                <w:bCs/>
                <w:color w:val="auto"/>
                <w:sz w:val="16"/>
                <w:szCs w:val="16"/>
                <w:lang w:val="bg-BG"/>
              </w:rPr>
            </w:pPr>
          </w:p>
          <w:p w:rsidR="00111C3E" w:rsidRPr="00B45B4F" w:rsidRDefault="00111C3E" w:rsidP="003C4D02">
            <w:pPr>
              <w:pStyle w:val="Default"/>
              <w:jc w:val="both"/>
              <w:rPr>
                <w:rFonts w:ascii="Verdana" w:hAnsi="Verdana"/>
                <w:bCs/>
                <w:color w:val="auto"/>
                <w:sz w:val="16"/>
                <w:szCs w:val="16"/>
                <w:lang w:val="bg-BG"/>
              </w:rPr>
            </w:pPr>
          </w:p>
          <w:p w:rsidR="00111C3E" w:rsidRPr="00B45B4F" w:rsidRDefault="00111C3E" w:rsidP="003C4D02">
            <w:pPr>
              <w:pStyle w:val="Default"/>
              <w:jc w:val="both"/>
              <w:rPr>
                <w:rFonts w:ascii="Verdana" w:hAnsi="Verdana"/>
                <w:bCs/>
                <w:color w:val="auto"/>
                <w:sz w:val="16"/>
                <w:szCs w:val="16"/>
                <w:lang w:val="bg-BG"/>
              </w:rPr>
            </w:pPr>
            <w:r>
              <w:rPr>
                <w:rFonts w:ascii="Verdana" w:hAnsi="Verdana"/>
                <w:bCs/>
                <w:color w:val="auto"/>
                <w:sz w:val="16"/>
                <w:szCs w:val="16"/>
                <w:lang w:val="bg-BG"/>
              </w:rPr>
              <w:t xml:space="preserve">2) </w:t>
            </w:r>
            <w:r w:rsidRPr="00B45B4F">
              <w:rPr>
                <w:rFonts w:ascii="Verdana" w:hAnsi="Verdana"/>
                <w:bCs/>
                <w:color w:val="auto"/>
                <w:sz w:val="16"/>
                <w:szCs w:val="16"/>
                <w:lang w:val="bg-BG"/>
              </w:rPr>
              <w:t>Най-малко 20 000 лиц</w:t>
            </w:r>
            <w:r>
              <w:rPr>
                <w:rFonts w:ascii="Verdana" w:hAnsi="Verdana"/>
                <w:bCs/>
                <w:color w:val="auto"/>
                <w:sz w:val="16"/>
                <w:szCs w:val="16"/>
                <w:lang w:val="bg-BG"/>
              </w:rPr>
              <w:t>а</w:t>
            </w:r>
            <w:r w:rsidRPr="00B45B4F">
              <w:rPr>
                <w:rFonts w:ascii="Verdana" w:hAnsi="Verdana"/>
                <w:bCs/>
                <w:color w:val="auto"/>
                <w:sz w:val="16"/>
                <w:szCs w:val="16"/>
                <w:lang w:val="bg-BG"/>
              </w:rPr>
              <w:t xml:space="preserve"> получили ваучери за </w:t>
            </w:r>
            <w:r w:rsidRPr="00B45B4F">
              <w:rPr>
                <w:rFonts w:ascii="Verdana" w:hAnsi="Verdana"/>
                <w:bCs/>
                <w:sz w:val="16"/>
                <w:szCs w:val="16"/>
                <w:lang w:val="bg-BG"/>
              </w:rPr>
              <w:t xml:space="preserve">валидиране на знания и умения от самостоятелно и неформално образование и обучение  </w:t>
            </w:r>
          </w:p>
          <w:p w:rsidR="00111C3E" w:rsidRPr="00B45B4F" w:rsidRDefault="00111C3E" w:rsidP="003C4D02">
            <w:pPr>
              <w:pStyle w:val="Default"/>
              <w:jc w:val="both"/>
              <w:rPr>
                <w:rFonts w:ascii="Verdana" w:hAnsi="Verdana"/>
                <w:color w:val="auto"/>
                <w:sz w:val="16"/>
                <w:szCs w:val="16"/>
                <w:lang w:val="bg-BG"/>
              </w:rPr>
            </w:pPr>
          </w:p>
          <w:p w:rsidR="00111C3E" w:rsidRPr="00B45B4F" w:rsidRDefault="00111C3E" w:rsidP="003C4D02">
            <w:pPr>
              <w:pStyle w:val="Default"/>
              <w:jc w:val="both"/>
              <w:rPr>
                <w:rFonts w:ascii="Verdana" w:hAnsi="Verdana"/>
                <w:color w:val="auto"/>
                <w:sz w:val="16"/>
                <w:szCs w:val="16"/>
                <w:lang w:val="bg-BG"/>
              </w:rPr>
            </w:pPr>
            <w:r>
              <w:rPr>
                <w:rFonts w:ascii="Verdana" w:hAnsi="Verdana"/>
                <w:color w:val="auto"/>
                <w:sz w:val="16"/>
                <w:szCs w:val="16"/>
                <w:lang w:val="bg-BG"/>
              </w:rPr>
              <w:t xml:space="preserve">3) </w:t>
            </w:r>
            <w:r w:rsidRPr="00B45B4F">
              <w:rPr>
                <w:rFonts w:ascii="Verdana" w:hAnsi="Verdana"/>
                <w:color w:val="auto"/>
                <w:sz w:val="16"/>
                <w:szCs w:val="16"/>
                <w:lang w:val="bg-BG"/>
              </w:rPr>
              <w:t>Брой ученици и студенти обхванати от си</w:t>
            </w:r>
            <w:r>
              <w:rPr>
                <w:rFonts w:ascii="Verdana" w:hAnsi="Verdana"/>
                <w:color w:val="auto"/>
                <w:sz w:val="16"/>
                <w:szCs w:val="16"/>
                <w:lang w:val="bg-BG"/>
              </w:rPr>
              <w:t xml:space="preserve">стемата за кариерно </w:t>
            </w:r>
            <w:r>
              <w:rPr>
                <w:rFonts w:ascii="Verdana" w:hAnsi="Verdana"/>
                <w:color w:val="auto"/>
                <w:sz w:val="16"/>
                <w:szCs w:val="16"/>
                <w:lang w:val="bg-BG"/>
              </w:rPr>
              <w:lastRenderedPageBreak/>
              <w:t>ориентиране</w:t>
            </w:r>
          </w:p>
        </w:tc>
        <w:tc>
          <w:tcPr>
            <w:tcW w:w="2092" w:type="dxa"/>
          </w:tcPr>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lastRenderedPageBreak/>
              <w:t>1) Индикаторът е твърде обширен и не представлява продукт единствено от дейностите по ОПНОИР. В случай, че са налични данни, би могъл да се използва като индикатор за резултат.</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sidRPr="00C20440">
              <w:rPr>
                <w:rFonts w:ascii="Verdana" w:hAnsi="Verdana"/>
                <w:bCs/>
                <w:color w:val="000000"/>
                <w:sz w:val="16"/>
                <w:szCs w:val="16"/>
                <w:lang w:val="bg-BG" w:eastAsia="bg-BG"/>
              </w:rPr>
              <w:t xml:space="preserve">2) Индикаторът </w:t>
            </w:r>
            <w:r w:rsidR="00841194" w:rsidRPr="00C20440">
              <w:rPr>
                <w:rFonts w:ascii="Verdana" w:hAnsi="Verdana"/>
                <w:bCs/>
                <w:color w:val="000000"/>
                <w:sz w:val="16"/>
                <w:szCs w:val="16"/>
                <w:lang w:val="bg-BG" w:eastAsia="bg-BG"/>
              </w:rPr>
              <w:t xml:space="preserve">е твърде специфичен и </w:t>
            </w:r>
            <w:r w:rsidRPr="00C20440">
              <w:rPr>
                <w:rFonts w:ascii="Verdana" w:hAnsi="Verdana"/>
                <w:bCs/>
                <w:color w:val="000000"/>
                <w:sz w:val="16"/>
                <w:szCs w:val="16"/>
                <w:lang w:val="bg-BG" w:eastAsia="bg-BG"/>
              </w:rPr>
              <w:t>не е пряко обвързан с предвидените дейности</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Pr="00B45B4F" w:rsidRDefault="00111C3E" w:rsidP="007C44A3">
            <w:pPr>
              <w:widowControl w:val="0"/>
              <w:tabs>
                <w:tab w:val="left" w:pos="0"/>
                <w:tab w:val="right" w:pos="9214"/>
              </w:tabs>
              <w:spacing w:after="0" w:line="240" w:lineRule="auto"/>
              <w:jc w:val="both"/>
              <w:rPr>
                <w:rFonts w:ascii="Verdana" w:hAnsi="Verdana"/>
                <w:bCs/>
                <w:color w:val="000000"/>
                <w:sz w:val="16"/>
                <w:szCs w:val="16"/>
                <w:lang w:val="bg-BG" w:eastAsia="bg-BG"/>
              </w:rPr>
            </w:pPr>
            <w:r w:rsidRPr="007C44A3">
              <w:rPr>
                <w:rFonts w:ascii="Verdana" w:hAnsi="Verdana"/>
                <w:bCs/>
                <w:color w:val="000000"/>
                <w:sz w:val="16"/>
                <w:szCs w:val="16"/>
                <w:lang w:val="bg-BG" w:eastAsia="bg-BG"/>
              </w:rPr>
              <w:t xml:space="preserve">3) </w:t>
            </w:r>
            <w:r w:rsidR="007C44A3" w:rsidRPr="007C44A3">
              <w:rPr>
                <w:rFonts w:ascii="Verdana" w:hAnsi="Verdana"/>
                <w:bCs/>
                <w:color w:val="000000"/>
                <w:sz w:val="16"/>
                <w:szCs w:val="16"/>
                <w:lang w:val="bg-BG" w:eastAsia="bg-BG"/>
              </w:rPr>
              <w:t xml:space="preserve">В зависимост от обхвата на </w:t>
            </w:r>
            <w:r w:rsidR="007C44A3" w:rsidRPr="007C44A3">
              <w:rPr>
                <w:rFonts w:ascii="Verdana" w:hAnsi="Verdana"/>
                <w:bCs/>
                <w:color w:val="000000"/>
                <w:sz w:val="16"/>
                <w:szCs w:val="16"/>
                <w:lang w:val="bg-BG" w:eastAsia="bg-BG"/>
              </w:rPr>
              <w:lastRenderedPageBreak/>
              <w:t>дейностите този индикатор</w:t>
            </w:r>
            <w:r w:rsidR="00730274">
              <w:rPr>
                <w:rFonts w:ascii="Verdana" w:hAnsi="Verdana"/>
                <w:bCs/>
                <w:color w:val="000000"/>
                <w:sz w:val="16"/>
                <w:szCs w:val="16"/>
                <w:lang w:val="bg-BG" w:eastAsia="bg-BG"/>
              </w:rPr>
              <w:t xml:space="preserve"> </w:t>
            </w:r>
            <w:r w:rsidR="007C44A3" w:rsidRPr="007C44A3">
              <w:rPr>
                <w:rFonts w:ascii="Verdana" w:hAnsi="Verdana"/>
                <w:bCs/>
                <w:color w:val="000000"/>
                <w:sz w:val="16"/>
                <w:szCs w:val="16"/>
                <w:lang w:val="bg-BG" w:eastAsia="bg-BG"/>
              </w:rPr>
              <w:t>би могъл да бъде и индикатор за</w:t>
            </w:r>
            <w:r w:rsidRPr="007C44A3">
              <w:rPr>
                <w:rFonts w:ascii="Verdana" w:hAnsi="Verdana"/>
                <w:bCs/>
                <w:color w:val="000000"/>
                <w:sz w:val="16"/>
                <w:szCs w:val="16"/>
                <w:lang w:val="bg-BG" w:eastAsia="bg-BG"/>
              </w:rPr>
              <w:t xml:space="preserve"> резултат</w:t>
            </w:r>
          </w:p>
        </w:tc>
        <w:tc>
          <w:tcPr>
            <w:tcW w:w="2216" w:type="dxa"/>
          </w:tcPr>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lastRenderedPageBreak/>
              <w:t>1) Обхватът на индикатора е твърде голям</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2) Следва да се посочи дали ще има възрастови ограничения за участниците във ваучерни схеми</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Pr="00B45B4F"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3) Следва да се посочи какво се има предвид под „обхванати“</w:t>
            </w:r>
          </w:p>
        </w:tc>
        <w:tc>
          <w:tcPr>
            <w:tcW w:w="2250" w:type="dxa"/>
          </w:tcPr>
          <w:p w:rsidR="00111C3E" w:rsidRPr="00B45B4F" w:rsidRDefault="00111C3E" w:rsidP="003C4D02">
            <w:pPr>
              <w:pStyle w:val="CommentText"/>
              <w:spacing w:after="0" w:line="240" w:lineRule="auto"/>
              <w:rPr>
                <w:rFonts w:ascii="Verdana" w:hAnsi="Verdana"/>
                <w:sz w:val="16"/>
                <w:szCs w:val="16"/>
                <w:lang w:val="bg-BG"/>
              </w:rPr>
            </w:pPr>
            <w:r>
              <w:rPr>
                <w:rFonts w:ascii="Verdana" w:hAnsi="Verdana"/>
                <w:sz w:val="16"/>
                <w:szCs w:val="16"/>
                <w:lang w:val="bg-BG"/>
              </w:rPr>
              <w:t xml:space="preserve">1) </w:t>
            </w:r>
            <w:r w:rsidRPr="00B45B4F">
              <w:rPr>
                <w:rFonts w:ascii="Verdana" w:hAnsi="Verdana"/>
                <w:sz w:val="16"/>
                <w:szCs w:val="16"/>
                <w:lang w:val="bg-BG"/>
              </w:rPr>
              <w:t xml:space="preserve">Намален до 1.5% дял на неграмотните лица на възраст 15-29 г. </w:t>
            </w:r>
          </w:p>
          <w:p w:rsidR="00111C3E" w:rsidRPr="00B45B4F" w:rsidRDefault="00111C3E" w:rsidP="003C4D02">
            <w:pPr>
              <w:pStyle w:val="CommentText"/>
              <w:spacing w:after="0" w:line="240" w:lineRule="auto"/>
              <w:rPr>
                <w:rFonts w:ascii="Verdana" w:hAnsi="Verdana"/>
                <w:sz w:val="16"/>
                <w:szCs w:val="16"/>
                <w:lang w:val="bg-BG"/>
              </w:rPr>
            </w:pPr>
          </w:p>
          <w:p w:rsidR="00111C3E" w:rsidRPr="00B45B4F" w:rsidRDefault="00111C3E" w:rsidP="003C4D02">
            <w:pPr>
              <w:pStyle w:val="CommentText"/>
              <w:spacing w:after="0" w:line="240" w:lineRule="auto"/>
              <w:rPr>
                <w:rFonts w:ascii="Verdana" w:hAnsi="Verdana"/>
                <w:sz w:val="16"/>
                <w:szCs w:val="16"/>
                <w:lang w:val="bg-BG"/>
              </w:rPr>
            </w:pPr>
          </w:p>
          <w:p w:rsidR="00111C3E" w:rsidRPr="00B45B4F" w:rsidRDefault="00111C3E" w:rsidP="003C4D02">
            <w:pPr>
              <w:pStyle w:val="CommentText"/>
              <w:spacing w:after="0" w:line="240" w:lineRule="auto"/>
              <w:rPr>
                <w:rFonts w:ascii="Verdana" w:hAnsi="Verdana"/>
                <w:sz w:val="16"/>
                <w:szCs w:val="16"/>
                <w:lang w:val="bg-BG"/>
              </w:rPr>
            </w:pPr>
          </w:p>
          <w:p w:rsidR="00111C3E" w:rsidRPr="00B45B4F" w:rsidRDefault="00111C3E" w:rsidP="003C4D02">
            <w:pPr>
              <w:pStyle w:val="CommentText"/>
              <w:spacing w:after="0" w:line="240" w:lineRule="auto"/>
              <w:rPr>
                <w:rFonts w:ascii="Verdana" w:hAnsi="Verdana"/>
                <w:sz w:val="16"/>
                <w:szCs w:val="16"/>
                <w:lang w:val="bg-BG"/>
              </w:rPr>
            </w:pPr>
          </w:p>
          <w:p w:rsidR="00111C3E" w:rsidRPr="00B45B4F" w:rsidRDefault="00111C3E" w:rsidP="003C4D02">
            <w:pPr>
              <w:pStyle w:val="CommentText"/>
              <w:spacing w:after="0" w:line="240" w:lineRule="auto"/>
              <w:rPr>
                <w:rFonts w:ascii="Verdana" w:hAnsi="Verdana"/>
                <w:sz w:val="16"/>
                <w:szCs w:val="16"/>
                <w:lang w:val="bg-BG"/>
              </w:rPr>
            </w:pPr>
          </w:p>
          <w:p w:rsidR="00111C3E" w:rsidRPr="00B45B4F" w:rsidRDefault="00111C3E" w:rsidP="003C4D02">
            <w:pPr>
              <w:pStyle w:val="CommentText"/>
              <w:spacing w:after="0" w:line="240" w:lineRule="auto"/>
              <w:rPr>
                <w:rFonts w:ascii="Verdana" w:hAnsi="Verdana"/>
                <w:sz w:val="16"/>
                <w:szCs w:val="16"/>
                <w:lang w:val="bg-BG"/>
              </w:rPr>
            </w:pPr>
          </w:p>
          <w:p w:rsidR="00111C3E" w:rsidRPr="00B45B4F" w:rsidRDefault="00111C3E" w:rsidP="003C4D02">
            <w:pPr>
              <w:pStyle w:val="CommentText"/>
              <w:spacing w:after="0" w:line="240" w:lineRule="auto"/>
              <w:rPr>
                <w:rFonts w:ascii="Verdana" w:hAnsi="Verdana"/>
                <w:sz w:val="16"/>
                <w:szCs w:val="16"/>
                <w:lang w:val="bg-BG"/>
              </w:rPr>
            </w:pPr>
          </w:p>
          <w:p w:rsidR="00111C3E" w:rsidRPr="00B45B4F" w:rsidRDefault="00111C3E" w:rsidP="003C4D02">
            <w:pPr>
              <w:widowControl w:val="0"/>
              <w:tabs>
                <w:tab w:val="left" w:pos="0"/>
                <w:tab w:val="right" w:pos="9214"/>
              </w:tabs>
              <w:spacing w:after="0" w:line="240" w:lineRule="auto"/>
              <w:jc w:val="both"/>
              <w:rPr>
                <w:rFonts w:ascii="Verdana" w:hAnsi="Verdana"/>
                <w:sz w:val="16"/>
                <w:szCs w:val="16"/>
                <w:lang w:val="bg-BG"/>
              </w:rPr>
            </w:pPr>
            <w:r w:rsidRPr="00023587">
              <w:rPr>
                <w:rFonts w:ascii="Verdana" w:hAnsi="Verdana"/>
                <w:bCs/>
                <w:color w:val="000000"/>
                <w:sz w:val="16"/>
                <w:szCs w:val="16"/>
                <w:lang w:val="bg-BG" w:eastAsia="bg-BG"/>
              </w:rPr>
              <w:t>2) Най-малко 2500 лица с валидирани знания и умения от самостоятелно и неформално образование и обучение</w:t>
            </w:r>
          </w:p>
        </w:tc>
        <w:tc>
          <w:tcPr>
            <w:tcW w:w="2104" w:type="dxa"/>
          </w:tcPr>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1) Препоръчва се отпадането на индикатора, тъй като не е обвързан със специфичната цел и с дейностите.</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 xml:space="preserve">2) </w:t>
            </w:r>
            <w:r w:rsidR="00841194">
              <w:rPr>
                <w:rFonts w:ascii="Verdana" w:hAnsi="Verdana"/>
                <w:bCs/>
                <w:color w:val="000000"/>
                <w:sz w:val="16"/>
                <w:szCs w:val="16"/>
                <w:lang w:val="bg-BG" w:eastAsia="bg-BG"/>
              </w:rPr>
              <w:t>Индикаторът е уместен</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Pr="00B45B4F"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tc>
        <w:tc>
          <w:tcPr>
            <w:tcW w:w="2080" w:type="dxa"/>
          </w:tcPr>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1) –</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Pr="00B45B4F"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2) Следва да се посочи дали ще има възрастови ограничения за участниците във ваучерни схеми</w:t>
            </w:r>
          </w:p>
        </w:tc>
      </w:tr>
      <w:tr w:rsidR="007C44A3" w:rsidRPr="00B45B4F" w:rsidTr="003C4D02">
        <w:tc>
          <w:tcPr>
            <w:tcW w:w="1843" w:type="dxa"/>
          </w:tcPr>
          <w:p w:rsidR="00111C3E" w:rsidRPr="00B45B4F" w:rsidRDefault="00111C3E" w:rsidP="003C4D02">
            <w:pPr>
              <w:autoSpaceDE w:val="0"/>
              <w:autoSpaceDN w:val="0"/>
              <w:adjustRightInd w:val="0"/>
              <w:spacing w:after="0" w:line="240" w:lineRule="auto"/>
              <w:jc w:val="both"/>
              <w:rPr>
                <w:rFonts w:ascii="Verdana" w:hAnsi="Verdana"/>
                <w:sz w:val="16"/>
                <w:szCs w:val="16"/>
                <w:lang w:val="bg-BG"/>
              </w:rPr>
            </w:pPr>
            <w:r w:rsidRPr="00B45B4F">
              <w:rPr>
                <w:rFonts w:ascii="Verdana" w:hAnsi="Verdana"/>
                <w:sz w:val="16"/>
                <w:szCs w:val="16"/>
                <w:lang w:val="bg-BG"/>
              </w:rPr>
              <w:lastRenderedPageBreak/>
              <w:t>Повишаване на привлекателността и подобряване на качеството на професионалното образование и обучение</w:t>
            </w:r>
          </w:p>
        </w:tc>
        <w:tc>
          <w:tcPr>
            <w:tcW w:w="2299" w:type="dxa"/>
          </w:tcPr>
          <w:p w:rsidR="00111C3E" w:rsidRPr="00B45B4F" w:rsidRDefault="00111C3E" w:rsidP="003C4D02">
            <w:pPr>
              <w:pStyle w:val="Default"/>
              <w:jc w:val="both"/>
              <w:rPr>
                <w:rFonts w:ascii="Verdana" w:hAnsi="Verdana"/>
                <w:color w:val="auto"/>
                <w:sz w:val="16"/>
                <w:szCs w:val="16"/>
                <w:lang w:val="bg-BG"/>
              </w:rPr>
            </w:pPr>
            <w:r w:rsidRPr="00B45B4F">
              <w:rPr>
                <w:rFonts w:ascii="Verdana" w:hAnsi="Verdana"/>
                <w:color w:val="auto"/>
                <w:sz w:val="16"/>
                <w:szCs w:val="16"/>
                <w:lang w:val="bg-BG"/>
              </w:rPr>
              <w:t>Брой ученици участващи в гъвкави форми на обучение в професионалното образование.</w:t>
            </w:r>
          </w:p>
        </w:tc>
        <w:tc>
          <w:tcPr>
            <w:tcW w:w="2092" w:type="dxa"/>
          </w:tcPr>
          <w:p w:rsidR="00111C3E" w:rsidRPr="00B45B4F" w:rsidRDefault="00111C3E" w:rsidP="00730274">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 xml:space="preserve">Индикаторът </w:t>
            </w:r>
            <w:r w:rsidR="00730274">
              <w:rPr>
                <w:rFonts w:ascii="Verdana" w:hAnsi="Verdana"/>
                <w:bCs/>
                <w:color w:val="000000"/>
                <w:sz w:val="16"/>
                <w:szCs w:val="16"/>
                <w:lang w:val="bg-BG" w:eastAsia="bg-BG"/>
              </w:rPr>
              <w:t>е уместен</w:t>
            </w:r>
          </w:p>
        </w:tc>
        <w:tc>
          <w:tcPr>
            <w:tcW w:w="2216" w:type="dxa"/>
          </w:tcPr>
          <w:p w:rsidR="00111C3E" w:rsidRPr="00B45B4F"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Следва да се посочи какво се има предвид под „гъвкави форми на обучение“</w:t>
            </w:r>
          </w:p>
        </w:tc>
        <w:tc>
          <w:tcPr>
            <w:tcW w:w="2250" w:type="dxa"/>
          </w:tcPr>
          <w:p w:rsidR="00111C3E" w:rsidRPr="00B45B4F" w:rsidRDefault="00111C3E" w:rsidP="003C4D02">
            <w:pPr>
              <w:pStyle w:val="CommentText"/>
              <w:spacing w:after="0" w:line="240" w:lineRule="auto"/>
              <w:rPr>
                <w:rFonts w:ascii="Verdana" w:hAnsi="Verdana"/>
                <w:sz w:val="16"/>
                <w:szCs w:val="16"/>
                <w:lang w:val="bg-BG"/>
              </w:rPr>
            </w:pPr>
            <w:r w:rsidRPr="00B45B4F">
              <w:rPr>
                <w:rFonts w:ascii="Verdana" w:hAnsi="Verdana"/>
                <w:sz w:val="16"/>
                <w:szCs w:val="16"/>
                <w:lang w:val="bg-BG"/>
              </w:rPr>
              <w:t>Дял на завършилите професионални гимназии, които са започнали работа по съответната професия през първата година след завършването си</w:t>
            </w:r>
          </w:p>
        </w:tc>
        <w:tc>
          <w:tcPr>
            <w:tcW w:w="2104" w:type="dxa"/>
          </w:tcPr>
          <w:p w:rsidR="00111C3E" w:rsidRPr="00B45B4F" w:rsidRDefault="00111C3E" w:rsidP="00730274">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 xml:space="preserve">Индикаторът </w:t>
            </w:r>
            <w:r w:rsidR="00730274">
              <w:rPr>
                <w:rFonts w:ascii="Verdana" w:hAnsi="Verdana"/>
                <w:bCs/>
                <w:color w:val="000000"/>
                <w:sz w:val="16"/>
                <w:szCs w:val="16"/>
                <w:lang w:val="bg-BG" w:eastAsia="bg-BG"/>
              </w:rPr>
              <w:t>е уместен</w:t>
            </w:r>
            <w:r>
              <w:rPr>
                <w:rFonts w:ascii="Verdana" w:hAnsi="Verdana"/>
                <w:bCs/>
                <w:color w:val="000000"/>
                <w:sz w:val="16"/>
                <w:szCs w:val="16"/>
                <w:lang w:val="bg-BG" w:eastAsia="bg-BG"/>
              </w:rPr>
              <w:t xml:space="preserve"> </w:t>
            </w:r>
          </w:p>
        </w:tc>
        <w:tc>
          <w:tcPr>
            <w:tcW w:w="2080" w:type="dxa"/>
          </w:tcPr>
          <w:p w:rsidR="00111C3E" w:rsidRPr="00B45B4F" w:rsidRDefault="00111C3E" w:rsidP="00730274">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Индикаторът е ясен</w:t>
            </w:r>
          </w:p>
        </w:tc>
      </w:tr>
      <w:tr w:rsidR="007C44A3" w:rsidRPr="00B45B4F" w:rsidTr="003C4D02">
        <w:tc>
          <w:tcPr>
            <w:tcW w:w="1843" w:type="dxa"/>
          </w:tcPr>
          <w:p w:rsidR="00111C3E" w:rsidRPr="00B45B4F" w:rsidRDefault="00111C3E" w:rsidP="003C4D02">
            <w:pPr>
              <w:autoSpaceDE w:val="0"/>
              <w:autoSpaceDN w:val="0"/>
              <w:adjustRightInd w:val="0"/>
              <w:spacing w:after="0" w:line="240" w:lineRule="auto"/>
              <w:jc w:val="both"/>
              <w:rPr>
                <w:rFonts w:ascii="Verdana" w:hAnsi="Verdana"/>
                <w:sz w:val="16"/>
                <w:szCs w:val="16"/>
                <w:lang w:val="bg-BG"/>
              </w:rPr>
            </w:pPr>
            <w:r w:rsidRPr="00B45B4F">
              <w:rPr>
                <w:rFonts w:ascii="Verdana" w:hAnsi="Verdana"/>
                <w:sz w:val="16"/>
                <w:szCs w:val="16"/>
                <w:lang w:val="bg-BG"/>
              </w:rPr>
              <w:t>Насърчаване на връзките между професионалното образование и обучение, висшето образование, науката и бизнеса</w:t>
            </w:r>
          </w:p>
        </w:tc>
        <w:tc>
          <w:tcPr>
            <w:tcW w:w="2299" w:type="dxa"/>
          </w:tcPr>
          <w:p w:rsidR="00111C3E" w:rsidRPr="00B45B4F" w:rsidRDefault="00111C3E" w:rsidP="003C4D02">
            <w:pPr>
              <w:pStyle w:val="Default"/>
              <w:jc w:val="both"/>
              <w:rPr>
                <w:rFonts w:ascii="Verdana" w:hAnsi="Verdana"/>
                <w:color w:val="auto"/>
                <w:sz w:val="16"/>
                <w:szCs w:val="16"/>
                <w:lang w:val="bg-BG"/>
              </w:rPr>
            </w:pPr>
            <w:r w:rsidRPr="00B45B4F">
              <w:rPr>
                <w:rFonts w:ascii="Verdana" w:hAnsi="Verdana"/>
                <w:bCs/>
                <w:color w:val="auto"/>
                <w:sz w:val="16"/>
                <w:szCs w:val="16"/>
                <w:lang w:val="bg-BG"/>
              </w:rPr>
              <w:t>Брой на учениците и студентите, обучаващи се в технически специалности</w:t>
            </w:r>
          </w:p>
        </w:tc>
        <w:tc>
          <w:tcPr>
            <w:tcW w:w="2092" w:type="dxa"/>
          </w:tcPr>
          <w:p w:rsidR="00111C3E" w:rsidRPr="00B45B4F" w:rsidRDefault="00730274"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Индикаторът е уместен</w:t>
            </w:r>
          </w:p>
        </w:tc>
        <w:tc>
          <w:tcPr>
            <w:tcW w:w="2216" w:type="dxa"/>
          </w:tcPr>
          <w:p w:rsidR="00111C3E" w:rsidRPr="00B45B4F" w:rsidRDefault="00730274"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Индикаторът е ясен</w:t>
            </w:r>
          </w:p>
        </w:tc>
        <w:tc>
          <w:tcPr>
            <w:tcW w:w="2250" w:type="dxa"/>
          </w:tcPr>
          <w:p w:rsidR="00111C3E" w:rsidRPr="00B45B4F" w:rsidRDefault="00111C3E" w:rsidP="003C4D02">
            <w:pPr>
              <w:pStyle w:val="CommentText"/>
              <w:spacing w:after="0" w:line="240" w:lineRule="auto"/>
              <w:rPr>
                <w:rFonts w:ascii="Verdana" w:hAnsi="Verdana"/>
                <w:sz w:val="16"/>
                <w:szCs w:val="16"/>
                <w:lang w:val="bg-BG"/>
              </w:rPr>
            </w:pPr>
            <w:r>
              <w:rPr>
                <w:rFonts w:ascii="Verdana" w:hAnsi="Verdana"/>
                <w:sz w:val="16"/>
                <w:szCs w:val="16"/>
                <w:lang w:val="bg-BG"/>
              </w:rPr>
              <w:t>Не е посочен индикатор за резултат</w:t>
            </w:r>
          </w:p>
        </w:tc>
        <w:tc>
          <w:tcPr>
            <w:tcW w:w="2104" w:type="dxa"/>
          </w:tcPr>
          <w:p w:rsidR="00111C3E" w:rsidRPr="00B45B4F"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tc>
        <w:tc>
          <w:tcPr>
            <w:tcW w:w="2080" w:type="dxa"/>
          </w:tcPr>
          <w:p w:rsidR="00111C3E" w:rsidRPr="00B45B4F"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tc>
      </w:tr>
      <w:tr w:rsidR="00111C3E" w:rsidRPr="00B45B4F" w:rsidTr="003C4D02">
        <w:tc>
          <w:tcPr>
            <w:tcW w:w="14884" w:type="dxa"/>
            <w:gridSpan w:val="7"/>
          </w:tcPr>
          <w:p w:rsidR="00111C3E" w:rsidRPr="00B45B4F" w:rsidRDefault="00111C3E" w:rsidP="00F26744">
            <w:pPr>
              <w:widowControl w:val="0"/>
              <w:tabs>
                <w:tab w:val="left" w:pos="0"/>
                <w:tab w:val="right" w:pos="9214"/>
              </w:tabs>
              <w:spacing w:after="0" w:line="240" w:lineRule="auto"/>
              <w:jc w:val="both"/>
              <w:rPr>
                <w:rFonts w:ascii="Verdana" w:hAnsi="Verdana"/>
                <w:b/>
                <w:bCs/>
                <w:color w:val="000000"/>
                <w:sz w:val="16"/>
                <w:szCs w:val="16"/>
                <w:lang w:val="bg-BG" w:eastAsia="bg-BG"/>
              </w:rPr>
            </w:pPr>
            <w:r w:rsidRPr="00B45B4F">
              <w:rPr>
                <w:rFonts w:ascii="Verdana" w:hAnsi="Verdana"/>
                <w:b/>
                <w:sz w:val="16"/>
                <w:szCs w:val="16"/>
                <w:lang w:val="bg-BG"/>
              </w:rPr>
              <w:t>3. Образователна среда за активно социално приобщаване</w:t>
            </w:r>
          </w:p>
        </w:tc>
      </w:tr>
      <w:tr w:rsidR="007C44A3" w:rsidRPr="00B45B4F" w:rsidTr="003C4D02">
        <w:tc>
          <w:tcPr>
            <w:tcW w:w="1843" w:type="dxa"/>
          </w:tcPr>
          <w:p w:rsidR="00111C3E" w:rsidRPr="00B45B4F" w:rsidRDefault="00111C3E" w:rsidP="003C4D02">
            <w:pPr>
              <w:autoSpaceDE w:val="0"/>
              <w:autoSpaceDN w:val="0"/>
              <w:adjustRightInd w:val="0"/>
              <w:spacing w:after="0" w:line="240" w:lineRule="auto"/>
              <w:jc w:val="both"/>
              <w:rPr>
                <w:rFonts w:ascii="Verdana" w:hAnsi="Verdana"/>
                <w:sz w:val="16"/>
                <w:szCs w:val="16"/>
                <w:lang w:val="bg-BG"/>
              </w:rPr>
            </w:pPr>
            <w:r w:rsidRPr="00B45B4F">
              <w:rPr>
                <w:rFonts w:ascii="Verdana" w:hAnsi="Verdana"/>
                <w:sz w:val="16"/>
                <w:szCs w:val="16"/>
                <w:lang w:val="bg-BG"/>
              </w:rPr>
              <w:t>Повишаване на качеството и подобряване на достъпа до образование чрез създаване на подкрепяща среда за включващо образование</w:t>
            </w:r>
          </w:p>
        </w:tc>
        <w:tc>
          <w:tcPr>
            <w:tcW w:w="2299" w:type="dxa"/>
          </w:tcPr>
          <w:p w:rsidR="00111C3E" w:rsidRPr="00B45B4F" w:rsidRDefault="00111C3E" w:rsidP="003C4D02">
            <w:pPr>
              <w:pStyle w:val="Default"/>
              <w:jc w:val="both"/>
              <w:rPr>
                <w:rFonts w:ascii="Verdana" w:hAnsi="Verdana"/>
                <w:iCs/>
                <w:color w:val="auto"/>
                <w:sz w:val="16"/>
                <w:szCs w:val="16"/>
                <w:lang w:val="bg-BG"/>
              </w:rPr>
            </w:pPr>
            <w:r>
              <w:rPr>
                <w:rFonts w:ascii="Verdana" w:hAnsi="Verdana"/>
                <w:iCs/>
                <w:color w:val="auto"/>
                <w:sz w:val="16"/>
                <w:szCs w:val="16"/>
                <w:lang w:val="bg-BG"/>
              </w:rPr>
              <w:t xml:space="preserve">1) </w:t>
            </w:r>
            <w:r w:rsidRPr="00B45B4F">
              <w:rPr>
                <w:rFonts w:ascii="Verdana" w:hAnsi="Verdana"/>
                <w:iCs/>
                <w:color w:val="auto"/>
                <w:sz w:val="16"/>
                <w:szCs w:val="16"/>
                <w:lang w:val="bg-BG"/>
              </w:rPr>
              <w:t>Деца и ученици със специални образователни потребности, обхванати в системата на образованието чрез включващо обучение</w:t>
            </w:r>
          </w:p>
          <w:p w:rsidR="00111C3E" w:rsidRPr="00B45B4F" w:rsidRDefault="00111C3E" w:rsidP="003C4D02">
            <w:pPr>
              <w:pStyle w:val="Default"/>
              <w:jc w:val="both"/>
              <w:rPr>
                <w:rFonts w:ascii="Verdana" w:hAnsi="Verdana"/>
                <w:iCs/>
                <w:color w:val="auto"/>
                <w:sz w:val="16"/>
                <w:szCs w:val="16"/>
                <w:lang w:val="bg-BG"/>
              </w:rPr>
            </w:pPr>
          </w:p>
          <w:p w:rsidR="00111C3E" w:rsidRPr="00B45B4F" w:rsidRDefault="00111C3E" w:rsidP="003C4D02">
            <w:pPr>
              <w:pStyle w:val="Default"/>
              <w:jc w:val="both"/>
              <w:rPr>
                <w:rFonts w:ascii="Verdana" w:hAnsi="Verdana"/>
                <w:iCs/>
                <w:color w:val="auto"/>
                <w:sz w:val="16"/>
                <w:szCs w:val="16"/>
                <w:lang w:val="bg-BG"/>
              </w:rPr>
            </w:pPr>
            <w:r>
              <w:rPr>
                <w:rFonts w:ascii="Verdana" w:hAnsi="Verdana"/>
                <w:iCs/>
                <w:color w:val="auto"/>
                <w:sz w:val="16"/>
                <w:szCs w:val="16"/>
                <w:lang w:val="bg-BG"/>
              </w:rPr>
              <w:t xml:space="preserve">2) </w:t>
            </w:r>
            <w:r w:rsidRPr="00B45B4F">
              <w:rPr>
                <w:rFonts w:ascii="Verdana" w:hAnsi="Verdana"/>
                <w:iCs/>
                <w:color w:val="auto"/>
                <w:sz w:val="16"/>
                <w:szCs w:val="16"/>
                <w:lang w:val="bg-BG"/>
              </w:rPr>
              <w:t>Брой образователни институции осигурили подкрепяща среда за включващо обучение</w:t>
            </w:r>
          </w:p>
          <w:p w:rsidR="00111C3E" w:rsidRPr="00B45B4F" w:rsidRDefault="00111C3E" w:rsidP="003C4D02">
            <w:pPr>
              <w:pStyle w:val="Default"/>
              <w:jc w:val="both"/>
              <w:rPr>
                <w:rFonts w:ascii="Verdana" w:hAnsi="Verdana"/>
                <w:bCs/>
                <w:color w:val="auto"/>
                <w:sz w:val="16"/>
                <w:szCs w:val="16"/>
                <w:lang w:val="bg-BG"/>
              </w:rPr>
            </w:pPr>
          </w:p>
        </w:tc>
        <w:tc>
          <w:tcPr>
            <w:tcW w:w="2092" w:type="dxa"/>
          </w:tcPr>
          <w:p w:rsidR="00111C3E" w:rsidRPr="00B66B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sidRPr="00B66B3E">
              <w:rPr>
                <w:rFonts w:ascii="Verdana" w:hAnsi="Verdana"/>
                <w:bCs/>
                <w:color w:val="000000"/>
                <w:sz w:val="16"/>
                <w:szCs w:val="16"/>
                <w:lang w:val="bg-BG" w:eastAsia="bg-BG"/>
              </w:rPr>
              <w:t>1) Индикаторът е уместен, но има характер по-скоро на резултат</w:t>
            </w:r>
          </w:p>
          <w:p w:rsidR="00111C3E" w:rsidRPr="00B66B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Pr="00B66B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Pr="00B66B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Pr="00B66B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sidRPr="00B66B3E">
              <w:rPr>
                <w:rFonts w:ascii="Verdana" w:hAnsi="Verdana"/>
                <w:bCs/>
                <w:color w:val="000000"/>
                <w:sz w:val="16"/>
                <w:szCs w:val="16"/>
                <w:lang w:val="bg-BG" w:eastAsia="bg-BG"/>
              </w:rPr>
              <w:t>2) Индикаторът е уместен</w:t>
            </w:r>
          </w:p>
        </w:tc>
        <w:tc>
          <w:tcPr>
            <w:tcW w:w="2216" w:type="dxa"/>
          </w:tcPr>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1) Следва да се уточни какво се има предвид под „включващо обучение“</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Pr="00B45B4F"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2) Следва да се уточни какво се има предвид под „подкрепяща среда за включващо обучение“</w:t>
            </w:r>
          </w:p>
        </w:tc>
        <w:tc>
          <w:tcPr>
            <w:tcW w:w="2250" w:type="dxa"/>
          </w:tcPr>
          <w:p w:rsidR="00111C3E" w:rsidRPr="00B45B4F" w:rsidRDefault="00111C3E" w:rsidP="003C4D02">
            <w:pPr>
              <w:pStyle w:val="CommentText"/>
              <w:spacing w:after="0" w:line="240" w:lineRule="auto"/>
              <w:rPr>
                <w:rFonts w:ascii="Verdana" w:hAnsi="Verdana"/>
                <w:sz w:val="16"/>
                <w:szCs w:val="16"/>
                <w:lang w:val="bg-BG"/>
              </w:rPr>
            </w:pPr>
            <w:r w:rsidRPr="00B45B4F">
              <w:rPr>
                <w:rFonts w:ascii="Verdana" w:hAnsi="Verdana"/>
                <w:sz w:val="16"/>
                <w:szCs w:val="16"/>
                <w:lang w:val="bg-BG"/>
              </w:rPr>
              <w:t>Най-малко 25% от всички деца и ученици със специални образователни потребности в системата на народната просвета са обхванати от процеса на включващо обучение</w:t>
            </w:r>
          </w:p>
        </w:tc>
        <w:tc>
          <w:tcPr>
            <w:tcW w:w="2104" w:type="dxa"/>
          </w:tcPr>
          <w:p w:rsidR="00111C3E" w:rsidRPr="00B45B4F"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Индикаторът е уместен</w:t>
            </w:r>
          </w:p>
        </w:tc>
        <w:tc>
          <w:tcPr>
            <w:tcW w:w="2080" w:type="dxa"/>
          </w:tcPr>
          <w:p w:rsidR="00111C3E" w:rsidRPr="00B45B4F" w:rsidRDefault="00111C3E" w:rsidP="003C4D02">
            <w:pPr>
              <w:widowControl w:val="0"/>
              <w:tabs>
                <w:tab w:val="left" w:pos="0"/>
                <w:tab w:val="right" w:pos="9214"/>
              </w:tabs>
              <w:spacing w:after="0" w:line="240" w:lineRule="auto"/>
              <w:rPr>
                <w:rFonts w:ascii="Verdana" w:hAnsi="Verdana"/>
                <w:bCs/>
                <w:color w:val="000000"/>
                <w:sz w:val="16"/>
                <w:szCs w:val="16"/>
                <w:lang w:val="bg-BG" w:eastAsia="bg-BG"/>
              </w:rPr>
            </w:pPr>
            <w:r>
              <w:rPr>
                <w:rFonts w:ascii="Verdana" w:hAnsi="Verdana"/>
                <w:bCs/>
                <w:color w:val="000000"/>
                <w:sz w:val="16"/>
                <w:szCs w:val="16"/>
                <w:lang w:val="bg-BG" w:eastAsia="bg-BG"/>
              </w:rPr>
              <w:t>Следва да се уточни какво се има предвид под „обхванати от процеса на включващо обучение“</w:t>
            </w:r>
          </w:p>
        </w:tc>
      </w:tr>
      <w:tr w:rsidR="007C44A3" w:rsidRPr="00B45B4F" w:rsidTr="003C4D02">
        <w:tc>
          <w:tcPr>
            <w:tcW w:w="1843" w:type="dxa"/>
          </w:tcPr>
          <w:p w:rsidR="00111C3E" w:rsidRPr="00B45B4F" w:rsidRDefault="00111C3E" w:rsidP="003C4D02">
            <w:pPr>
              <w:autoSpaceDE w:val="0"/>
              <w:autoSpaceDN w:val="0"/>
              <w:adjustRightInd w:val="0"/>
              <w:spacing w:after="0" w:line="240" w:lineRule="auto"/>
              <w:jc w:val="both"/>
              <w:rPr>
                <w:rFonts w:ascii="Verdana" w:hAnsi="Verdana"/>
                <w:sz w:val="16"/>
                <w:szCs w:val="16"/>
                <w:lang w:val="bg-BG"/>
              </w:rPr>
            </w:pPr>
            <w:r w:rsidRPr="00B45B4F">
              <w:rPr>
                <w:rFonts w:ascii="Verdana" w:hAnsi="Verdana"/>
                <w:sz w:val="16"/>
                <w:szCs w:val="16"/>
                <w:lang w:val="bg-BG"/>
              </w:rPr>
              <w:t xml:space="preserve">Изграждане на образователна среда, насърчаваща разгръщането на потенциала на всяко дете и ученик за </w:t>
            </w:r>
            <w:r w:rsidRPr="00B45B4F">
              <w:rPr>
                <w:rFonts w:ascii="Verdana" w:hAnsi="Verdana"/>
                <w:sz w:val="16"/>
                <w:szCs w:val="16"/>
                <w:lang w:val="bg-BG"/>
              </w:rPr>
              <w:lastRenderedPageBreak/>
              <w:t>личностно развитие, успешна реализация и  социализация</w:t>
            </w:r>
          </w:p>
        </w:tc>
        <w:tc>
          <w:tcPr>
            <w:tcW w:w="2299" w:type="dxa"/>
          </w:tcPr>
          <w:p w:rsidR="00111C3E" w:rsidRPr="00B45B4F" w:rsidRDefault="00111C3E" w:rsidP="003C4D02">
            <w:pPr>
              <w:pStyle w:val="Default"/>
              <w:jc w:val="both"/>
              <w:rPr>
                <w:rFonts w:ascii="Verdana" w:hAnsi="Verdana"/>
                <w:iCs/>
                <w:color w:val="auto"/>
                <w:sz w:val="16"/>
                <w:szCs w:val="16"/>
                <w:lang w:val="bg-BG"/>
              </w:rPr>
            </w:pPr>
            <w:r w:rsidRPr="00B45B4F">
              <w:rPr>
                <w:rFonts w:ascii="Verdana" w:hAnsi="Verdana"/>
                <w:bCs/>
                <w:color w:val="auto"/>
                <w:sz w:val="16"/>
                <w:szCs w:val="16"/>
                <w:lang w:val="bg-BG"/>
              </w:rPr>
              <w:lastRenderedPageBreak/>
              <w:t>Брой деца и ученици, обхванати от извънкласни и извън училищни занимания</w:t>
            </w:r>
          </w:p>
        </w:tc>
        <w:tc>
          <w:tcPr>
            <w:tcW w:w="2092" w:type="dxa"/>
          </w:tcPr>
          <w:p w:rsidR="00111C3E" w:rsidRPr="00B45B4F"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sidRPr="0097294B">
              <w:rPr>
                <w:rFonts w:ascii="Verdana" w:hAnsi="Verdana"/>
                <w:bCs/>
                <w:color w:val="000000"/>
                <w:sz w:val="16"/>
                <w:szCs w:val="16"/>
                <w:lang w:val="bg-BG" w:eastAsia="bg-BG"/>
              </w:rPr>
              <w:t xml:space="preserve">Индикаторът е уместен, но </w:t>
            </w:r>
            <w:r w:rsidR="0097294B" w:rsidRPr="0097294B">
              <w:rPr>
                <w:rFonts w:ascii="Verdana" w:hAnsi="Verdana"/>
                <w:bCs/>
                <w:color w:val="000000"/>
                <w:sz w:val="16"/>
                <w:szCs w:val="16"/>
                <w:lang w:val="bg-BG" w:eastAsia="bg-BG"/>
              </w:rPr>
              <w:t xml:space="preserve">в зависимост от подкрепата </w:t>
            </w:r>
            <w:r w:rsidRPr="0097294B">
              <w:rPr>
                <w:rFonts w:ascii="Verdana" w:hAnsi="Verdana"/>
                <w:bCs/>
                <w:color w:val="000000"/>
                <w:sz w:val="16"/>
                <w:szCs w:val="16"/>
                <w:lang w:val="bg-BG" w:eastAsia="bg-BG"/>
              </w:rPr>
              <w:t>има характер по-скоро на резултат</w:t>
            </w:r>
          </w:p>
        </w:tc>
        <w:tc>
          <w:tcPr>
            <w:tcW w:w="2216" w:type="dxa"/>
          </w:tcPr>
          <w:p w:rsidR="00111C3E" w:rsidRPr="00B45B4F"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 xml:space="preserve">Следва да се уточни какво се има предвид под „обхванати от извънкласни и извън училищни занимания </w:t>
            </w:r>
            <w:r>
              <w:rPr>
                <w:rFonts w:ascii="Verdana" w:hAnsi="Verdana"/>
                <w:bCs/>
                <w:color w:val="000000"/>
                <w:sz w:val="16"/>
                <w:szCs w:val="16"/>
                <w:lang w:val="bg-BG" w:eastAsia="bg-BG"/>
              </w:rPr>
              <w:lastRenderedPageBreak/>
              <w:t>(дейности)“</w:t>
            </w:r>
          </w:p>
        </w:tc>
        <w:tc>
          <w:tcPr>
            <w:tcW w:w="2250" w:type="dxa"/>
          </w:tcPr>
          <w:p w:rsidR="00111C3E" w:rsidRPr="00B45B4F" w:rsidRDefault="00111C3E" w:rsidP="003C4D02">
            <w:pPr>
              <w:pStyle w:val="Default"/>
              <w:jc w:val="both"/>
              <w:rPr>
                <w:rFonts w:ascii="Verdana" w:hAnsi="Verdana"/>
                <w:bCs/>
                <w:color w:val="auto"/>
                <w:sz w:val="16"/>
                <w:szCs w:val="16"/>
                <w:lang w:val="bg-BG"/>
              </w:rPr>
            </w:pPr>
            <w:r>
              <w:rPr>
                <w:rFonts w:ascii="Verdana" w:hAnsi="Verdana"/>
                <w:bCs/>
                <w:color w:val="auto"/>
                <w:sz w:val="16"/>
                <w:szCs w:val="16"/>
                <w:lang w:val="bg-BG"/>
              </w:rPr>
              <w:lastRenderedPageBreak/>
              <w:t xml:space="preserve">1) </w:t>
            </w:r>
            <w:r w:rsidRPr="00B45B4F">
              <w:rPr>
                <w:rFonts w:ascii="Verdana" w:hAnsi="Verdana"/>
                <w:bCs/>
                <w:color w:val="auto"/>
                <w:sz w:val="16"/>
                <w:szCs w:val="16"/>
                <w:lang w:val="bg-BG"/>
              </w:rPr>
              <w:t>Най-много 11% ПНУ от лицата на възраст между 18 и 24 г.</w:t>
            </w:r>
          </w:p>
          <w:p w:rsidR="00111C3E" w:rsidRPr="00B45B4F" w:rsidRDefault="00111C3E" w:rsidP="003C4D02">
            <w:pPr>
              <w:pStyle w:val="Default"/>
              <w:jc w:val="both"/>
              <w:rPr>
                <w:rFonts w:ascii="Verdana" w:hAnsi="Verdana"/>
                <w:bCs/>
                <w:color w:val="auto"/>
                <w:sz w:val="16"/>
                <w:szCs w:val="16"/>
                <w:lang w:val="bg-BG"/>
              </w:rPr>
            </w:pPr>
          </w:p>
          <w:p w:rsidR="00111C3E" w:rsidRPr="00B45B4F" w:rsidRDefault="00111C3E" w:rsidP="003C4D02">
            <w:pPr>
              <w:pStyle w:val="CommentText"/>
              <w:spacing w:after="0" w:line="240" w:lineRule="auto"/>
              <w:rPr>
                <w:rFonts w:ascii="Verdana" w:hAnsi="Verdana"/>
                <w:sz w:val="16"/>
                <w:szCs w:val="16"/>
                <w:lang w:val="bg-BG"/>
              </w:rPr>
            </w:pPr>
            <w:r>
              <w:rPr>
                <w:rFonts w:ascii="Verdana" w:hAnsi="Verdana"/>
                <w:bCs/>
                <w:sz w:val="16"/>
                <w:szCs w:val="16"/>
                <w:lang w:val="bg-BG"/>
              </w:rPr>
              <w:t xml:space="preserve">2) </w:t>
            </w:r>
            <w:r w:rsidRPr="00B45B4F">
              <w:rPr>
                <w:rFonts w:ascii="Verdana" w:hAnsi="Verdana"/>
                <w:bCs/>
                <w:sz w:val="16"/>
                <w:szCs w:val="16"/>
                <w:lang w:val="bg-BG"/>
              </w:rPr>
              <w:t xml:space="preserve">Дял на децата и </w:t>
            </w:r>
            <w:r w:rsidRPr="00B45B4F">
              <w:rPr>
                <w:rFonts w:ascii="Verdana" w:hAnsi="Verdana"/>
                <w:bCs/>
                <w:sz w:val="16"/>
                <w:szCs w:val="16"/>
                <w:lang w:val="bg-BG"/>
              </w:rPr>
              <w:lastRenderedPageBreak/>
              <w:t>учениците с високи постижения в различни области на науката, културата, изкуството и спорта.</w:t>
            </w:r>
          </w:p>
        </w:tc>
        <w:tc>
          <w:tcPr>
            <w:tcW w:w="2104" w:type="dxa"/>
          </w:tcPr>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lastRenderedPageBreak/>
              <w:t>1) Индикаторът не е обвързан пряко със специфичната цел</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Pr="00B45B4F" w:rsidRDefault="00111C3E" w:rsidP="00C20440">
            <w:pPr>
              <w:widowControl w:val="0"/>
              <w:tabs>
                <w:tab w:val="left" w:pos="0"/>
                <w:tab w:val="right" w:pos="9214"/>
              </w:tabs>
              <w:spacing w:after="0" w:line="240" w:lineRule="auto"/>
              <w:jc w:val="both"/>
              <w:rPr>
                <w:rFonts w:ascii="Verdana" w:hAnsi="Verdana"/>
                <w:bCs/>
                <w:color w:val="000000"/>
                <w:sz w:val="16"/>
                <w:szCs w:val="16"/>
                <w:lang w:val="bg-BG" w:eastAsia="bg-BG"/>
              </w:rPr>
            </w:pPr>
            <w:r w:rsidRPr="00C20440">
              <w:rPr>
                <w:rFonts w:ascii="Verdana" w:hAnsi="Verdana"/>
                <w:bCs/>
                <w:color w:val="000000"/>
                <w:sz w:val="16"/>
                <w:szCs w:val="16"/>
                <w:lang w:val="bg-BG" w:eastAsia="bg-BG"/>
              </w:rPr>
              <w:t xml:space="preserve">2) Индикаторът </w:t>
            </w:r>
            <w:r w:rsidR="00C20440" w:rsidRPr="00C20440">
              <w:rPr>
                <w:rFonts w:ascii="Verdana" w:hAnsi="Verdana"/>
                <w:bCs/>
                <w:color w:val="000000"/>
                <w:sz w:val="16"/>
                <w:szCs w:val="16"/>
                <w:lang w:val="bg-BG" w:eastAsia="bg-BG"/>
              </w:rPr>
              <w:t xml:space="preserve">следва да се използва само ако са </w:t>
            </w:r>
            <w:r w:rsidR="00C20440" w:rsidRPr="00C20440">
              <w:rPr>
                <w:rFonts w:ascii="Verdana" w:hAnsi="Verdana"/>
                <w:bCs/>
                <w:color w:val="000000"/>
                <w:sz w:val="16"/>
                <w:szCs w:val="16"/>
                <w:lang w:val="bg-BG" w:eastAsia="bg-BG"/>
              </w:rPr>
              <w:lastRenderedPageBreak/>
              <w:t xml:space="preserve">налични достатъчно данни, с които да </w:t>
            </w:r>
            <w:r w:rsidRPr="00C20440">
              <w:rPr>
                <w:rFonts w:ascii="Verdana" w:hAnsi="Verdana"/>
                <w:bCs/>
                <w:color w:val="000000"/>
                <w:sz w:val="16"/>
                <w:szCs w:val="16"/>
                <w:lang w:val="bg-BG" w:eastAsia="bg-BG"/>
              </w:rPr>
              <w:t xml:space="preserve">може да бъде измерен </w:t>
            </w:r>
          </w:p>
        </w:tc>
        <w:tc>
          <w:tcPr>
            <w:tcW w:w="2080" w:type="dxa"/>
          </w:tcPr>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lastRenderedPageBreak/>
              <w:t>1) –</w:t>
            </w: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p>
          <w:p w:rsidR="00111C3E" w:rsidRPr="00B45B4F"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 xml:space="preserve">2) - </w:t>
            </w:r>
          </w:p>
        </w:tc>
      </w:tr>
      <w:tr w:rsidR="007C44A3" w:rsidRPr="00B45B4F" w:rsidTr="003C4D02">
        <w:tc>
          <w:tcPr>
            <w:tcW w:w="1843" w:type="dxa"/>
          </w:tcPr>
          <w:p w:rsidR="00111C3E" w:rsidRPr="00B45B4F" w:rsidRDefault="00111C3E" w:rsidP="003C4D02">
            <w:pPr>
              <w:autoSpaceDE w:val="0"/>
              <w:autoSpaceDN w:val="0"/>
              <w:adjustRightInd w:val="0"/>
              <w:spacing w:after="0" w:line="240" w:lineRule="auto"/>
              <w:jc w:val="both"/>
              <w:rPr>
                <w:rFonts w:ascii="Verdana" w:hAnsi="Verdana"/>
                <w:sz w:val="16"/>
                <w:szCs w:val="16"/>
                <w:lang w:val="bg-BG"/>
              </w:rPr>
            </w:pPr>
            <w:r w:rsidRPr="00B45B4F">
              <w:rPr>
                <w:rFonts w:ascii="Verdana" w:hAnsi="Verdana"/>
                <w:sz w:val="16"/>
                <w:szCs w:val="16"/>
                <w:lang w:val="bg-BG"/>
              </w:rPr>
              <w:lastRenderedPageBreak/>
              <w:t>Ефективна интеграция в образователната система на деца, ученици и младежи от етническите малцинства и от други уязвими групи</w:t>
            </w:r>
          </w:p>
        </w:tc>
        <w:tc>
          <w:tcPr>
            <w:tcW w:w="2299" w:type="dxa"/>
          </w:tcPr>
          <w:p w:rsidR="00111C3E" w:rsidRPr="0097294B" w:rsidRDefault="00111C3E" w:rsidP="00934A2B">
            <w:pPr>
              <w:pStyle w:val="Default"/>
              <w:jc w:val="both"/>
              <w:rPr>
                <w:rFonts w:ascii="Verdana" w:hAnsi="Verdana"/>
                <w:bCs/>
                <w:color w:val="auto"/>
                <w:sz w:val="16"/>
                <w:szCs w:val="16"/>
                <w:lang w:val="bg-BG"/>
              </w:rPr>
            </w:pPr>
            <w:r w:rsidRPr="0097294B">
              <w:rPr>
                <w:rFonts w:ascii="Verdana" w:hAnsi="Verdana"/>
                <w:color w:val="auto"/>
                <w:sz w:val="16"/>
                <w:szCs w:val="16"/>
                <w:lang w:val="bg-BG"/>
              </w:rPr>
              <w:t>Брой деца,  ученици, младежи от ромски произход,</w:t>
            </w:r>
            <w:r w:rsidR="00934A2B">
              <w:rPr>
                <w:rFonts w:ascii="Verdana" w:hAnsi="Verdana"/>
                <w:color w:val="auto"/>
                <w:sz w:val="16"/>
                <w:szCs w:val="16"/>
                <w:lang w:val="bg-BG"/>
              </w:rPr>
              <w:t xml:space="preserve"> </w:t>
            </w:r>
            <w:r w:rsidRPr="0097294B">
              <w:rPr>
                <w:rFonts w:ascii="Verdana" w:hAnsi="Verdana"/>
                <w:sz w:val="16"/>
                <w:szCs w:val="16"/>
                <w:lang w:val="bg-BG"/>
              </w:rPr>
              <w:t>включени в мерки за образователна интеграция и реинтеграция</w:t>
            </w:r>
          </w:p>
        </w:tc>
        <w:tc>
          <w:tcPr>
            <w:tcW w:w="2092" w:type="dxa"/>
          </w:tcPr>
          <w:p w:rsidR="00111C3E" w:rsidRPr="0097294B" w:rsidRDefault="00111C3E" w:rsidP="003E57EE">
            <w:pPr>
              <w:widowControl w:val="0"/>
              <w:tabs>
                <w:tab w:val="left" w:pos="0"/>
                <w:tab w:val="right" w:pos="9214"/>
              </w:tabs>
              <w:spacing w:after="0" w:line="240" w:lineRule="auto"/>
              <w:jc w:val="both"/>
              <w:rPr>
                <w:rFonts w:ascii="Verdana" w:hAnsi="Verdana"/>
                <w:bCs/>
                <w:color w:val="000000"/>
                <w:sz w:val="16"/>
                <w:szCs w:val="16"/>
                <w:lang w:val="bg-BG" w:eastAsia="bg-BG"/>
              </w:rPr>
            </w:pPr>
            <w:r w:rsidRPr="0097294B">
              <w:rPr>
                <w:rFonts w:ascii="Verdana" w:hAnsi="Verdana"/>
                <w:bCs/>
                <w:color w:val="000000"/>
                <w:sz w:val="16"/>
                <w:szCs w:val="16"/>
                <w:lang w:val="bg-BG" w:eastAsia="bg-BG"/>
              </w:rPr>
              <w:t>Индикаторът е уместен</w:t>
            </w:r>
          </w:p>
        </w:tc>
        <w:tc>
          <w:tcPr>
            <w:tcW w:w="2216" w:type="dxa"/>
          </w:tcPr>
          <w:p w:rsidR="00111C3E" w:rsidRPr="00B45B4F" w:rsidRDefault="00934A2B"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Индикаторът е ясен</w:t>
            </w:r>
          </w:p>
        </w:tc>
        <w:tc>
          <w:tcPr>
            <w:tcW w:w="2250" w:type="dxa"/>
          </w:tcPr>
          <w:p w:rsidR="00111C3E" w:rsidRPr="00B45B4F" w:rsidRDefault="00111C3E" w:rsidP="003C4D02">
            <w:pPr>
              <w:pStyle w:val="Default"/>
              <w:jc w:val="both"/>
              <w:rPr>
                <w:rFonts w:ascii="Verdana" w:hAnsi="Verdana"/>
                <w:bCs/>
                <w:color w:val="auto"/>
                <w:sz w:val="16"/>
                <w:szCs w:val="16"/>
                <w:lang w:val="bg-BG"/>
              </w:rPr>
            </w:pPr>
            <w:r w:rsidRPr="00B45B4F">
              <w:rPr>
                <w:rFonts w:ascii="Verdana" w:hAnsi="Verdana"/>
                <w:sz w:val="16"/>
                <w:szCs w:val="16"/>
                <w:lang w:val="bg-BG"/>
              </w:rPr>
              <w:t>Брой лица, участващи в мерки, насочени към превенция на ранното отпадане от училище</w:t>
            </w:r>
          </w:p>
        </w:tc>
        <w:tc>
          <w:tcPr>
            <w:tcW w:w="2104" w:type="dxa"/>
          </w:tcPr>
          <w:p w:rsidR="00111C3E" w:rsidRPr="00B45B4F" w:rsidRDefault="00111C3E" w:rsidP="00B66B3E">
            <w:pPr>
              <w:widowControl w:val="0"/>
              <w:tabs>
                <w:tab w:val="left" w:pos="0"/>
                <w:tab w:val="right" w:pos="9214"/>
              </w:tabs>
              <w:spacing w:after="0" w:line="240" w:lineRule="auto"/>
              <w:jc w:val="both"/>
              <w:rPr>
                <w:rFonts w:ascii="Verdana" w:hAnsi="Verdana"/>
                <w:bCs/>
                <w:color w:val="000000"/>
                <w:sz w:val="16"/>
                <w:szCs w:val="16"/>
                <w:lang w:val="bg-BG" w:eastAsia="bg-BG"/>
              </w:rPr>
            </w:pPr>
            <w:r w:rsidRPr="00B66B3E">
              <w:rPr>
                <w:rFonts w:ascii="Verdana" w:hAnsi="Verdana"/>
                <w:bCs/>
                <w:color w:val="000000"/>
                <w:sz w:val="16"/>
                <w:szCs w:val="16"/>
                <w:lang w:val="bg-BG" w:eastAsia="bg-BG"/>
              </w:rPr>
              <w:t xml:space="preserve">Индикаторът е </w:t>
            </w:r>
            <w:r w:rsidR="00B66B3E" w:rsidRPr="00B66B3E">
              <w:rPr>
                <w:rFonts w:ascii="Verdana" w:hAnsi="Verdana"/>
                <w:bCs/>
                <w:color w:val="000000"/>
                <w:sz w:val="16"/>
                <w:szCs w:val="16"/>
                <w:lang w:val="bg-BG" w:eastAsia="bg-BG"/>
              </w:rPr>
              <w:t>сходен с предложения индикатор за продукт.</w:t>
            </w:r>
          </w:p>
        </w:tc>
        <w:tc>
          <w:tcPr>
            <w:tcW w:w="2080" w:type="dxa"/>
          </w:tcPr>
          <w:p w:rsidR="00111C3E" w:rsidRPr="00B45B4F" w:rsidRDefault="00111C3E" w:rsidP="003C4D02">
            <w:pPr>
              <w:widowControl w:val="0"/>
              <w:tabs>
                <w:tab w:val="left" w:pos="0"/>
                <w:tab w:val="right" w:pos="9214"/>
              </w:tabs>
              <w:spacing w:after="0" w:line="240" w:lineRule="auto"/>
              <w:jc w:val="both"/>
              <w:rPr>
                <w:rFonts w:ascii="Verdana" w:hAnsi="Verdana"/>
                <w:bCs/>
                <w:color w:val="000000"/>
                <w:sz w:val="16"/>
                <w:szCs w:val="16"/>
                <w:lang w:val="bg-BG" w:eastAsia="bg-BG"/>
              </w:rPr>
            </w:pPr>
            <w:r>
              <w:rPr>
                <w:rFonts w:ascii="Verdana" w:hAnsi="Verdana"/>
                <w:bCs/>
                <w:color w:val="000000"/>
                <w:sz w:val="16"/>
                <w:szCs w:val="16"/>
                <w:lang w:val="bg-BG" w:eastAsia="bg-BG"/>
              </w:rPr>
              <w:t>Обхватът на индикатора следва да се уточни</w:t>
            </w:r>
          </w:p>
        </w:tc>
      </w:tr>
    </w:tbl>
    <w:p w:rsidR="00111C3E" w:rsidRDefault="00111C3E" w:rsidP="0045263B">
      <w:pPr>
        <w:widowControl w:val="0"/>
        <w:tabs>
          <w:tab w:val="left" w:pos="0"/>
          <w:tab w:val="right" w:pos="9214"/>
        </w:tabs>
        <w:spacing w:after="120"/>
        <w:jc w:val="both"/>
        <w:rPr>
          <w:rFonts w:ascii="Verdana" w:hAnsi="Verdana"/>
          <w:bCs/>
          <w:color w:val="000000"/>
          <w:sz w:val="20"/>
          <w:szCs w:val="20"/>
          <w:lang w:val="bg-BG" w:eastAsia="bg-BG"/>
        </w:rPr>
      </w:pPr>
    </w:p>
    <w:p w:rsidR="00637FBD" w:rsidRDefault="00637FBD" w:rsidP="0045263B">
      <w:pPr>
        <w:widowControl w:val="0"/>
        <w:tabs>
          <w:tab w:val="left" w:pos="0"/>
          <w:tab w:val="right" w:pos="9214"/>
        </w:tabs>
        <w:spacing w:after="120"/>
        <w:jc w:val="both"/>
        <w:rPr>
          <w:rFonts w:ascii="Verdana" w:hAnsi="Verdana"/>
          <w:bCs/>
          <w:color w:val="000000"/>
          <w:sz w:val="20"/>
          <w:szCs w:val="20"/>
          <w:lang w:val="bg-BG" w:eastAsia="bg-BG"/>
        </w:rPr>
      </w:pPr>
    </w:p>
    <w:p w:rsidR="00270CD6" w:rsidRPr="00B45B4F" w:rsidRDefault="00270CD6" w:rsidP="00270CD6">
      <w:pPr>
        <w:pStyle w:val="Caption"/>
        <w:keepNext/>
        <w:spacing w:after="120"/>
        <w:rPr>
          <w:rFonts w:ascii="Verdana" w:hAnsi="Verdana"/>
          <w:color w:val="548DD4" w:themeColor="text2" w:themeTint="99"/>
        </w:rPr>
      </w:pPr>
      <w:bookmarkStart w:id="128" w:name="_Toc395612592"/>
      <w:r w:rsidRPr="002F203A">
        <w:rPr>
          <w:rFonts w:ascii="Verdana" w:hAnsi="Verdana"/>
          <w:color w:val="548DD4" w:themeColor="text2" w:themeTint="99"/>
        </w:rPr>
        <w:t xml:space="preserve">Таблица </w:t>
      </w:r>
      <w:r w:rsidRPr="002F203A">
        <w:rPr>
          <w:rFonts w:ascii="Verdana" w:hAnsi="Verdana"/>
          <w:color w:val="548DD4" w:themeColor="text2" w:themeTint="99"/>
        </w:rPr>
        <w:fldChar w:fldCharType="begin"/>
      </w:r>
      <w:r w:rsidRPr="002F203A">
        <w:rPr>
          <w:rFonts w:ascii="Verdana" w:hAnsi="Verdana"/>
          <w:color w:val="548DD4" w:themeColor="text2" w:themeTint="99"/>
        </w:rPr>
        <w:instrText xml:space="preserve"> SEQ таблица \* ARABIC </w:instrText>
      </w:r>
      <w:r w:rsidRPr="002F203A">
        <w:rPr>
          <w:rFonts w:ascii="Verdana" w:hAnsi="Verdana"/>
          <w:color w:val="548DD4" w:themeColor="text2" w:themeTint="99"/>
        </w:rPr>
        <w:fldChar w:fldCharType="separate"/>
      </w:r>
      <w:r w:rsidR="001361E0">
        <w:rPr>
          <w:rFonts w:ascii="Verdana" w:hAnsi="Verdana"/>
          <w:noProof/>
          <w:color w:val="548DD4" w:themeColor="text2" w:themeTint="99"/>
        </w:rPr>
        <w:t>36</w:t>
      </w:r>
      <w:r w:rsidRPr="002F203A">
        <w:rPr>
          <w:rFonts w:ascii="Verdana" w:hAnsi="Verdana"/>
          <w:color w:val="548DD4" w:themeColor="text2" w:themeTint="99"/>
        </w:rPr>
        <w:fldChar w:fldCharType="end"/>
      </w:r>
      <w:r w:rsidRPr="002F203A">
        <w:rPr>
          <w:rFonts w:ascii="Verdana" w:hAnsi="Verdana"/>
          <w:color w:val="548DD4" w:themeColor="text2" w:themeTint="99"/>
        </w:rPr>
        <w:t>.</w:t>
      </w:r>
      <w:r>
        <w:rPr>
          <w:rFonts w:ascii="Verdana" w:hAnsi="Verdana"/>
          <w:color w:val="548DD4" w:themeColor="text2" w:themeTint="99"/>
        </w:rPr>
        <w:t>Коментар по предложената нова система от индикатори за изпълнение</w:t>
      </w:r>
      <w:bookmarkEnd w:id="128"/>
      <w:r>
        <w:rPr>
          <w:rFonts w:ascii="Verdana" w:hAnsi="Verdana"/>
          <w:color w:val="548DD4" w:themeColor="text2" w:themeTint="99"/>
        </w:rPr>
        <w:t xml:space="preserve"> </w:t>
      </w:r>
    </w:p>
    <w:tbl>
      <w:tblPr>
        <w:tblStyle w:val="TableGrid"/>
        <w:tblW w:w="14884" w:type="dxa"/>
        <w:tblInd w:w="-459" w:type="dxa"/>
        <w:tblLayout w:type="fixed"/>
        <w:tblLook w:val="04A0" w:firstRow="1" w:lastRow="0" w:firstColumn="1" w:lastColumn="0" w:noHBand="0" w:noVBand="1"/>
      </w:tblPr>
      <w:tblGrid>
        <w:gridCol w:w="2382"/>
        <w:gridCol w:w="2041"/>
        <w:gridCol w:w="1414"/>
        <w:gridCol w:w="1800"/>
        <w:gridCol w:w="30"/>
        <w:gridCol w:w="15"/>
        <w:gridCol w:w="992"/>
        <w:gridCol w:w="867"/>
        <w:gridCol w:w="1260"/>
        <w:gridCol w:w="991"/>
        <w:gridCol w:w="3092"/>
      </w:tblGrid>
      <w:tr w:rsidR="005A01D9" w:rsidRPr="00B45B4F" w:rsidTr="00B122A1">
        <w:trPr>
          <w:tblHeader/>
        </w:trPr>
        <w:tc>
          <w:tcPr>
            <w:tcW w:w="2382" w:type="dxa"/>
            <w:vMerge w:val="restart"/>
            <w:shd w:val="clear" w:color="auto" w:fill="1F497D" w:themeFill="text2"/>
          </w:tcPr>
          <w:p w:rsidR="005A01D9" w:rsidRPr="00B45B4F" w:rsidRDefault="005A01D9" w:rsidP="00B122A1">
            <w:pPr>
              <w:widowControl w:val="0"/>
              <w:tabs>
                <w:tab w:val="left" w:pos="0"/>
                <w:tab w:val="right" w:pos="9214"/>
              </w:tabs>
              <w:spacing w:after="0" w:line="240" w:lineRule="auto"/>
              <w:jc w:val="center"/>
              <w:rPr>
                <w:rFonts w:ascii="Verdana" w:hAnsi="Verdana"/>
                <w:b/>
                <w:bCs/>
                <w:color w:val="FFFFFF" w:themeColor="background1"/>
                <w:sz w:val="16"/>
                <w:szCs w:val="16"/>
                <w:lang w:val="bg-BG"/>
              </w:rPr>
            </w:pPr>
            <w:r w:rsidRPr="00B45B4F">
              <w:rPr>
                <w:rFonts w:ascii="Verdana" w:hAnsi="Verdana"/>
                <w:b/>
                <w:bCs/>
                <w:color w:val="FFFFFF" w:themeColor="background1"/>
                <w:sz w:val="16"/>
                <w:szCs w:val="16"/>
                <w:lang w:val="bg-BG"/>
              </w:rPr>
              <w:t>Специфична цел</w:t>
            </w:r>
          </w:p>
        </w:tc>
        <w:tc>
          <w:tcPr>
            <w:tcW w:w="2041" w:type="dxa"/>
            <w:vMerge w:val="restart"/>
            <w:shd w:val="clear" w:color="auto" w:fill="1F497D" w:themeFill="text2"/>
          </w:tcPr>
          <w:p w:rsidR="005A01D9" w:rsidRPr="00B45B4F" w:rsidRDefault="005A01D9" w:rsidP="00B122A1">
            <w:pPr>
              <w:widowControl w:val="0"/>
              <w:tabs>
                <w:tab w:val="left" w:pos="0"/>
                <w:tab w:val="right" w:pos="9214"/>
              </w:tabs>
              <w:spacing w:after="0" w:line="240" w:lineRule="auto"/>
              <w:jc w:val="center"/>
              <w:rPr>
                <w:rFonts w:ascii="Verdana" w:hAnsi="Verdana"/>
                <w:b/>
                <w:bCs/>
                <w:color w:val="FFFFFF" w:themeColor="background1"/>
                <w:sz w:val="16"/>
                <w:szCs w:val="16"/>
                <w:lang w:val="bg-BG"/>
              </w:rPr>
            </w:pPr>
            <w:r w:rsidRPr="00B45B4F">
              <w:rPr>
                <w:rFonts w:ascii="Verdana" w:hAnsi="Verdana"/>
                <w:b/>
                <w:bCs/>
                <w:color w:val="FFFFFF" w:themeColor="background1"/>
                <w:sz w:val="16"/>
                <w:szCs w:val="16"/>
                <w:lang w:val="bg-BG"/>
              </w:rPr>
              <w:t>Индикатор за изпълнение</w:t>
            </w:r>
          </w:p>
        </w:tc>
        <w:tc>
          <w:tcPr>
            <w:tcW w:w="1414" w:type="dxa"/>
            <w:vMerge w:val="restart"/>
            <w:shd w:val="clear" w:color="auto" w:fill="1F497D" w:themeFill="text2"/>
          </w:tcPr>
          <w:p w:rsidR="005A01D9" w:rsidRPr="00B45B4F" w:rsidRDefault="005A01D9" w:rsidP="00B122A1">
            <w:pPr>
              <w:widowControl w:val="0"/>
              <w:tabs>
                <w:tab w:val="left" w:pos="0"/>
                <w:tab w:val="right" w:pos="9214"/>
              </w:tabs>
              <w:spacing w:after="0" w:line="240" w:lineRule="auto"/>
              <w:jc w:val="center"/>
              <w:rPr>
                <w:rFonts w:ascii="Verdana" w:hAnsi="Verdana"/>
                <w:b/>
                <w:bCs/>
                <w:color w:val="FFFFFF" w:themeColor="background1"/>
                <w:sz w:val="16"/>
                <w:szCs w:val="16"/>
                <w:lang w:val="bg-BG"/>
              </w:rPr>
            </w:pPr>
            <w:r w:rsidRPr="00B45B4F">
              <w:rPr>
                <w:rFonts w:ascii="Verdana" w:hAnsi="Verdana"/>
                <w:b/>
                <w:bCs/>
                <w:color w:val="FFFFFF" w:themeColor="background1"/>
                <w:sz w:val="16"/>
                <w:szCs w:val="16"/>
                <w:lang w:val="bg-BG"/>
              </w:rPr>
              <w:t>Уместност</w:t>
            </w:r>
          </w:p>
        </w:tc>
        <w:tc>
          <w:tcPr>
            <w:tcW w:w="1830" w:type="dxa"/>
            <w:gridSpan w:val="2"/>
            <w:vMerge w:val="restart"/>
            <w:shd w:val="clear" w:color="auto" w:fill="1F497D" w:themeFill="text2"/>
          </w:tcPr>
          <w:p w:rsidR="005A01D9" w:rsidRPr="00B45B4F" w:rsidRDefault="005A01D9" w:rsidP="00B122A1">
            <w:pPr>
              <w:widowControl w:val="0"/>
              <w:tabs>
                <w:tab w:val="left" w:pos="0"/>
                <w:tab w:val="right" w:pos="9214"/>
              </w:tabs>
              <w:spacing w:after="0" w:line="240" w:lineRule="auto"/>
              <w:jc w:val="center"/>
              <w:rPr>
                <w:rFonts w:ascii="Verdana" w:hAnsi="Verdana"/>
                <w:b/>
                <w:bCs/>
                <w:color w:val="FFFFFF" w:themeColor="background1"/>
                <w:sz w:val="16"/>
                <w:szCs w:val="16"/>
                <w:lang w:val="bg-BG"/>
              </w:rPr>
            </w:pPr>
            <w:r w:rsidRPr="00B45B4F">
              <w:rPr>
                <w:rFonts w:ascii="Verdana" w:hAnsi="Verdana"/>
                <w:b/>
                <w:bCs/>
                <w:color w:val="FFFFFF" w:themeColor="background1"/>
                <w:sz w:val="16"/>
                <w:szCs w:val="16"/>
                <w:lang w:val="bg-BG"/>
              </w:rPr>
              <w:t>Яснота</w:t>
            </w:r>
          </w:p>
        </w:tc>
        <w:tc>
          <w:tcPr>
            <w:tcW w:w="1007" w:type="dxa"/>
            <w:gridSpan w:val="2"/>
            <w:vMerge w:val="restart"/>
            <w:shd w:val="clear" w:color="auto" w:fill="1F497D" w:themeFill="text2"/>
          </w:tcPr>
          <w:p w:rsidR="005A01D9" w:rsidRPr="00B45B4F" w:rsidRDefault="005A01D9" w:rsidP="00B122A1">
            <w:pPr>
              <w:widowControl w:val="0"/>
              <w:tabs>
                <w:tab w:val="left" w:pos="0"/>
                <w:tab w:val="right" w:pos="9214"/>
              </w:tabs>
              <w:spacing w:after="0" w:line="240" w:lineRule="auto"/>
              <w:jc w:val="center"/>
              <w:rPr>
                <w:rFonts w:ascii="Verdana" w:hAnsi="Verdana"/>
                <w:b/>
                <w:bCs/>
                <w:color w:val="FFFFFF" w:themeColor="background1"/>
                <w:sz w:val="16"/>
                <w:szCs w:val="16"/>
                <w:lang w:val="bg-BG"/>
              </w:rPr>
            </w:pPr>
            <w:r>
              <w:rPr>
                <w:rFonts w:ascii="Verdana" w:hAnsi="Verdana"/>
                <w:b/>
                <w:bCs/>
                <w:color w:val="FFFFFF" w:themeColor="background1"/>
                <w:sz w:val="16"/>
                <w:szCs w:val="16"/>
                <w:lang w:val="bg-BG"/>
              </w:rPr>
              <w:t>Мерна единица</w:t>
            </w:r>
          </w:p>
        </w:tc>
        <w:tc>
          <w:tcPr>
            <w:tcW w:w="3118" w:type="dxa"/>
            <w:gridSpan w:val="3"/>
            <w:shd w:val="clear" w:color="auto" w:fill="1F497D" w:themeFill="text2"/>
          </w:tcPr>
          <w:p w:rsidR="005A01D9" w:rsidRDefault="005A01D9" w:rsidP="00B122A1">
            <w:pPr>
              <w:widowControl w:val="0"/>
              <w:tabs>
                <w:tab w:val="left" w:pos="0"/>
                <w:tab w:val="right" w:pos="9214"/>
              </w:tabs>
              <w:spacing w:after="0" w:line="240" w:lineRule="auto"/>
              <w:jc w:val="center"/>
              <w:rPr>
                <w:rFonts w:ascii="Verdana" w:hAnsi="Verdana"/>
                <w:b/>
                <w:bCs/>
                <w:color w:val="FFFFFF" w:themeColor="background1"/>
                <w:sz w:val="16"/>
                <w:szCs w:val="16"/>
                <w:lang w:val="bg-BG"/>
              </w:rPr>
            </w:pPr>
            <w:r>
              <w:rPr>
                <w:rFonts w:ascii="Verdana" w:hAnsi="Verdana"/>
                <w:b/>
                <w:bCs/>
                <w:color w:val="FFFFFF" w:themeColor="background1"/>
                <w:sz w:val="16"/>
                <w:szCs w:val="16"/>
                <w:lang w:val="bg-BG"/>
              </w:rPr>
              <w:t>Стойност</w:t>
            </w:r>
          </w:p>
        </w:tc>
        <w:tc>
          <w:tcPr>
            <w:tcW w:w="3092" w:type="dxa"/>
            <w:vMerge w:val="restart"/>
            <w:shd w:val="clear" w:color="auto" w:fill="1F497D" w:themeFill="text2"/>
          </w:tcPr>
          <w:p w:rsidR="005A01D9" w:rsidRDefault="005A01D9" w:rsidP="00B122A1">
            <w:pPr>
              <w:widowControl w:val="0"/>
              <w:tabs>
                <w:tab w:val="left" w:pos="0"/>
                <w:tab w:val="right" w:pos="9214"/>
              </w:tabs>
              <w:spacing w:after="0" w:line="240" w:lineRule="auto"/>
              <w:jc w:val="center"/>
              <w:rPr>
                <w:rFonts w:ascii="Verdana" w:hAnsi="Verdana"/>
                <w:b/>
                <w:bCs/>
                <w:color w:val="FFFFFF" w:themeColor="background1"/>
                <w:sz w:val="16"/>
                <w:szCs w:val="16"/>
                <w:lang w:val="bg-BG"/>
              </w:rPr>
            </w:pPr>
            <w:r>
              <w:rPr>
                <w:rFonts w:ascii="Verdana" w:hAnsi="Verdana"/>
                <w:b/>
                <w:bCs/>
                <w:color w:val="FFFFFF" w:themeColor="background1"/>
                <w:sz w:val="16"/>
                <w:szCs w:val="16"/>
                <w:lang w:val="bg-BG"/>
              </w:rPr>
              <w:t>Коментар</w:t>
            </w:r>
          </w:p>
        </w:tc>
      </w:tr>
      <w:tr w:rsidR="005A01D9" w:rsidRPr="00B45B4F" w:rsidTr="00B122A1">
        <w:trPr>
          <w:tblHeader/>
        </w:trPr>
        <w:tc>
          <w:tcPr>
            <w:tcW w:w="2382" w:type="dxa"/>
            <w:vMerge/>
            <w:shd w:val="clear" w:color="auto" w:fill="1F497D" w:themeFill="text2"/>
          </w:tcPr>
          <w:p w:rsidR="005A01D9" w:rsidRPr="00B45B4F" w:rsidRDefault="005A01D9" w:rsidP="00B122A1">
            <w:pPr>
              <w:widowControl w:val="0"/>
              <w:tabs>
                <w:tab w:val="left" w:pos="0"/>
                <w:tab w:val="right" w:pos="9214"/>
              </w:tabs>
              <w:spacing w:after="0" w:line="240" w:lineRule="auto"/>
              <w:jc w:val="center"/>
              <w:rPr>
                <w:rFonts w:ascii="Verdana" w:hAnsi="Verdana"/>
                <w:b/>
                <w:bCs/>
                <w:color w:val="FFFFFF" w:themeColor="background1"/>
                <w:sz w:val="16"/>
                <w:szCs w:val="16"/>
                <w:lang w:val="bg-BG"/>
              </w:rPr>
            </w:pPr>
          </w:p>
        </w:tc>
        <w:tc>
          <w:tcPr>
            <w:tcW w:w="2041" w:type="dxa"/>
            <w:vMerge/>
            <w:shd w:val="clear" w:color="auto" w:fill="1F497D" w:themeFill="text2"/>
          </w:tcPr>
          <w:p w:rsidR="005A01D9" w:rsidRPr="00B45B4F" w:rsidRDefault="005A01D9" w:rsidP="00B122A1">
            <w:pPr>
              <w:widowControl w:val="0"/>
              <w:tabs>
                <w:tab w:val="left" w:pos="0"/>
                <w:tab w:val="right" w:pos="9214"/>
              </w:tabs>
              <w:spacing w:after="0" w:line="240" w:lineRule="auto"/>
              <w:jc w:val="center"/>
              <w:rPr>
                <w:rFonts w:ascii="Verdana" w:hAnsi="Verdana"/>
                <w:b/>
                <w:bCs/>
                <w:color w:val="FFFFFF" w:themeColor="background1"/>
                <w:sz w:val="16"/>
                <w:szCs w:val="16"/>
                <w:lang w:val="bg-BG"/>
              </w:rPr>
            </w:pPr>
          </w:p>
        </w:tc>
        <w:tc>
          <w:tcPr>
            <w:tcW w:w="1414" w:type="dxa"/>
            <w:vMerge/>
            <w:shd w:val="clear" w:color="auto" w:fill="1F497D" w:themeFill="text2"/>
          </w:tcPr>
          <w:p w:rsidR="005A01D9" w:rsidRPr="00B45B4F" w:rsidRDefault="005A01D9" w:rsidP="00B122A1">
            <w:pPr>
              <w:widowControl w:val="0"/>
              <w:tabs>
                <w:tab w:val="left" w:pos="0"/>
                <w:tab w:val="right" w:pos="9214"/>
              </w:tabs>
              <w:spacing w:after="0" w:line="240" w:lineRule="auto"/>
              <w:jc w:val="center"/>
              <w:rPr>
                <w:rFonts w:ascii="Verdana" w:hAnsi="Verdana"/>
                <w:b/>
                <w:bCs/>
                <w:color w:val="FFFFFF" w:themeColor="background1"/>
                <w:sz w:val="16"/>
                <w:szCs w:val="16"/>
                <w:lang w:val="bg-BG"/>
              </w:rPr>
            </w:pPr>
          </w:p>
        </w:tc>
        <w:tc>
          <w:tcPr>
            <w:tcW w:w="1830" w:type="dxa"/>
            <w:gridSpan w:val="2"/>
            <w:vMerge/>
            <w:shd w:val="clear" w:color="auto" w:fill="1F497D" w:themeFill="text2"/>
          </w:tcPr>
          <w:p w:rsidR="005A01D9" w:rsidRPr="00B45B4F" w:rsidRDefault="005A01D9" w:rsidP="00B122A1">
            <w:pPr>
              <w:widowControl w:val="0"/>
              <w:tabs>
                <w:tab w:val="left" w:pos="0"/>
                <w:tab w:val="right" w:pos="9214"/>
              </w:tabs>
              <w:spacing w:after="0" w:line="240" w:lineRule="auto"/>
              <w:jc w:val="center"/>
              <w:rPr>
                <w:rFonts w:ascii="Verdana" w:hAnsi="Verdana"/>
                <w:b/>
                <w:bCs/>
                <w:color w:val="FFFFFF" w:themeColor="background1"/>
                <w:sz w:val="16"/>
                <w:szCs w:val="16"/>
                <w:lang w:val="bg-BG"/>
              </w:rPr>
            </w:pPr>
          </w:p>
        </w:tc>
        <w:tc>
          <w:tcPr>
            <w:tcW w:w="1007" w:type="dxa"/>
            <w:gridSpan w:val="2"/>
            <w:vMerge/>
            <w:shd w:val="clear" w:color="auto" w:fill="1F497D" w:themeFill="text2"/>
          </w:tcPr>
          <w:p w:rsidR="005A01D9" w:rsidRPr="00B45B4F" w:rsidRDefault="005A01D9" w:rsidP="00B122A1">
            <w:pPr>
              <w:widowControl w:val="0"/>
              <w:tabs>
                <w:tab w:val="left" w:pos="0"/>
                <w:tab w:val="right" w:pos="9214"/>
              </w:tabs>
              <w:spacing w:after="0" w:line="240" w:lineRule="auto"/>
              <w:jc w:val="center"/>
              <w:rPr>
                <w:rFonts w:ascii="Verdana" w:hAnsi="Verdana"/>
                <w:b/>
                <w:bCs/>
                <w:color w:val="FFFFFF" w:themeColor="background1"/>
                <w:sz w:val="16"/>
                <w:szCs w:val="16"/>
                <w:lang w:val="bg-BG"/>
              </w:rPr>
            </w:pPr>
          </w:p>
        </w:tc>
        <w:tc>
          <w:tcPr>
            <w:tcW w:w="867" w:type="dxa"/>
            <w:shd w:val="clear" w:color="auto" w:fill="1F497D" w:themeFill="text2"/>
          </w:tcPr>
          <w:p w:rsidR="005A01D9" w:rsidRPr="00B45B4F" w:rsidRDefault="005A01D9" w:rsidP="00B122A1">
            <w:pPr>
              <w:widowControl w:val="0"/>
              <w:tabs>
                <w:tab w:val="left" w:pos="0"/>
                <w:tab w:val="right" w:pos="9214"/>
              </w:tabs>
              <w:spacing w:after="0" w:line="240" w:lineRule="auto"/>
              <w:jc w:val="center"/>
              <w:rPr>
                <w:rFonts w:ascii="Verdana" w:hAnsi="Verdana"/>
                <w:b/>
                <w:bCs/>
                <w:color w:val="FFFFFF" w:themeColor="background1"/>
                <w:sz w:val="16"/>
                <w:szCs w:val="16"/>
                <w:lang w:val="bg-BG"/>
              </w:rPr>
            </w:pPr>
            <w:r>
              <w:rPr>
                <w:rFonts w:ascii="Verdana" w:hAnsi="Verdana"/>
                <w:b/>
                <w:bCs/>
                <w:color w:val="FFFFFF" w:themeColor="background1"/>
                <w:sz w:val="16"/>
                <w:szCs w:val="16"/>
                <w:lang w:val="bg-BG"/>
              </w:rPr>
              <w:t xml:space="preserve">Базова </w:t>
            </w:r>
          </w:p>
        </w:tc>
        <w:tc>
          <w:tcPr>
            <w:tcW w:w="1260" w:type="dxa"/>
            <w:shd w:val="clear" w:color="auto" w:fill="1F497D" w:themeFill="text2"/>
          </w:tcPr>
          <w:p w:rsidR="005A01D9" w:rsidRPr="00B45B4F" w:rsidRDefault="005A01D9" w:rsidP="00B122A1">
            <w:pPr>
              <w:widowControl w:val="0"/>
              <w:tabs>
                <w:tab w:val="left" w:pos="0"/>
                <w:tab w:val="right" w:pos="9214"/>
              </w:tabs>
              <w:spacing w:after="0" w:line="240" w:lineRule="auto"/>
              <w:jc w:val="center"/>
              <w:rPr>
                <w:rFonts w:ascii="Verdana" w:hAnsi="Verdana"/>
                <w:b/>
                <w:bCs/>
                <w:color w:val="FFFFFF" w:themeColor="background1"/>
                <w:sz w:val="16"/>
                <w:szCs w:val="16"/>
                <w:lang w:val="bg-BG"/>
              </w:rPr>
            </w:pPr>
            <w:r>
              <w:rPr>
                <w:rFonts w:ascii="Verdana" w:hAnsi="Verdana"/>
                <w:b/>
                <w:bCs/>
                <w:color w:val="FFFFFF" w:themeColor="background1"/>
                <w:sz w:val="16"/>
                <w:szCs w:val="16"/>
                <w:lang w:val="bg-BG"/>
              </w:rPr>
              <w:t xml:space="preserve">Междинна 2018 </w:t>
            </w:r>
          </w:p>
        </w:tc>
        <w:tc>
          <w:tcPr>
            <w:tcW w:w="991" w:type="dxa"/>
            <w:shd w:val="clear" w:color="auto" w:fill="1F497D" w:themeFill="text2"/>
          </w:tcPr>
          <w:p w:rsidR="005A01D9" w:rsidRDefault="005A01D9" w:rsidP="00B122A1">
            <w:pPr>
              <w:widowControl w:val="0"/>
              <w:tabs>
                <w:tab w:val="left" w:pos="0"/>
                <w:tab w:val="right" w:pos="9214"/>
              </w:tabs>
              <w:spacing w:after="0" w:line="240" w:lineRule="auto"/>
              <w:jc w:val="center"/>
              <w:rPr>
                <w:rFonts w:ascii="Verdana" w:hAnsi="Verdana"/>
                <w:b/>
                <w:bCs/>
                <w:color w:val="FFFFFF" w:themeColor="background1"/>
                <w:sz w:val="16"/>
                <w:szCs w:val="16"/>
                <w:lang w:val="bg-BG"/>
              </w:rPr>
            </w:pPr>
            <w:r>
              <w:rPr>
                <w:rFonts w:ascii="Verdana" w:hAnsi="Verdana"/>
                <w:b/>
                <w:bCs/>
                <w:color w:val="FFFFFF" w:themeColor="background1"/>
                <w:sz w:val="16"/>
                <w:szCs w:val="16"/>
                <w:lang w:val="bg-BG"/>
              </w:rPr>
              <w:t>Целева</w:t>
            </w:r>
          </w:p>
          <w:p w:rsidR="005A01D9" w:rsidRPr="00B45B4F" w:rsidRDefault="005A01D9" w:rsidP="00B122A1">
            <w:pPr>
              <w:widowControl w:val="0"/>
              <w:tabs>
                <w:tab w:val="left" w:pos="0"/>
                <w:tab w:val="right" w:pos="9214"/>
              </w:tabs>
              <w:spacing w:after="0" w:line="240" w:lineRule="auto"/>
              <w:jc w:val="center"/>
              <w:rPr>
                <w:rFonts w:ascii="Verdana" w:hAnsi="Verdana"/>
                <w:b/>
                <w:bCs/>
                <w:color w:val="FFFFFF" w:themeColor="background1"/>
                <w:sz w:val="16"/>
                <w:szCs w:val="16"/>
                <w:lang w:val="bg-BG"/>
              </w:rPr>
            </w:pPr>
            <w:r>
              <w:rPr>
                <w:rFonts w:ascii="Verdana" w:hAnsi="Verdana"/>
                <w:b/>
                <w:bCs/>
                <w:color w:val="FFFFFF" w:themeColor="background1"/>
                <w:sz w:val="16"/>
                <w:szCs w:val="16"/>
                <w:lang w:val="bg-BG"/>
              </w:rPr>
              <w:t xml:space="preserve">2023 </w:t>
            </w:r>
          </w:p>
        </w:tc>
        <w:tc>
          <w:tcPr>
            <w:tcW w:w="3092" w:type="dxa"/>
            <w:vMerge/>
            <w:shd w:val="clear" w:color="auto" w:fill="1F497D" w:themeFill="text2"/>
          </w:tcPr>
          <w:p w:rsidR="005A01D9" w:rsidRPr="00B45B4F" w:rsidRDefault="005A01D9" w:rsidP="00B122A1">
            <w:pPr>
              <w:widowControl w:val="0"/>
              <w:tabs>
                <w:tab w:val="left" w:pos="0"/>
                <w:tab w:val="right" w:pos="9214"/>
              </w:tabs>
              <w:spacing w:after="0" w:line="240" w:lineRule="auto"/>
              <w:jc w:val="center"/>
              <w:rPr>
                <w:rFonts w:ascii="Verdana" w:hAnsi="Verdana"/>
                <w:b/>
                <w:bCs/>
                <w:color w:val="FFFFFF" w:themeColor="background1"/>
                <w:sz w:val="16"/>
                <w:szCs w:val="16"/>
                <w:lang w:val="bg-BG"/>
              </w:rPr>
            </w:pPr>
          </w:p>
        </w:tc>
      </w:tr>
      <w:tr w:rsidR="005A01D9" w:rsidRPr="00B45B4F" w:rsidTr="00637FBD">
        <w:tc>
          <w:tcPr>
            <w:tcW w:w="14884" w:type="dxa"/>
            <w:gridSpan w:val="11"/>
            <w:shd w:val="clear" w:color="auto" w:fill="95B3D7" w:themeFill="accent1" w:themeFillTint="99"/>
          </w:tcPr>
          <w:p w:rsidR="005A01D9" w:rsidRPr="00B45B4F" w:rsidRDefault="005A01D9" w:rsidP="00B122A1">
            <w:pPr>
              <w:widowControl w:val="0"/>
              <w:tabs>
                <w:tab w:val="left" w:pos="0"/>
                <w:tab w:val="right" w:pos="9214"/>
              </w:tabs>
              <w:spacing w:before="120" w:after="120" w:line="240" w:lineRule="auto"/>
              <w:jc w:val="both"/>
              <w:rPr>
                <w:rFonts w:ascii="Verdana" w:hAnsi="Verdana"/>
                <w:b/>
                <w:bCs/>
                <w:color w:val="000000"/>
                <w:sz w:val="16"/>
                <w:szCs w:val="16"/>
                <w:lang w:val="bg-BG"/>
              </w:rPr>
            </w:pPr>
            <w:r>
              <w:rPr>
                <w:rFonts w:ascii="Verdana" w:hAnsi="Verdana"/>
                <w:b/>
                <w:sz w:val="16"/>
                <w:szCs w:val="16"/>
                <w:lang w:val="bg-BG"/>
              </w:rPr>
              <w:t xml:space="preserve">ПО 1 - </w:t>
            </w:r>
            <w:r w:rsidRPr="00B45B4F">
              <w:rPr>
                <w:rFonts w:ascii="Verdana" w:hAnsi="Verdana"/>
                <w:b/>
                <w:sz w:val="16"/>
                <w:szCs w:val="16"/>
                <w:lang w:val="bg-BG"/>
              </w:rPr>
              <w:t>Научни изследвания и технологично развитие</w:t>
            </w:r>
          </w:p>
        </w:tc>
      </w:tr>
      <w:tr w:rsidR="005A01D9" w:rsidRPr="00B45B4F" w:rsidTr="00637FBD">
        <w:tc>
          <w:tcPr>
            <w:tcW w:w="14884" w:type="dxa"/>
            <w:gridSpan w:val="11"/>
            <w:shd w:val="clear" w:color="auto" w:fill="F2DBDB" w:themeFill="accent2" w:themeFillTint="33"/>
          </w:tcPr>
          <w:p w:rsidR="005A01D9" w:rsidRDefault="005A01D9" w:rsidP="00B122A1">
            <w:pPr>
              <w:widowControl w:val="0"/>
              <w:tabs>
                <w:tab w:val="left" w:pos="0"/>
                <w:tab w:val="right" w:pos="9214"/>
              </w:tabs>
              <w:spacing w:before="120" w:after="120" w:line="240" w:lineRule="auto"/>
              <w:jc w:val="both"/>
              <w:rPr>
                <w:rFonts w:ascii="Verdana" w:hAnsi="Verdana"/>
                <w:b/>
                <w:sz w:val="16"/>
                <w:szCs w:val="16"/>
                <w:lang w:val="bg-BG"/>
              </w:rPr>
            </w:pPr>
            <w:r>
              <w:rPr>
                <w:rFonts w:ascii="Verdana" w:hAnsi="Verdana"/>
                <w:b/>
                <w:sz w:val="16"/>
                <w:szCs w:val="16"/>
                <w:lang w:val="bg-BG"/>
              </w:rPr>
              <w:t xml:space="preserve">ИП1. </w:t>
            </w:r>
            <w:r w:rsidRPr="00D248A9">
              <w:rPr>
                <w:rFonts w:ascii="Verdana" w:hAnsi="Verdana" w:cs="Arial Narrow"/>
                <w:i/>
                <w:color w:val="000000"/>
                <w:sz w:val="16"/>
                <w:szCs w:val="16"/>
                <w:lang w:val="bg-BG"/>
              </w:rPr>
              <w:t>Укрепване на инфраструктурата, необходима за научноизследователска и иновационна дейност (НИД) и на капацитета за реализиране на достижения в областта на научноизследователската и иновационната дейност и насърчаване на центрове на компетентност, по-специално центрове, които са от интерес за Европа.</w:t>
            </w:r>
          </w:p>
        </w:tc>
      </w:tr>
      <w:tr w:rsidR="005A01D9" w:rsidRPr="00B45B4F" w:rsidTr="00637FBD">
        <w:tc>
          <w:tcPr>
            <w:tcW w:w="2382" w:type="dxa"/>
          </w:tcPr>
          <w:p w:rsidR="005A01D9" w:rsidRDefault="005A01D9" w:rsidP="00B122A1">
            <w:pPr>
              <w:widowControl w:val="0"/>
              <w:tabs>
                <w:tab w:val="left" w:pos="0"/>
                <w:tab w:val="right" w:pos="9214"/>
              </w:tabs>
              <w:spacing w:after="0" w:line="240" w:lineRule="auto"/>
              <w:jc w:val="both"/>
              <w:rPr>
                <w:rFonts w:ascii="Verdana" w:hAnsi="Verdana"/>
                <w:sz w:val="16"/>
                <w:szCs w:val="16"/>
                <w:lang w:val="bg-BG"/>
              </w:rPr>
            </w:pPr>
            <w:r>
              <w:rPr>
                <w:rFonts w:ascii="Verdana" w:hAnsi="Verdana"/>
                <w:sz w:val="16"/>
                <w:szCs w:val="16"/>
                <w:lang w:val="bg-BG"/>
              </w:rPr>
              <w:t xml:space="preserve">СЦ1. </w:t>
            </w:r>
            <w:r w:rsidRPr="00545605">
              <w:rPr>
                <w:rFonts w:ascii="Verdana" w:hAnsi="Verdana"/>
                <w:sz w:val="16"/>
                <w:szCs w:val="16"/>
                <w:lang w:val="bg-BG"/>
              </w:rPr>
              <w:t>Модернизиране на съществуващи центрове за върхови постижения и центрове за компетентност и целенасочено създаване на нови такива структури въз основа на техния потенциал за принос към базата знания и иновационния капацитет в концентрирани ПО.</w:t>
            </w:r>
          </w:p>
          <w:p w:rsidR="005A01D9" w:rsidRPr="00545605" w:rsidRDefault="005A01D9" w:rsidP="00B122A1">
            <w:pPr>
              <w:widowControl w:val="0"/>
              <w:tabs>
                <w:tab w:val="left" w:pos="0"/>
                <w:tab w:val="right" w:pos="9214"/>
              </w:tabs>
              <w:spacing w:after="0" w:line="240" w:lineRule="auto"/>
              <w:jc w:val="both"/>
              <w:rPr>
                <w:rFonts w:ascii="Verdana" w:hAnsi="Verdana"/>
                <w:sz w:val="16"/>
                <w:szCs w:val="16"/>
                <w:lang w:val="bg-BG"/>
              </w:rPr>
            </w:pPr>
          </w:p>
          <w:p w:rsidR="005A01D9" w:rsidRPr="00545605" w:rsidRDefault="005A01D9" w:rsidP="00B122A1">
            <w:pPr>
              <w:widowControl w:val="0"/>
              <w:tabs>
                <w:tab w:val="left" w:pos="0"/>
                <w:tab w:val="right" w:pos="9214"/>
              </w:tabs>
              <w:spacing w:after="0" w:line="240" w:lineRule="auto"/>
              <w:jc w:val="both"/>
              <w:rPr>
                <w:rFonts w:ascii="Verdana" w:hAnsi="Verdana"/>
                <w:sz w:val="16"/>
                <w:szCs w:val="16"/>
                <w:lang w:val="bg-BG"/>
              </w:rPr>
            </w:pPr>
            <w:r>
              <w:rPr>
                <w:rFonts w:ascii="Verdana" w:hAnsi="Verdana"/>
                <w:sz w:val="16"/>
                <w:szCs w:val="16"/>
                <w:lang w:val="bg-BG"/>
              </w:rPr>
              <w:t xml:space="preserve">СЦ2. </w:t>
            </w:r>
            <w:r w:rsidRPr="00545605">
              <w:rPr>
                <w:rFonts w:ascii="Verdana" w:hAnsi="Verdana"/>
                <w:sz w:val="16"/>
                <w:szCs w:val="16"/>
                <w:lang w:val="bg-BG"/>
              </w:rPr>
              <w:t xml:space="preserve">Поддържане и </w:t>
            </w:r>
            <w:r w:rsidRPr="00545605">
              <w:rPr>
                <w:rFonts w:ascii="Verdana" w:hAnsi="Verdana"/>
                <w:sz w:val="16"/>
                <w:szCs w:val="16"/>
                <w:lang w:val="bg-BG"/>
              </w:rPr>
              <w:lastRenderedPageBreak/>
              <w:t>развитие на научноизследователската инфраструктура с цел утвърждаване на университетите и научните организации като регионални фондове на знанието и технологиите и/ или изпълняване на функции на разпределителни възли в подкрепа на реализацията и устойчивостта на паневропейските научноизследователски съоръжения.</w:t>
            </w:r>
          </w:p>
        </w:tc>
        <w:tc>
          <w:tcPr>
            <w:tcW w:w="2041"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B45B4F">
              <w:rPr>
                <w:rFonts w:ascii="Verdana" w:hAnsi="Verdana"/>
                <w:sz w:val="16"/>
                <w:szCs w:val="16"/>
                <w:lang w:val="bg-BG"/>
              </w:rPr>
              <w:lastRenderedPageBreak/>
              <w:t>Брой нови изследователи в подпомогнатите центрове за върхови постижения и центрове за компетентност</w:t>
            </w:r>
          </w:p>
        </w:tc>
        <w:tc>
          <w:tcPr>
            <w:tcW w:w="1414"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е уместен (модифициран общ индикатор от Регламент 1301/2013)</w:t>
            </w:r>
          </w:p>
        </w:tc>
        <w:tc>
          <w:tcPr>
            <w:tcW w:w="1830" w:type="dxa"/>
            <w:gridSpan w:val="2"/>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е ясен</w:t>
            </w:r>
          </w:p>
        </w:tc>
        <w:tc>
          <w:tcPr>
            <w:tcW w:w="1007" w:type="dxa"/>
            <w:gridSpan w:val="2"/>
            <w:vAlign w:val="center"/>
          </w:tcPr>
          <w:p w:rsidR="005A01D9" w:rsidRPr="00B45B4F" w:rsidRDefault="005A01D9" w:rsidP="00B122A1">
            <w:pPr>
              <w:rPr>
                <w:rFonts w:ascii="Verdana" w:hAnsi="Verdana"/>
                <w:bCs/>
                <w:color w:val="000000"/>
                <w:sz w:val="16"/>
                <w:szCs w:val="16"/>
                <w:lang w:val="bg-BG"/>
              </w:rPr>
            </w:pPr>
            <w:r>
              <w:rPr>
                <w:rFonts w:ascii="Verdana" w:hAnsi="Verdana"/>
                <w:bCs/>
                <w:color w:val="000000"/>
                <w:sz w:val="16"/>
                <w:szCs w:val="16"/>
                <w:lang w:val="bg-BG"/>
              </w:rPr>
              <w:t>Брой</w:t>
            </w:r>
          </w:p>
        </w:tc>
        <w:tc>
          <w:tcPr>
            <w:tcW w:w="867"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0</w:t>
            </w:r>
          </w:p>
        </w:tc>
        <w:tc>
          <w:tcPr>
            <w:tcW w:w="1260" w:type="dxa"/>
            <w:vAlign w:val="center"/>
          </w:tcPr>
          <w:p w:rsidR="005A01D9" w:rsidRPr="00B45B4F" w:rsidRDefault="005A01D9" w:rsidP="00B122A1">
            <w:pPr>
              <w:rPr>
                <w:rFonts w:ascii="Verdana" w:hAnsi="Verdana"/>
                <w:bCs/>
                <w:color w:val="000000"/>
                <w:sz w:val="16"/>
                <w:szCs w:val="16"/>
                <w:lang w:val="bg-BG"/>
              </w:rPr>
            </w:pPr>
            <w:r>
              <w:rPr>
                <w:rFonts w:ascii="Verdana" w:hAnsi="Verdana"/>
                <w:bCs/>
                <w:color w:val="000000"/>
                <w:sz w:val="16"/>
                <w:szCs w:val="16"/>
                <w:lang w:val="bg-BG"/>
              </w:rPr>
              <w:t>0</w:t>
            </w:r>
          </w:p>
        </w:tc>
        <w:tc>
          <w:tcPr>
            <w:tcW w:w="991" w:type="dxa"/>
            <w:vAlign w:val="center"/>
          </w:tcPr>
          <w:p w:rsidR="005A01D9" w:rsidRPr="00B45B4F" w:rsidRDefault="005A01D9" w:rsidP="00B122A1">
            <w:pPr>
              <w:rPr>
                <w:rFonts w:ascii="Verdana" w:hAnsi="Verdana"/>
                <w:bCs/>
                <w:color w:val="000000"/>
                <w:sz w:val="16"/>
                <w:szCs w:val="16"/>
                <w:lang w:val="bg-BG"/>
              </w:rPr>
            </w:pPr>
            <w:r>
              <w:rPr>
                <w:rFonts w:ascii="Verdana" w:hAnsi="Verdana"/>
                <w:bCs/>
                <w:color w:val="000000"/>
                <w:sz w:val="16"/>
                <w:szCs w:val="16"/>
                <w:lang w:val="bg-BG"/>
              </w:rPr>
              <w:t>80</w:t>
            </w:r>
          </w:p>
        </w:tc>
        <w:tc>
          <w:tcPr>
            <w:tcW w:w="3092" w:type="dxa"/>
            <w:vAlign w:val="center"/>
          </w:tcPr>
          <w:p w:rsidR="005A01D9" w:rsidRPr="00B45B4F" w:rsidRDefault="005A01D9" w:rsidP="00B122A1">
            <w:pPr>
              <w:rPr>
                <w:rFonts w:ascii="Verdana" w:hAnsi="Verdana"/>
                <w:bCs/>
                <w:color w:val="000000"/>
                <w:sz w:val="16"/>
                <w:szCs w:val="16"/>
                <w:lang w:val="bg-BG"/>
              </w:rPr>
            </w:pPr>
            <w:r>
              <w:rPr>
                <w:rFonts w:ascii="Verdana" w:hAnsi="Verdana"/>
                <w:bCs/>
                <w:color w:val="000000"/>
                <w:sz w:val="16"/>
                <w:szCs w:val="16"/>
                <w:lang w:val="bg-BG"/>
              </w:rPr>
              <w:t xml:space="preserve">Няма информация на каква база са изчислени стойностите на индикатора. Предвид на това, че се очаква изследователите да започнат работа след приключване на подкрепата по програмата за центровете е уместно да не се залага междинна стойност за 2018 г. Целевата стойност изглежда постижима предвид на броя на заложените центрове, които ще </w:t>
            </w:r>
            <w:r>
              <w:rPr>
                <w:rFonts w:ascii="Verdana" w:hAnsi="Verdana"/>
                <w:bCs/>
                <w:color w:val="000000"/>
                <w:sz w:val="16"/>
                <w:szCs w:val="16"/>
                <w:lang w:val="bg-BG"/>
              </w:rPr>
              <w:lastRenderedPageBreak/>
              <w:t xml:space="preserve">бъдат подпрени- общо 17.  </w:t>
            </w:r>
          </w:p>
        </w:tc>
      </w:tr>
      <w:tr w:rsidR="005A01D9" w:rsidRPr="00B45B4F" w:rsidTr="00637FBD">
        <w:tc>
          <w:tcPr>
            <w:tcW w:w="14884" w:type="dxa"/>
            <w:gridSpan w:val="11"/>
            <w:shd w:val="clear" w:color="auto" w:fill="F2DBDB" w:themeFill="accent2" w:themeFillTint="33"/>
          </w:tcPr>
          <w:p w:rsidR="005A01D9" w:rsidRPr="00D248A9" w:rsidRDefault="005A01D9" w:rsidP="00B122A1">
            <w:pPr>
              <w:keepNext/>
              <w:tabs>
                <w:tab w:val="left" w:pos="0"/>
                <w:tab w:val="right" w:pos="9214"/>
              </w:tabs>
              <w:spacing w:after="0" w:line="240" w:lineRule="auto"/>
              <w:jc w:val="both"/>
              <w:rPr>
                <w:rFonts w:ascii="Verdana" w:hAnsi="Verdana"/>
                <w:sz w:val="16"/>
                <w:szCs w:val="16"/>
                <w:lang w:val="bg-BG"/>
              </w:rPr>
            </w:pPr>
            <w:r w:rsidRPr="00D248A9">
              <w:rPr>
                <w:rFonts w:ascii="Verdana" w:hAnsi="Verdana"/>
                <w:b/>
                <w:bCs/>
                <w:color w:val="000000"/>
                <w:sz w:val="16"/>
                <w:szCs w:val="16"/>
                <w:lang w:val="bg-BG"/>
              </w:rPr>
              <w:lastRenderedPageBreak/>
              <w:t>ИП2.</w:t>
            </w:r>
            <w:r w:rsidRPr="00D248A9">
              <w:rPr>
                <w:rFonts w:ascii="Verdana" w:hAnsi="Verdana"/>
                <w:bCs/>
                <w:color w:val="000000"/>
                <w:sz w:val="16"/>
                <w:szCs w:val="16"/>
                <w:lang w:val="bg-BG"/>
              </w:rPr>
              <w:t xml:space="preserve"> </w:t>
            </w:r>
            <w:r w:rsidRPr="00D248A9">
              <w:rPr>
                <w:rFonts w:ascii="Verdana" w:hAnsi="Verdana" w:cs="Arial Narrow"/>
                <w:i/>
                <w:color w:val="000000"/>
                <w:sz w:val="16"/>
                <w:szCs w:val="16"/>
                <w:lang w:val="bg-BG"/>
              </w:rPr>
              <w:t xml:space="preserve">Насърчаване на инвестициите на предприятията в НИД, разработване на връзки и взаимодействие между предприятията, центровете за научноизследователска и развойна дейност и сектора на висшите учебни заведения, по-специално поощряване на инвестициите в разработването на продукти и услуги, на трансфера на технологии, на социалната иновация, </w:t>
            </w:r>
            <w:proofErr w:type="spellStart"/>
            <w:r w:rsidRPr="00D248A9">
              <w:rPr>
                <w:rFonts w:ascii="Verdana" w:hAnsi="Verdana" w:cs="Arial Narrow"/>
                <w:i/>
                <w:color w:val="000000"/>
                <w:sz w:val="16"/>
                <w:szCs w:val="16"/>
                <w:lang w:val="bg-BG"/>
              </w:rPr>
              <w:t>екоиновациите</w:t>
            </w:r>
            <w:proofErr w:type="spellEnd"/>
            <w:r w:rsidRPr="00D248A9">
              <w:rPr>
                <w:rFonts w:ascii="Verdana" w:hAnsi="Verdana" w:cs="Arial Narrow"/>
                <w:i/>
                <w:color w:val="000000"/>
                <w:sz w:val="16"/>
                <w:szCs w:val="16"/>
                <w:lang w:val="bg-BG"/>
              </w:rPr>
              <w:t xml:space="preserve"> и приложенията за публични услуги, на стимулирането на търсенето, на изграждането на мрежи, на клъстерите и на отворените иновации посредством интелигентна специализация и подпомагане на технологичните и приложните научни изследвания, пилотни линии, действия за одобрение на продуктите на начален етап, усъвършенствани производствени възможности и пилотно производство, по-специално в ключови базови технологии, както и разпространението на технологии с общо предназначение.</w:t>
            </w:r>
          </w:p>
        </w:tc>
      </w:tr>
      <w:tr w:rsidR="005A01D9" w:rsidRPr="00B45B4F" w:rsidTr="00637FBD">
        <w:tc>
          <w:tcPr>
            <w:tcW w:w="2382" w:type="dxa"/>
            <w:vMerge w:val="restart"/>
            <w:vAlign w:val="center"/>
          </w:tcPr>
          <w:p w:rsidR="005A01D9" w:rsidRPr="00B45B4F" w:rsidRDefault="005A01D9" w:rsidP="00B122A1">
            <w:pPr>
              <w:autoSpaceDE w:val="0"/>
              <w:autoSpaceDN w:val="0"/>
              <w:adjustRightInd w:val="0"/>
              <w:spacing w:after="0" w:line="240" w:lineRule="auto"/>
              <w:rPr>
                <w:rFonts w:ascii="Verdana" w:hAnsi="Verdana"/>
                <w:sz w:val="16"/>
                <w:szCs w:val="16"/>
                <w:lang w:val="bg-BG"/>
              </w:rPr>
            </w:pPr>
            <w:r>
              <w:rPr>
                <w:rFonts w:ascii="Verdana" w:hAnsi="Verdana"/>
                <w:sz w:val="16"/>
                <w:szCs w:val="16"/>
                <w:lang w:val="bg-BG"/>
              </w:rPr>
              <w:t xml:space="preserve">СЦ1. </w:t>
            </w:r>
            <w:r w:rsidRPr="00B45B4F">
              <w:rPr>
                <w:rFonts w:ascii="Verdana" w:hAnsi="Verdana"/>
                <w:sz w:val="16"/>
                <w:szCs w:val="16"/>
                <w:lang w:val="bg-BG"/>
              </w:rPr>
              <w:t>Подкрепа за приложни изследвания и експериментално развитие в приоритетни области, подпомагащи  развитието на икономиката</w:t>
            </w:r>
          </w:p>
        </w:tc>
        <w:tc>
          <w:tcPr>
            <w:tcW w:w="2041" w:type="dxa"/>
            <w:vAlign w:val="center"/>
          </w:tcPr>
          <w:p w:rsidR="005A01D9" w:rsidRPr="00B45B4F" w:rsidRDefault="005A01D9" w:rsidP="00B122A1">
            <w:pPr>
              <w:widowControl w:val="0"/>
              <w:tabs>
                <w:tab w:val="left" w:pos="0"/>
                <w:tab w:val="right" w:pos="9214"/>
              </w:tabs>
              <w:spacing w:after="0" w:line="240" w:lineRule="auto"/>
              <w:rPr>
                <w:rFonts w:ascii="Verdana" w:hAnsi="Verdana"/>
                <w:b/>
                <w:bCs/>
                <w:sz w:val="16"/>
                <w:szCs w:val="16"/>
                <w:lang w:val="bg-BG"/>
              </w:rPr>
            </w:pPr>
            <w:r>
              <w:rPr>
                <w:rFonts w:ascii="Verdana" w:hAnsi="Verdana"/>
                <w:sz w:val="16"/>
                <w:szCs w:val="16"/>
                <w:lang w:val="bg-BG"/>
              </w:rPr>
              <w:t>Брой п</w:t>
            </w:r>
            <w:r w:rsidRPr="00891CF0">
              <w:rPr>
                <w:rFonts w:ascii="Verdana" w:hAnsi="Verdana"/>
                <w:sz w:val="16"/>
                <w:szCs w:val="16"/>
                <w:lang w:val="bg-BG"/>
              </w:rPr>
              <w:t>редприятия, които си сътрудничат с подпомогнатите научноизследователски институции</w:t>
            </w:r>
          </w:p>
        </w:tc>
        <w:tc>
          <w:tcPr>
            <w:tcW w:w="1414"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е уместен (използван е общ индикатор от Регламент 1301/2013)</w:t>
            </w:r>
          </w:p>
        </w:tc>
        <w:tc>
          <w:tcPr>
            <w:tcW w:w="1830" w:type="dxa"/>
            <w:gridSpan w:val="2"/>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е ясен</w:t>
            </w:r>
          </w:p>
        </w:tc>
        <w:tc>
          <w:tcPr>
            <w:tcW w:w="1007" w:type="dxa"/>
            <w:gridSpan w:val="2"/>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Брой</w:t>
            </w:r>
          </w:p>
        </w:tc>
        <w:tc>
          <w:tcPr>
            <w:tcW w:w="867" w:type="dxa"/>
            <w:vAlign w:val="center"/>
          </w:tcPr>
          <w:p w:rsidR="005A01D9" w:rsidRPr="00B45B4F" w:rsidRDefault="005A01D9" w:rsidP="00B122A1">
            <w:pPr>
              <w:widowControl w:val="0"/>
              <w:tabs>
                <w:tab w:val="left" w:pos="0"/>
                <w:tab w:val="right" w:pos="9214"/>
              </w:tabs>
              <w:spacing w:after="0" w:line="240" w:lineRule="auto"/>
              <w:rPr>
                <w:rFonts w:ascii="Verdana" w:hAnsi="Verdana"/>
                <w:sz w:val="16"/>
                <w:szCs w:val="16"/>
                <w:lang w:val="bg-BG"/>
              </w:rPr>
            </w:pPr>
            <w:r>
              <w:rPr>
                <w:rFonts w:ascii="Verdana" w:hAnsi="Verdana"/>
                <w:sz w:val="16"/>
                <w:szCs w:val="16"/>
                <w:lang w:val="bg-BG"/>
              </w:rPr>
              <w:t>0</w:t>
            </w:r>
          </w:p>
        </w:tc>
        <w:tc>
          <w:tcPr>
            <w:tcW w:w="1260"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15</w:t>
            </w:r>
          </w:p>
        </w:tc>
        <w:tc>
          <w:tcPr>
            <w:tcW w:w="991"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30</w:t>
            </w:r>
          </w:p>
        </w:tc>
        <w:tc>
          <w:tcPr>
            <w:tcW w:w="3092"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 xml:space="preserve">Програмата не дава информация, какъв е броя на предприятията, които ползват услуги и си сътрудничат към момента с научно-изследователски инфраструктури. Залагането на междинна стойност е рисковано от гледна точка на </w:t>
            </w:r>
            <w:proofErr w:type="spellStart"/>
            <w:r>
              <w:rPr>
                <w:rFonts w:ascii="Verdana" w:hAnsi="Verdana"/>
                <w:bCs/>
                <w:color w:val="000000"/>
                <w:sz w:val="16"/>
                <w:szCs w:val="16"/>
                <w:lang w:val="bg-BG"/>
              </w:rPr>
              <w:t>непостигането</w:t>
            </w:r>
            <w:proofErr w:type="spellEnd"/>
            <w:r>
              <w:rPr>
                <w:rFonts w:ascii="Verdana" w:hAnsi="Verdana"/>
                <w:bCs/>
                <w:color w:val="000000"/>
                <w:sz w:val="16"/>
                <w:szCs w:val="16"/>
                <w:lang w:val="bg-BG"/>
              </w:rPr>
              <w:t xml:space="preserve"> и поради това, че сътрудничеството се очаква като резултат от подкрепата за центровете, т.е. вероятно към края на програмния период.</w:t>
            </w:r>
          </w:p>
        </w:tc>
      </w:tr>
      <w:tr w:rsidR="005A01D9" w:rsidRPr="00B45B4F" w:rsidTr="00637FBD">
        <w:tc>
          <w:tcPr>
            <w:tcW w:w="2382" w:type="dxa"/>
            <w:vMerge/>
          </w:tcPr>
          <w:p w:rsidR="005A01D9" w:rsidRDefault="005A01D9" w:rsidP="00B122A1">
            <w:pPr>
              <w:autoSpaceDE w:val="0"/>
              <w:autoSpaceDN w:val="0"/>
              <w:adjustRightInd w:val="0"/>
              <w:spacing w:after="0" w:line="240" w:lineRule="auto"/>
              <w:jc w:val="both"/>
              <w:rPr>
                <w:rFonts w:ascii="Verdana" w:hAnsi="Verdana"/>
                <w:sz w:val="16"/>
                <w:szCs w:val="16"/>
                <w:lang w:val="bg-BG"/>
              </w:rPr>
            </w:pPr>
          </w:p>
        </w:tc>
        <w:tc>
          <w:tcPr>
            <w:tcW w:w="2041" w:type="dxa"/>
            <w:vAlign w:val="center"/>
          </w:tcPr>
          <w:p w:rsidR="005A01D9" w:rsidRPr="00B9014D" w:rsidRDefault="005A01D9" w:rsidP="00B122A1">
            <w:pPr>
              <w:pStyle w:val="Default"/>
              <w:rPr>
                <w:rFonts w:ascii="Verdana" w:hAnsi="Verdana"/>
                <w:sz w:val="16"/>
                <w:szCs w:val="16"/>
                <w:lang w:val="bg-BG"/>
              </w:rPr>
            </w:pPr>
            <w:r w:rsidRPr="00B9014D">
              <w:rPr>
                <w:rFonts w:ascii="Verdana" w:hAnsi="Verdana"/>
                <w:color w:val="auto"/>
                <w:sz w:val="16"/>
                <w:szCs w:val="16"/>
                <w:lang w:val="bg-BG"/>
              </w:rPr>
              <w:t xml:space="preserve">Научно изследователски  </w:t>
            </w:r>
            <w:r w:rsidRPr="00B9014D">
              <w:rPr>
                <w:rFonts w:ascii="Verdana" w:hAnsi="Verdana"/>
                <w:color w:val="auto"/>
                <w:sz w:val="16"/>
                <w:szCs w:val="16"/>
                <w:lang w:val="bg-BG"/>
              </w:rPr>
              <w:lastRenderedPageBreak/>
              <w:t>компетенции в приоритетни области от Стратегията за интелигентна специализация.</w:t>
            </w:r>
          </w:p>
        </w:tc>
        <w:tc>
          <w:tcPr>
            <w:tcW w:w="1414" w:type="dxa"/>
            <w:vAlign w:val="center"/>
          </w:tcPr>
          <w:p w:rsidR="005A01D9" w:rsidRPr="00B9014D"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B9014D">
              <w:rPr>
                <w:rFonts w:ascii="Verdana" w:hAnsi="Verdana"/>
                <w:bCs/>
                <w:color w:val="000000"/>
                <w:sz w:val="16"/>
                <w:szCs w:val="16"/>
                <w:lang w:val="bg-BG"/>
              </w:rPr>
              <w:lastRenderedPageBreak/>
              <w:t xml:space="preserve">Индикаторът е неясен и </w:t>
            </w:r>
            <w:r w:rsidRPr="00B9014D">
              <w:rPr>
                <w:rFonts w:ascii="Verdana" w:hAnsi="Verdana"/>
                <w:bCs/>
                <w:color w:val="000000"/>
                <w:sz w:val="16"/>
                <w:szCs w:val="16"/>
                <w:lang w:val="bg-BG"/>
              </w:rPr>
              <w:lastRenderedPageBreak/>
              <w:t>поради това неговата уместност не може да бъде коментирана</w:t>
            </w:r>
          </w:p>
          <w:p w:rsidR="005A01D9" w:rsidRPr="00B9014D" w:rsidRDefault="005A01D9" w:rsidP="00B122A1">
            <w:pPr>
              <w:widowControl w:val="0"/>
              <w:tabs>
                <w:tab w:val="left" w:pos="0"/>
                <w:tab w:val="right" w:pos="9214"/>
              </w:tabs>
              <w:spacing w:after="0" w:line="240" w:lineRule="auto"/>
              <w:rPr>
                <w:rFonts w:ascii="Verdana" w:hAnsi="Verdana"/>
                <w:bCs/>
                <w:color w:val="000000"/>
                <w:sz w:val="16"/>
                <w:szCs w:val="16"/>
                <w:lang w:val="bg-BG"/>
              </w:rPr>
            </w:pPr>
          </w:p>
        </w:tc>
        <w:tc>
          <w:tcPr>
            <w:tcW w:w="1830" w:type="dxa"/>
            <w:gridSpan w:val="2"/>
            <w:vAlign w:val="center"/>
          </w:tcPr>
          <w:p w:rsidR="005A01D9" w:rsidRPr="00B9014D"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B9014D">
              <w:rPr>
                <w:rFonts w:ascii="Verdana" w:hAnsi="Verdana"/>
                <w:bCs/>
                <w:color w:val="000000"/>
                <w:sz w:val="16"/>
                <w:szCs w:val="16"/>
                <w:lang w:val="bg-BG"/>
              </w:rPr>
              <w:lastRenderedPageBreak/>
              <w:t>Индикаторът е неясен</w:t>
            </w:r>
          </w:p>
          <w:p w:rsidR="005A01D9" w:rsidRPr="00B9014D" w:rsidRDefault="005A01D9" w:rsidP="00B122A1">
            <w:pPr>
              <w:widowControl w:val="0"/>
              <w:tabs>
                <w:tab w:val="left" w:pos="0"/>
                <w:tab w:val="right" w:pos="9214"/>
              </w:tabs>
              <w:spacing w:after="0" w:line="240" w:lineRule="auto"/>
              <w:rPr>
                <w:rFonts w:ascii="Verdana" w:hAnsi="Verdana"/>
                <w:bCs/>
                <w:color w:val="000000"/>
                <w:sz w:val="16"/>
                <w:szCs w:val="16"/>
                <w:lang w:val="bg-BG"/>
              </w:rPr>
            </w:pPr>
          </w:p>
        </w:tc>
        <w:tc>
          <w:tcPr>
            <w:tcW w:w="1007" w:type="dxa"/>
            <w:gridSpan w:val="2"/>
            <w:vAlign w:val="center"/>
          </w:tcPr>
          <w:p w:rsidR="005A01D9" w:rsidRPr="00B9014D" w:rsidRDefault="005A01D9" w:rsidP="00B122A1">
            <w:pPr>
              <w:spacing w:after="160" w:line="259" w:lineRule="auto"/>
              <w:rPr>
                <w:rFonts w:ascii="Verdana" w:hAnsi="Verdana"/>
                <w:bCs/>
                <w:color w:val="000000"/>
                <w:sz w:val="16"/>
                <w:szCs w:val="16"/>
                <w:lang w:val="bg-BG"/>
              </w:rPr>
            </w:pPr>
            <w:r w:rsidRPr="00B9014D">
              <w:rPr>
                <w:rFonts w:ascii="Verdana" w:hAnsi="Verdana"/>
                <w:bCs/>
                <w:color w:val="000000"/>
                <w:sz w:val="16"/>
                <w:szCs w:val="16"/>
                <w:lang w:val="bg-BG"/>
              </w:rPr>
              <w:lastRenderedPageBreak/>
              <w:t>Брой</w:t>
            </w:r>
          </w:p>
          <w:p w:rsidR="005A01D9" w:rsidRPr="00B9014D" w:rsidRDefault="005A01D9" w:rsidP="00B122A1">
            <w:pPr>
              <w:widowControl w:val="0"/>
              <w:tabs>
                <w:tab w:val="left" w:pos="0"/>
                <w:tab w:val="right" w:pos="9214"/>
              </w:tabs>
              <w:spacing w:after="0" w:line="240" w:lineRule="auto"/>
              <w:rPr>
                <w:rFonts w:ascii="Verdana" w:hAnsi="Verdana"/>
                <w:bCs/>
                <w:color w:val="000000"/>
                <w:sz w:val="16"/>
                <w:szCs w:val="16"/>
                <w:lang w:val="bg-BG"/>
              </w:rPr>
            </w:pPr>
          </w:p>
        </w:tc>
        <w:tc>
          <w:tcPr>
            <w:tcW w:w="867" w:type="dxa"/>
            <w:vAlign w:val="center"/>
          </w:tcPr>
          <w:p w:rsidR="005A01D9" w:rsidRPr="00B9014D" w:rsidRDefault="005A01D9" w:rsidP="00B122A1">
            <w:pPr>
              <w:widowControl w:val="0"/>
              <w:tabs>
                <w:tab w:val="left" w:pos="0"/>
                <w:tab w:val="right" w:pos="9214"/>
              </w:tabs>
              <w:spacing w:after="0" w:line="240" w:lineRule="auto"/>
              <w:rPr>
                <w:rFonts w:ascii="Verdana" w:hAnsi="Verdana"/>
                <w:sz w:val="16"/>
                <w:szCs w:val="16"/>
                <w:lang w:val="bg-BG"/>
              </w:rPr>
            </w:pPr>
            <w:r w:rsidRPr="00B9014D">
              <w:rPr>
                <w:rFonts w:ascii="Verdana" w:hAnsi="Verdana"/>
                <w:sz w:val="16"/>
                <w:szCs w:val="16"/>
                <w:lang w:val="bg-BG"/>
              </w:rPr>
              <w:lastRenderedPageBreak/>
              <w:t>0</w:t>
            </w:r>
          </w:p>
        </w:tc>
        <w:tc>
          <w:tcPr>
            <w:tcW w:w="1260" w:type="dxa"/>
            <w:vAlign w:val="center"/>
          </w:tcPr>
          <w:p w:rsidR="005A01D9" w:rsidRPr="00B9014D"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B9014D">
              <w:rPr>
                <w:rFonts w:ascii="Verdana" w:hAnsi="Verdana"/>
                <w:bCs/>
                <w:color w:val="000000"/>
                <w:sz w:val="16"/>
                <w:szCs w:val="16"/>
                <w:lang w:val="bg-BG"/>
              </w:rPr>
              <w:t>150</w:t>
            </w:r>
          </w:p>
        </w:tc>
        <w:tc>
          <w:tcPr>
            <w:tcW w:w="991" w:type="dxa"/>
            <w:vAlign w:val="center"/>
          </w:tcPr>
          <w:p w:rsidR="005A01D9" w:rsidRPr="00B9014D"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B9014D">
              <w:rPr>
                <w:rFonts w:ascii="Verdana" w:hAnsi="Verdana"/>
                <w:bCs/>
                <w:color w:val="000000"/>
                <w:sz w:val="16"/>
                <w:szCs w:val="16"/>
                <w:lang w:val="bg-BG"/>
              </w:rPr>
              <w:t>200</w:t>
            </w:r>
          </w:p>
        </w:tc>
        <w:tc>
          <w:tcPr>
            <w:tcW w:w="3092" w:type="dxa"/>
            <w:vAlign w:val="center"/>
          </w:tcPr>
          <w:p w:rsidR="005A01D9" w:rsidRPr="00B9014D"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B9014D">
              <w:rPr>
                <w:rFonts w:ascii="Verdana" w:hAnsi="Verdana"/>
                <w:bCs/>
                <w:color w:val="000000"/>
                <w:sz w:val="16"/>
                <w:szCs w:val="16"/>
                <w:lang w:val="bg-BG"/>
              </w:rPr>
              <w:t xml:space="preserve">Индикаторът е неясен </w:t>
            </w:r>
          </w:p>
        </w:tc>
      </w:tr>
      <w:tr w:rsidR="005A01D9" w:rsidRPr="00B45B4F" w:rsidTr="00637FBD">
        <w:tc>
          <w:tcPr>
            <w:tcW w:w="2382" w:type="dxa"/>
            <w:vMerge/>
          </w:tcPr>
          <w:p w:rsidR="005A01D9" w:rsidRDefault="005A01D9" w:rsidP="00B122A1">
            <w:pPr>
              <w:autoSpaceDE w:val="0"/>
              <w:autoSpaceDN w:val="0"/>
              <w:adjustRightInd w:val="0"/>
              <w:spacing w:after="0" w:line="240" w:lineRule="auto"/>
              <w:jc w:val="both"/>
              <w:rPr>
                <w:rFonts w:ascii="Verdana" w:hAnsi="Verdana"/>
                <w:sz w:val="16"/>
                <w:szCs w:val="16"/>
                <w:lang w:val="bg-BG"/>
              </w:rPr>
            </w:pPr>
          </w:p>
        </w:tc>
        <w:tc>
          <w:tcPr>
            <w:tcW w:w="2041" w:type="dxa"/>
            <w:vAlign w:val="center"/>
          </w:tcPr>
          <w:p w:rsidR="005A01D9" w:rsidRDefault="005A01D9" w:rsidP="00B122A1">
            <w:pPr>
              <w:pStyle w:val="Default"/>
              <w:rPr>
                <w:rFonts w:ascii="Verdana" w:hAnsi="Verdana"/>
                <w:color w:val="auto"/>
                <w:sz w:val="16"/>
                <w:szCs w:val="16"/>
                <w:lang w:val="bg-BG"/>
              </w:rPr>
            </w:pPr>
            <w:r>
              <w:rPr>
                <w:rFonts w:ascii="Verdana" w:hAnsi="Verdana"/>
                <w:color w:val="auto"/>
                <w:sz w:val="16"/>
                <w:szCs w:val="16"/>
                <w:lang w:val="bg-BG"/>
              </w:rPr>
              <w:t>В</w:t>
            </w:r>
            <w:r w:rsidRPr="00891CF0">
              <w:rPr>
                <w:rFonts w:ascii="Verdana" w:hAnsi="Verdana"/>
                <w:color w:val="auto"/>
                <w:sz w:val="16"/>
                <w:szCs w:val="16"/>
                <w:lang w:val="bg-BG"/>
              </w:rPr>
              <w:t>исши училища, подкрепили или осигурили достъп на български научни организации до различни европейски технологични платформи, осъществили съвместни технологични инициативи.</w:t>
            </w:r>
          </w:p>
        </w:tc>
        <w:tc>
          <w:tcPr>
            <w:tcW w:w="1414" w:type="dxa"/>
            <w:vAlign w:val="center"/>
          </w:tcPr>
          <w:p w:rsidR="005A01D9"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е уместен</w:t>
            </w:r>
          </w:p>
        </w:tc>
        <w:tc>
          <w:tcPr>
            <w:tcW w:w="1830" w:type="dxa"/>
            <w:gridSpan w:val="2"/>
            <w:vAlign w:val="center"/>
          </w:tcPr>
          <w:p w:rsidR="005A01D9"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Следва да се уточни какво се има предвид под европейски технологични платформи, както и под осъществяване на съвместни технологични инициативи</w:t>
            </w:r>
          </w:p>
        </w:tc>
        <w:tc>
          <w:tcPr>
            <w:tcW w:w="1007" w:type="dxa"/>
            <w:gridSpan w:val="2"/>
            <w:vAlign w:val="center"/>
          </w:tcPr>
          <w:p w:rsidR="005A01D9" w:rsidRPr="00BD4AC9"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Брой</w:t>
            </w:r>
          </w:p>
        </w:tc>
        <w:tc>
          <w:tcPr>
            <w:tcW w:w="867" w:type="dxa"/>
            <w:vAlign w:val="center"/>
          </w:tcPr>
          <w:p w:rsidR="005A01D9" w:rsidRPr="00B45B4F" w:rsidRDefault="005A01D9" w:rsidP="00B122A1">
            <w:pPr>
              <w:widowControl w:val="0"/>
              <w:tabs>
                <w:tab w:val="left" w:pos="0"/>
                <w:tab w:val="right" w:pos="9214"/>
              </w:tabs>
              <w:spacing w:after="0" w:line="240" w:lineRule="auto"/>
              <w:rPr>
                <w:rFonts w:ascii="Verdana" w:hAnsi="Verdana"/>
                <w:sz w:val="16"/>
                <w:szCs w:val="16"/>
                <w:lang w:val="bg-BG"/>
              </w:rPr>
            </w:pPr>
            <w:r>
              <w:rPr>
                <w:rFonts w:ascii="Verdana" w:hAnsi="Verdana"/>
                <w:sz w:val="16"/>
                <w:szCs w:val="16"/>
                <w:lang w:val="bg-BG"/>
              </w:rPr>
              <w:t>липсва</w:t>
            </w:r>
          </w:p>
        </w:tc>
        <w:tc>
          <w:tcPr>
            <w:tcW w:w="1260"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липсва</w:t>
            </w:r>
          </w:p>
        </w:tc>
        <w:tc>
          <w:tcPr>
            <w:tcW w:w="991"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липсва</w:t>
            </w:r>
          </w:p>
        </w:tc>
        <w:tc>
          <w:tcPr>
            <w:tcW w:w="3092"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Не са заложени стойности</w:t>
            </w:r>
          </w:p>
        </w:tc>
      </w:tr>
      <w:tr w:rsidR="005A01D9" w:rsidRPr="00B45B4F" w:rsidTr="00637FBD">
        <w:tc>
          <w:tcPr>
            <w:tcW w:w="2382" w:type="dxa"/>
            <w:vMerge/>
          </w:tcPr>
          <w:p w:rsidR="005A01D9" w:rsidRDefault="005A01D9" w:rsidP="00B122A1">
            <w:pPr>
              <w:autoSpaceDE w:val="0"/>
              <w:autoSpaceDN w:val="0"/>
              <w:adjustRightInd w:val="0"/>
              <w:spacing w:after="0" w:line="240" w:lineRule="auto"/>
              <w:jc w:val="both"/>
              <w:rPr>
                <w:rFonts w:ascii="Verdana" w:hAnsi="Verdana"/>
                <w:sz w:val="16"/>
                <w:szCs w:val="16"/>
                <w:lang w:val="bg-BG"/>
              </w:rPr>
            </w:pPr>
          </w:p>
        </w:tc>
        <w:tc>
          <w:tcPr>
            <w:tcW w:w="2041" w:type="dxa"/>
            <w:vAlign w:val="center"/>
          </w:tcPr>
          <w:p w:rsidR="005A01D9" w:rsidRPr="00B9014D" w:rsidRDefault="005A01D9" w:rsidP="00B122A1">
            <w:pPr>
              <w:pStyle w:val="Default"/>
              <w:rPr>
                <w:rFonts w:ascii="Verdana" w:hAnsi="Verdana"/>
                <w:color w:val="auto"/>
                <w:sz w:val="16"/>
                <w:szCs w:val="16"/>
                <w:lang w:val="bg-BG"/>
              </w:rPr>
            </w:pPr>
            <w:r w:rsidRPr="00B9014D">
              <w:rPr>
                <w:rFonts w:ascii="Verdana" w:hAnsi="Verdana"/>
                <w:color w:val="auto"/>
                <w:sz w:val="16"/>
                <w:szCs w:val="16"/>
                <w:lang w:val="bg-BG"/>
              </w:rPr>
              <w:t>Изследователи, работещи в подобрени инфраструктури за научни изследвания</w:t>
            </w:r>
          </w:p>
        </w:tc>
        <w:tc>
          <w:tcPr>
            <w:tcW w:w="1414" w:type="dxa"/>
            <w:vAlign w:val="center"/>
          </w:tcPr>
          <w:p w:rsidR="005A01D9" w:rsidRPr="00B9014D"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B9014D">
              <w:rPr>
                <w:rFonts w:ascii="Verdana" w:hAnsi="Verdana"/>
                <w:bCs/>
                <w:color w:val="000000"/>
                <w:sz w:val="16"/>
                <w:szCs w:val="16"/>
                <w:lang w:val="bg-BG"/>
              </w:rPr>
              <w:t>Индикаторът е по-уместен за първия инвестиционен приоритет. (използван е общ индикатор от Регламент 1301/2013)</w:t>
            </w:r>
          </w:p>
        </w:tc>
        <w:tc>
          <w:tcPr>
            <w:tcW w:w="1830" w:type="dxa"/>
            <w:gridSpan w:val="2"/>
            <w:vAlign w:val="center"/>
          </w:tcPr>
          <w:p w:rsidR="005A01D9" w:rsidRPr="00B9014D"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B9014D">
              <w:rPr>
                <w:rFonts w:ascii="Verdana" w:hAnsi="Verdana"/>
                <w:bCs/>
                <w:color w:val="000000"/>
                <w:sz w:val="16"/>
                <w:szCs w:val="16"/>
                <w:lang w:val="bg-BG"/>
              </w:rPr>
              <w:t>Индикаторът е ясен</w:t>
            </w:r>
          </w:p>
          <w:p w:rsidR="005A01D9" w:rsidRPr="00B9014D" w:rsidRDefault="005A01D9" w:rsidP="00B122A1">
            <w:pPr>
              <w:widowControl w:val="0"/>
              <w:tabs>
                <w:tab w:val="left" w:pos="0"/>
                <w:tab w:val="right" w:pos="9214"/>
              </w:tabs>
              <w:spacing w:after="0" w:line="240" w:lineRule="auto"/>
              <w:rPr>
                <w:rFonts w:ascii="Verdana" w:hAnsi="Verdana"/>
                <w:bCs/>
                <w:color w:val="000000"/>
                <w:sz w:val="16"/>
                <w:szCs w:val="16"/>
                <w:lang w:val="bg-BG"/>
              </w:rPr>
            </w:pPr>
          </w:p>
        </w:tc>
        <w:tc>
          <w:tcPr>
            <w:tcW w:w="1007" w:type="dxa"/>
            <w:gridSpan w:val="2"/>
            <w:vAlign w:val="center"/>
          </w:tcPr>
          <w:p w:rsidR="005A01D9" w:rsidRPr="00B9014D" w:rsidRDefault="005A01D9" w:rsidP="00B122A1">
            <w:pPr>
              <w:spacing w:after="160" w:line="259" w:lineRule="auto"/>
              <w:rPr>
                <w:rFonts w:ascii="Verdana" w:hAnsi="Verdana"/>
                <w:bCs/>
                <w:color w:val="000000"/>
                <w:sz w:val="16"/>
                <w:szCs w:val="16"/>
                <w:lang w:val="bg-BG"/>
              </w:rPr>
            </w:pPr>
            <w:r w:rsidRPr="00B9014D">
              <w:rPr>
                <w:rFonts w:ascii="Verdana" w:hAnsi="Verdana"/>
                <w:bCs/>
                <w:color w:val="000000"/>
                <w:sz w:val="16"/>
                <w:szCs w:val="16"/>
                <w:lang w:val="bg-BG"/>
              </w:rPr>
              <w:t>Брой</w:t>
            </w:r>
          </w:p>
          <w:p w:rsidR="005A01D9" w:rsidRPr="00B9014D" w:rsidRDefault="005A01D9" w:rsidP="00B122A1">
            <w:pPr>
              <w:widowControl w:val="0"/>
              <w:tabs>
                <w:tab w:val="left" w:pos="0"/>
                <w:tab w:val="right" w:pos="9214"/>
              </w:tabs>
              <w:spacing w:after="0" w:line="240" w:lineRule="auto"/>
              <w:rPr>
                <w:rFonts w:ascii="Verdana" w:hAnsi="Verdana"/>
                <w:bCs/>
                <w:color w:val="000000"/>
                <w:sz w:val="16"/>
                <w:szCs w:val="16"/>
                <w:lang w:val="bg-BG"/>
              </w:rPr>
            </w:pPr>
          </w:p>
        </w:tc>
        <w:tc>
          <w:tcPr>
            <w:tcW w:w="867" w:type="dxa"/>
            <w:vAlign w:val="center"/>
          </w:tcPr>
          <w:p w:rsidR="005A01D9" w:rsidRPr="00B9014D" w:rsidRDefault="005A01D9" w:rsidP="00B122A1">
            <w:pPr>
              <w:widowControl w:val="0"/>
              <w:tabs>
                <w:tab w:val="left" w:pos="0"/>
                <w:tab w:val="right" w:pos="9214"/>
              </w:tabs>
              <w:spacing w:after="0" w:line="240" w:lineRule="auto"/>
              <w:rPr>
                <w:rFonts w:ascii="Verdana" w:hAnsi="Verdana"/>
                <w:sz w:val="16"/>
                <w:szCs w:val="16"/>
                <w:lang w:val="bg-BG"/>
              </w:rPr>
            </w:pPr>
            <w:r w:rsidRPr="00B9014D">
              <w:rPr>
                <w:rFonts w:ascii="Verdana" w:hAnsi="Verdana"/>
                <w:sz w:val="16"/>
                <w:szCs w:val="16"/>
                <w:lang w:val="bg-BG"/>
              </w:rPr>
              <w:t>0</w:t>
            </w:r>
          </w:p>
        </w:tc>
        <w:tc>
          <w:tcPr>
            <w:tcW w:w="1260" w:type="dxa"/>
            <w:vAlign w:val="center"/>
          </w:tcPr>
          <w:p w:rsidR="005A01D9" w:rsidRPr="00B9014D"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B9014D">
              <w:rPr>
                <w:rFonts w:ascii="Verdana" w:hAnsi="Verdana"/>
                <w:bCs/>
                <w:color w:val="000000"/>
                <w:sz w:val="16"/>
                <w:szCs w:val="16"/>
                <w:lang w:val="bg-BG"/>
              </w:rPr>
              <w:t>150</w:t>
            </w:r>
          </w:p>
        </w:tc>
        <w:tc>
          <w:tcPr>
            <w:tcW w:w="991" w:type="dxa"/>
            <w:vAlign w:val="center"/>
          </w:tcPr>
          <w:p w:rsidR="005A01D9" w:rsidRPr="00B9014D"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B9014D">
              <w:rPr>
                <w:rFonts w:ascii="Verdana" w:hAnsi="Verdana"/>
                <w:bCs/>
                <w:color w:val="000000"/>
                <w:sz w:val="16"/>
                <w:szCs w:val="16"/>
                <w:lang w:val="bg-BG"/>
              </w:rPr>
              <w:t>300</w:t>
            </w:r>
          </w:p>
        </w:tc>
        <w:tc>
          <w:tcPr>
            <w:tcW w:w="3092" w:type="dxa"/>
            <w:vAlign w:val="center"/>
          </w:tcPr>
          <w:p w:rsidR="005A01D9" w:rsidRPr="00B9014D"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B9014D">
              <w:rPr>
                <w:rFonts w:ascii="Verdana" w:hAnsi="Verdana"/>
                <w:bCs/>
                <w:color w:val="000000"/>
                <w:sz w:val="16"/>
                <w:szCs w:val="16"/>
                <w:lang w:val="bg-BG"/>
              </w:rPr>
              <w:t xml:space="preserve">Оперативната програма </w:t>
            </w:r>
            <w:r>
              <w:rPr>
                <w:rFonts w:ascii="Verdana" w:hAnsi="Verdana"/>
                <w:bCs/>
                <w:color w:val="000000"/>
                <w:sz w:val="16"/>
                <w:szCs w:val="16"/>
                <w:lang w:val="bg-BG"/>
              </w:rPr>
              <w:t>предвижда</w:t>
            </w:r>
            <w:r w:rsidRPr="00B9014D">
              <w:rPr>
                <w:rFonts w:ascii="Verdana" w:hAnsi="Verdana"/>
                <w:bCs/>
                <w:color w:val="000000"/>
                <w:sz w:val="16"/>
                <w:szCs w:val="16"/>
                <w:lang w:val="bg-BG"/>
              </w:rPr>
              <w:t xml:space="preserve"> подкрепа за 9 инфраструктури за научни изследвания. Това предполага среден брой заети в тези инфраструктури от 33 изследователя, което изглежда реалистично. Препоръчва се, подобно на коментара по индикатора за резултат – изградени научни инфраструктури – да се преразгледа междинната стойност</w:t>
            </w:r>
            <w:r>
              <w:rPr>
                <w:rFonts w:ascii="Verdana" w:hAnsi="Verdana"/>
                <w:bCs/>
                <w:color w:val="000000"/>
                <w:sz w:val="16"/>
                <w:szCs w:val="16"/>
                <w:lang w:val="bg-BG"/>
              </w:rPr>
              <w:t xml:space="preserve">, предвид на това, че </w:t>
            </w:r>
            <w:r w:rsidRPr="00B9014D">
              <w:rPr>
                <w:rFonts w:ascii="Verdana" w:hAnsi="Verdana"/>
                <w:bCs/>
                <w:color w:val="000000"/>
                <w:sz w:val="16"/>
                <w:szCs w:val="16"/>
                <w:lang w:val="bg-BG"/>
              </w:rPr>
              <w:t xml:space="preserve">самото изграждане на инфраструктурите предполага време за подготовка и осъществяване и не е вероятно планираното изграждане на 5 инфраструктури до 2018 да бъде </w:t>
            </w:r>
            <w:r w:rsidRPr="00B9014D">
              <w:rPr>
                <w:rFonts w:ascii="Verdana" w:hAnsi="Verdana"/>
                <w:bCs/>
                <w:color w:val="000000"/>
                <w:sz w:val="16"/>
                <w:szCs w:val="16"/>
                <w:lang w:val="bg-BG"/>
              </w:rPr>
              <w:lastRenderedPageBreak/>
              <w:t>постигнато.</w:t>
            </w:r>
          </w:p>
        </w:tc>
      </w:tr>
      <w:tr w:rsidR="005A01D9" w:rsidRPr="00B45B4F" w:rsidTr="00637FBD">
        <w:tc>
          <w:tcPr>
            <w:tcW w:w="2382" w:type="dxa"/>
            <w:vMerge/>
          </w:tcPr>
          <w:p w:rsidR="005A01D9" w:rsidRDefault="005A01D9" w:rsidP="00B122A1">
            <w:pPr>
              <w:autoSpaceDE w:val="0"/>
              <w:autoSpaceDN w:val="0"/>
              <w:adjustRightInd w:val="0"/>
              <w:spacing w:after="0" w:line="240" w:lineRule="auto"/>
              <w:jc w:val="both"/>
              <w:rPr>
                <w:rFonts w:ascii="Verdana" w:hAnsi="Verdana"/>
                <w:sz w:val="16"/>
                <w:szCs w:val="16"/>
                <w:lang w:val="bg-BG"/>
              </w:rPr>
            </w:pPr>
          </w:p>
        </w:tc>
        <w:tc>
          <w:tcPr>
            <w:tcW w:w="2041" w:type="dxa"/>
            <w:shd w:val="clear" w:color="auto" w:fill="auto"/>
            <w:vAlign w:val="center"/>
          </w:tcPr>
          <w:p w:rsidR="005A01D9" w:rsidRPr="00CC4AF3" w:rsidRDefault="005A01D9" w:rsidP="00B122A1">
            <w:pPr>
              <w:pStyle w:val="Default"/>
              <w:rPr>
                <w:rFonts w:ascii="Verdana" w:hAnsi="Verdana"/>
                <w:color w:val="auto"/>
                <w:sz w:val="16"/>
                <w:szCs w:val="16"/>
                <w:lang w:val="bg-BG"/>
              </w:rPr>
            </w:pPr>
            <w:r w:rsidRPr="00CC4AF3">
              <w:rPr>
                <w:rFonts w:ascii="Verdana" w:hAnsi="Verdana"/>
                <w:sz w:val="16"/>
                <w:szCs w:val="16"/>
                <w:lang w:val="bg-BG"/>
              </w:rPr>
              <w:t>Заявки за достъп до научни инфраструктури (в т.ч. електронни)</w:t>
            </w:r>
          </w:p>
        </w:tc>
        <w:tc>
          <w:tcPr>
            <w:tcW w:w="1414" w:type="dxa"/>
            <w:shd w:val="clear" w:color="auto" w:fill="auto"/>
            <w:vAlign w:val="center"/>
          </w:tcPr>
          <w:p w:rsidR="005A01D9" w:rsidRPr="00CC4AF3"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CC4AF3">
              <w:rPr>
                <w:rFonts w:ascii="Verdana" w:hAnsi="Verdana"/>
                <w:bCs/>
                <w:color w:val="000000"/>
                <w:sz w:val="16"/>
                <w:szCs w:val="16"/>
                <w:lang w:val="bg-BG"/>
              </w:rPr>
              <w:t>Индикаторът е неясен и поради това неговата уместност не може да бъде коментирана</w:t>
            </w:r>
          </w:p>
        </w:tc>
        <w:tc>
          <w:tcPr>
            <w:tcW w:w="1800" w:type="dxa"/>
            <w:shd w:val="clear" w:color="auto" w:fill="auto"/>
            <w:vAlign w:val="center"/>
          </w:tcPr>
          <w:p w:rsidR="005A01D9" w:rsidRPr="00CC4AF3"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CC4AF3">
              <w:rPr>
                <w:rFonts w:ascii="Verdana" w:hAnsi="Verdana"/>
                <w:bCs/>
                <w:color w:val="000000"/>
                <w:sz w:val="16"/>
                <w:szCs w:val="16"/>
                <w:lang w:val="bg-BG"/>
              </w:rPr>
              <w:t>Необходимо е пояснение за какви заявки става дума</w:t>
            </w:r>
          </w:p>
        </w:tc>
        <w:tc>
          <w:tcPr>
            <w:tcW w:w="1037" w:type="dxa"/>
            <w:gridSpan w:val="3"/>
            <w:shd w:val="clear" w:color="auto" w:fill="auto"/>
            <w:vAlign w:val="center"/>
          </w:tcPr>
          <w:p w:rsidR="005A01D9" w:rsidRPr="00CC4AF3"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CC4AF3">
              <w:rPr>
                <w:rFonts w:ascii="Verdana" w:hAnsi="Verdana"/>
                <w:bCs/>
                <w:color w:val="000000"/>
                <w:sz w:val="16"/>
                <w:szCs w:val="16"/>
                <w:lang w:val="bg-BG"/>
              </w:rPr>
              <w:t>Брой</w:t>
            </w:r>
          </w:p>
        </w:tc>
        <w:tc>
          <w:tcPr>
            <w:tcW w:w="867" w:type="dxa"/>
            <w:shd w:val="clear" w:color="auto" w:fill="auto"/>
            <w:vAlign w:val="center"/>
          </w:tcPr>
          <w:p w:rsidR="005A01D9" w:rsidRPr="00CC4AF3" w:rsidRDefault="005A01D9" w:rsidP="00B122A1">
            <w:pPr>
              <w:widowControl w:val="0"/>
              <w:tabs>
                <w:tab w:val="left" w:pos="0"/>
                <w:tab w:val="right" w:pos="9214"/>
              </w:tabs>
              <w:spacing w:after="0" w:line="240" w:lineRule="auto"/>
              <w:rPr>
                <w:rFonts w:ascii="Verdana" w:hAnsi="Verdana"/>
                <w:sz w:val="16"/>
                <w:szCs w:val="16"/>
                <w:lang w:val="bg-BG"/>
              </w:rPr>
            </w:pPr>
            <w:r w:rsidRPr="00CC4AF3">
              <w:rPr>
                <w:rFonts w:ascii="Verdana" w:hAnsi="Verdana"/>
                <w:sz w:val="16"/>
                <w:szCs w:val="16"/>
                <w:lang w:val="bg-BG"/>
              </w:rPr>
              <w:t>700000</w:t>
            </w:r>
          </w:p>
        </w:tc>
        <w:tc>
          <w:tcPr>
            <w:tcW w:w="1260" w:type="dxa"/>
            <w:shd w:val="clear" w:color="auto" w:fill="auto"/>
            <w:vAlign w:val="center"/>
          </w:tcPr>
          <w:p w:rsidR="005A01D9" w:rsidRPr="00CC4AF3"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CC4AF3">
              <w:rPr>
                <w:rFonts w:ascii="Verdana" w:hAnsi="Verdana"/>
                <w:bCs/>
                <w:color w:val="000000"/>
                <w:sz w:val="16"/>
                <w:szCs w:val="16"/>
                <w:lang w:val="bg-BG"/>
              </w:rPr>
              <w:t>1000000</w:t>
            </w:r>
          </w:p>
        </w:tc>
        <w:tc>
          <w:tcPr>
            <w:tcW w:w="991" w:type="dxa"/>
            <w:shd w:val="clear" w:color="auto" w:fill="auto"/>
            <w:vAlign w:val="center"/>
          </w:tcPr>
          <w:p w:rsidR="005A01D9" w:rsidRPr="00CC4AF3"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CC4AF3">
              <w:rPr>
                <w:rFonts w:ascii="Verdana" w:hAnsi="Verdana"/>
                <w:bCs/>
                <w:color w:val="000000"/>
                <w:sz w:val="16"/>
                <w:szCs w:val="16"/>
                <w:lang w:val="bg-BG"/>
              </w:rPr>
              <w:t>1700000</w:t>
            </w:r>
          </w:p>
        </w:tc>
        <w:tc>
          <w:tcPr>
            <w:tcW w:w="3092" w:type="dxa"/>
            <w:shd w:val="clear" w:color="auto" w:fill="auto"/>
            <w:vAlign w:val="center"/>
          </w:tcPr>
          <w:p w:rsidR="005A01D9" w:rsidRPr="00CC4AF3"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 xml:space="preserve">Индикаторът е неясен. </w:t>
            </w:r>
          </w:p>
        </w:tc>
      </w:tr>
      <w:tr w:rsidR="005A01D9" w:rsidRPr="00B45B4F" w:rsidTr="00637FBD">
        <w:tc>
          <w:tcPr>
            <w:tcW w:w="2382" w:type="dxa"/>
            <w:vMerge/>
          </w:tcPr>
          <w:p w:rsidR="005A01D9" w:rsidRDefault="005A01D9" w:rsidP="00B122A1">
            <w:pPr>
              <w:autoSpaceDE w:val="0"/>
              <w:autoSpaceDN w:val="0"/>
              <w:adjustRightInd w:val="0"/>
              <w:spacing w:after="0" w:line="240" w:lineRule="auto"/>
              <w:jc w:val="both"/>
              <w:rPr>
                <w:rFonts w:ascii="Verdana" w:hAnsi="Verdana"/>
                <w:sz w:val="16"/>
                <w:szCs w:val="16"/>
                <w:lang w:val="bg-BG"/>
              </w:rPr>
            </w:pPr>
          </w:p>
        </w:tc>
        <w:tc>
          <w:tcPr>
            <w:tcW w:w="2041" w:type="dxa"/>
            <w:vAlign w:val="center"/>
          </w:tcPr>
          <w:p w:rsidR="005A01D9" w:rsidRDefault="005A01D9" w:rsidP="00B122A1">
            <w:pPr>
              <w:pStyle w:val="Default"/>
              <w:rPr>
                <w:rFonts w:ascii="Verdana" w:hAnsi="Verdana"/>
                <w:color w:val="auto"/>
                <w:sz w:val="16"/>
                <w:szCs w:val="16"/>
                <w:lang w:val="bg-BG"/>
              </w:rPr>
            </w:pPr>
            <w:r>
              <w:rPr>
                <w:rFonts w:ascii="Verdana" w:hAnsi="Verdana"/>
                <w:sz w:val="16"/>
                <w:szCs w:val="16"/>
                <w:lang w:val="bg-BG"/>
              </w:rPr>
              <w:t>Млади специалисти, участващи в партньорски мрежи за провеждане на научни изследвания, включително в съвместни проекти с бизнеса</w:t>
            </w:r>
          </w:p>
        </w:tc>
        <w:tc>
          <w:tcPr>
            <w:tcW w:w="1414" w:type="dxa"/>
            <w:vAlign w:val="center"/>
          </w:tcPr>
          <w:p w:rsidR="005A01D9"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е уместен</w:t>
            </w:r>
          </w:p>
        </w:tc>
        <w:tc>
          <w:tcPr>
            <w:tcW w:w="1800" w:type="dxa"/>
            <w:vAlign w:val="center"/>
          </w:tcPr>
          <w:p w:rsidR="005A01D9"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В индикаторните фишове е необходимо е пояснени какво се разбира под „млади специалисти“ и какво се разбира под „партньорски мрежи“</w:t>
            </w:r>
          </w:p>
        </w:tc>
        <w:tc>
          <w:tcPr>
            <w:tcW w:w="1037" w:type="dxa"/>
            <w:gridSpan w:val="3"/>
            <w:vAlign w:val="center"/>
          </w:tcPr>
          <w:p w:rsidR="005A01D9"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Брой</w:t>
            </w:r>
          </w:p>
        </w:tc>
        <w:tc>
          <w:tcPr>
            <w:tcW w:w="867" w:type="dxa"/>
            <w:vAlign w:val="center"/>
          </w:tcPr>
          <w:p w:rsidR="005A01D9" w:rsidRPr="00B45B4F" w:rsidRDefault="005A01D9" w:rsidP="00B122A1">
            <w:pPr>
              <w:widowControl w:val="0"/>
              <w:tabs>
                <w:tab w:val="left" w:pos="0"/>
                <w:tab w:val="right" w:pos="9214"/>
              </w:tabs>
              <w:spacing w:after="0" w:line="240" w:lineRule="auto"/>
              <w:rPr>
                <w:rFonts w:ascii="Verdana" w:hAnsi="Verdana"/>
                <w:sz w:val="16"/>
                <w:szCs w:val="16"/>
                <w:lang w:val="bg-BG"/>
              </w:rPr>
            </w:pPr>
            <w:r>
              <w:rPr>
                <w:rFonts w:ascii="Verdana" w:hAnsi="Verdana"/>
                <w:sz w:val="16"/>
                <w:szCs w:val="16"/>
                <w:lang w:val="bg-BG"/>
              </w:rPr>
              <w:t>0</w:t>
            </w:r>
          </w:p>
        </w:tc>
        <w:tc>
          <w:tcPr>
            <w:tcW w:w="1260"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липсва</w:t>
            </w:r>
          </w:p>
        </w:tc>
        <w:tc>
          <w:tcPr>
            <w:tcW w:w="991"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липсва</w:t>
            </w:r>
          </w:p>
        </w:tc>
        <w:tc>
          <w:tcPr>
            <w:tcW w:w="3092"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Липсват заложени стойности</w:t>
            </w:r>
          </w:p>
        </w:tc>
      </w:tr>
      <w:tr w:rsidR="005A01D9" w:rsidRPr="00B45B4F" w:rsidTr="00B122A1">
        <w:trPr>
          <w:trHeight w:val="15"/>
        </w:trPr>
        <w:tc>
          <w:tcPr>
            <w:tcW w:w="14884" w:type="dxa"/>
            <w:gridSpan w:val="11"/>
            <w:tcBorders>
              <w:bottom w:val="nil"/>
            </w:tcBorders>
            <w:shd w:val="clear" w:color="auto" w:fill="B8CCE4" w:themeFill="accent1" w:themeFillTint="66"/>
          </w:tcPr>
          <w:p w:rsidR="005A01D9" w:rsidRPr="00B45B4F" w:rsidRDefault="005A01D9" w:rsidP="00B122A1">
            <w:pPr>
              <w:pStyle w:val="Default"/>
              <w:keepNext/>
              <w:spacing w:before="120" w:after="120"/>
              <w:jc w:val="both"/>
              <w:rPr>
                <w:rFonts w:ascii="Verdana" w:hAnsi="Verdana"/>
                <w:b/>
                <w:color w:val="auto"/>
                <w:sz w:val="16"/>
                <w:szCs w:val="16"/>
                <w:lang w:val="bg-BG"/>
              </w:rPr>
            </w:pPr>
            <w:r w:rsidRPr="00B45B4F">
              <w:rPr>
                <w:rFonts w:ascii="Verdana" w:hAnsi="Verdana"/>
                <w:b/>
                <w:color w:val="auto"/>
                <w:sz w:val="16"/>
                <w:szCs w:val="16"/>
                <w:lang w:val="bg-BG"/>
              </w:rPr>
              <w:t>2. Образование и учене през целия живот</w:t>
            </w:r>
          </w:p>
        </w:tc>
      </w:tr>
      <w:tr w:rsidR="005A01D9" w:rsidRPr="00B45B4F" w:rsidTr="00B122A1">
        <w:trPr>
          <w:trHeight w:val="15"/>
        </w:trPr>
        <w:tc>
          <w:tcPr>
            <w:tcW w:w="14884" w:type="dxa"/>
            <w:gridSpan w:val="11"/>
            <w:tcBorders>
              <w:bottom w:val="nil"/>
            </w:tcBorders>
            <w:shd w:val="clear" w:color="auto" w:fill="F2DBDB" w:themeFill="accent2" w:themeFillTint="33"/>
          </w:tcPr>
          <w:p w:rsidR="005A01D9" w:rsidRPr="00B45B4F" w:rsidRDefault="005A01D9" w:rsidP="00B122A1">
            <w:pPr>
              <w:pStyle w:val="Default"/>
              <w:spacing w:before="120" w:after="120"/>
              <w:jc w:val="both"/>
              <w:rPr>
                <w:rFonts w:ascii="Verdana" w:hAnsi="Verdana"/>
                <w:b/>
                <w:color w:val="auto"/>
                <w:sz w:val="16"/>
                <w:szCs w:val="16"/>
                <w:lang w:val="bg-BG"/>
              </w:rPr>
            </w:pPr>
            <w:r w:rsidRPr="00312E6F">
              <w:rPr>
                <w:rFonts w:ascii="Verdana" w:hAnsi="Verdana"/>
                <w:b/>
                <w:color w:val="auto"/>
                <w:sz w:val="16"/>
                <w:szCs w:val="16"/>
                <w:lang w:val="bg-BG"/>
              </w:rPr>
              <w:t xml:space="preserve">ИП1. </w:t>
            </w:r>
            <w:r w:rsidRPr="00312E6F">
              <w:rPr>
                <w:rFonts w:ascii="Verdana" w:hAnsi="Verdana" w:cs="Arial Narrow"/>
                <w:i/>
                <w:sz w:val="16"/>
                <w:szCs w:val="16"/>
                <w:lang w:val="bg-BG"/>
              </w:rPr>
              <w:t>Намаляване и предотвратяване на преждевременното напускане на училище и насърчаване на равния достъп до висококачествено предучилищно, основно и средно образование, включващо формални, неформални и неофициални начини на учене за повторно включване в образователната система и системата на обучение</w:t>
            </w:r>
            <w:r w:rsidRPr="00F86D34">
              <w:rPr>
                <w:rFonts w:ascii="Verdana" w:hAnsi="Verdana" w:cs="Arial Narrow"/>
                <w:i/>
                <w:sz w:val="20"/>
                <w:szCs w:val="20"/>
                <w:lang w:val="bg-BG"/>
              </w:rPr>
              <w:t>.</w:t>
            </w:r>
          </w:p>
        </w:tc>
      </w:tr>
      <w:tr w:rsidR="005A01D9" w:rsidRPr="00B45B4F" w:rsidTr="00B122A1">
        <w:trPr>
          <w:trHeight w:val="1650"/>
        </w:trPr>
        <w:tc>
          <w:tcPr>
            <w:tcW w:w="2382" w:type="dxa"/>
            <w:vMerge w:val="restart"/>
          </w:tcPr>
          <w:p w:rsidR="005A01D9" w:rsidRDefault="005A01D9" w:rsidP="00B122A1">
            <w:pPr>
              <w:autoSpaceDE w:val="0"/>
              <w:autoSpaceDN w:val="0"/>
              <w:adjustRightInd w:val="0"/>
              <w:spacing w:after="0" w:line="240" w:lineRule="auto"/>
              <w:jc w:val="both"/>
              <w:rPr>
                <w:rFonts w:ascii="Verdana" w:hAnsi="Verdana"/>
                <w:sz w:val="16"/>
                <w:szCs w:val="16"/>
                <w:lang w:val="bg-BG"/>
              </w:rPr>
            </w:pPr>
            <w:r>
              <w:rPr>
                <w:rFonts w:ascii="Verdana" w:hAnsi="Verdana"/>
                <w:sz w:val="16"/>
                <w:szCs w:val="16"/>
                <w:lang w:val="bg-BG"/>
              </w:rPr>
              <w:t xml:space="preserve">СЦ1 </w:t>
            </w:r>
            <w:r w:rsidRPr="00B45B4F">
              <w:rPr>
                <w:rFonts w:ascii="Verdana" w:hAnsi="Verdana"/>
                <w:sz w:val="16"/>
                <w:szCs w:val="16"/>
                <w:lang w:val="bg-BG"/>
              </w:rPr>
              <w:t>Подобряване на постиженията на децата и учениците в овладяването на ключови компетентности по отношение предучилищното и училищното образование</w:t>
            </w:r>
          </w:p>
          <w:p w:rsidR="005A01D9" w:rsidRDefault="005A01D9" w:rsidP="00B122A1">
            <w:pPr>
              <w:autoSpaceDE w:val="0"/>
              <w:autoSpaceDN w:val="0"/>
              <w:adjustRightInd w:val="0"/>
              <w:spacing w:after="0" w:line="240" w:lineRule="auto"/>
              <w:jc w:val="both"/>
              <w:rPr>
                <w:rFonts w:ascii="Verdana" w:hAnsi="Verdana"/>
                <w:sz w:val="16"/>
                <w:szCs w:val="16"/>
                <w:lang w:val="bg-BG"/>
              </w:rPr>
            </w:pPr>
          </w:p>
          <w:p w:rsidR="005A01D9" w:rsidRPr="00B45B4F" w:rsidRDefault="005A01D9" w:rsidP="00B122A1">
            <w:pPr>
              <w:autoSpaceDE w:val="0"/>
              <w:autoSpaceDN w:val="0"/>
              <w:adjustRightInd w:val="0"/>
              <w:spacing w:after="0" w:line="240" w:lineRule="auto"/>
              <w:jc w:val="both"/>
              <w:rPr>
                <w:rFonts w:ascii="Verdana" w:hAnsi="Verdana"/>
                <w:sz w:val="16"/>
                <w:szCs w:val="16"/>
                <w:lang w:val="bg-BG"/>
              </w:rPr>
            </w:pPr>
          </w:p>
          <w:p w:rsidR="005A01D9" w:rsidRDefault="005A01D9" w:rsidP="00B122A1">
            <w:pPr>
              <w:autoSpaceDE w:val="0"/>
              <w:autoSpaceDN w:val="0"/>
              <w:adjustRightInd w:val="0"/>
              <w:spacing w:after="0" w:line="240" w:lineRule="auto"/>
              <w:jc w:val="both"/>
              <w:rPr>
                <w:rFonts w:ascii="Verdana" w:hAnsi="Verdana"/>
                <w:sz w:val="16"/>
                <w:szCs w:val="16"/>
                <w:lang w:val="bg-BG"/>
              </w:rPr>
            </w:pPr>
            <w:r>
              <w:rPr>
                <w:rFonts w:ascii="Verdana" w:hAnsi="Verdana"/>
                <w:sz w:val="16"/>
                <w:szCs w:val="16"/>
                <w:lang w:val="bg-BG"/>
              </w:rPr>
              <w:t xml:space="preserve">СЦ2 </w:t>
            </w:r>
            <w:r w:rsidRPr="00B45B4F">
              <w:rPr>
                <w:rFonts w:ascii="Verdana" w:hAnsi="Verdana"/>
                <w:sz w:val="16"/>
                <w:szCs w:val="16"/>
                <w:lang w:val="bg-BG"/>
              </w:rPr>
              <w:t xml:space="preserve">Обхващане и задържане на децата и учениците в образователната система чрез повишаване на </w:t>
            </w:r>
            <w:r w:rsidRPr="00B45B4F">
              <w:rPr>
                <w:rFonts w:ascii="Verdana" w:hAnsi="Verdana"/>
                <w:sz w:val="16"/>
                <w:szCs w:val="16"/>
                <w:lang w:val="bg-BG"/>
              </w:rPr>
              <w:lastRenderedPageBreak/>
              <w:t>мотивацията за учене на привлекателността на образователните институции</w:t>
            </w:r>
          </w:p>
          <w:p w:rsidR="005A01D9" w:rsidRDefault="005A01D9" w:rsidP="00B122A1">
            <w:pPr>
              <w:autoSpaceDE w:val="0"/>
              <w:autoSpaceDN w:val="0"/>
              <w:adjustRightInd w:val="0"/>
              <w:spacing w:after="0" w:line="240" w:lineRule="auto"/>
              <w:jc w:val="both"/>
              <w:rPr>
                <w:rFonts w:ascii="Verdana" w:hAnsi="Verdana"/>
                <w:sz w:val="16"/>
                <w:szCs w:val="16"/>
                <w:lang w:val="bg-BG"/>
              </w:rPr>
            </w:pPr>
          </w:p>
          <w:p w:rsidR="005A01D9" w:rsidRPr="00B45B4F" w:rsidRDefault="005A01D9" w:rsidP="00B122A1">
            <w:pPr>
              <w:autoSpaceDE w:val="0"/>
              <w:autoSpaceDN w:val="0"/>
              <w:adjustRightInd w:val="0"/>
              <w:spacing w:after="0" w:line="240" w:lineRule="auto"/>
              <w:jc w:val="both"/>
              <w:rPr>
                <w:rFonts w:ascii="Verdana" w:hAnsi="Verdana"/>
                <w:sz w:val="16"/>
                <w:szCs w:val="16"/>
                <w:lang w:val="bg-BG"/>
              </w:rPr>
            </w:pPr>
          </w:p>
          <w:p w:rsidR="005A01D9" w:rsidRPr="00B45B4F" w:rsidRDefault="005A01D9" w:rsidP="00B122A1">
            <w:pPr>
              <w:autoSpaceDE w:val="0"/>
              <w:autoSpaceDN w:val="0"/>
              <w:adjustRightInd w:val="0"/>
              <w:spacing w:after="0" w:line="240" w:lineRule="auto"/>
              <w:jc w:val="both"/>
              <w:rPr>
                <w:rFonts w:ascii="Verdana" w:hAnsi="Verdana"/>
                <w:sz w:val="16"/>
                <w:szCs w:val="16"/>
                <w:lang w:val="bg-BG"/>
              </w:rPr>
            </w:pPr>
            <w:r>
              <w:rPr>
                <w:rFonts w:ascii="Verdana" w:hAnsi="Verdana"/>
                <w:sz w:val="16"/>
                <w:szCs w:val="16"/>
                <w:lang w:val="bg-BG"/>
              </w:rPr>
              <w:t xml:space="preserve">СЦ 3. </w:t>
            </w:r>
            <w:r w:rsidRPr="00B45B4F">
              <w:rPr>
                <w:rFonts w:ascii="Verdana" w:hAnsi="Verdana"/>
                <w:sz w:val="16"/>
                <w:szCs w:val="16"/>
                <w:lang w:val="bg-BG"/>
              </w:rPr>
              <w:t>Управление на качеството на образованието чрез усъвършенстване на системата за оценяване на резултатите от обучението и разработване и прилагане на ефективна система за мониторинг</w:t>
            </w:r>
          </w:p>
        </w:tc>
        <w:tc>
          <w:tcPr>
            <w:tcW w:w="2041" w:type="dxa"/>
            <w:vAlign w:val="center"/>
          </w:tcPr>
          <w:p w:rsidR="005A01D9" w:rsidRPr="00CC4AF3" w:rsidRDefault="005A01D9" w:rsidP="00B122A1">
            <w:pPr>
              <w:widowControl w:val="0"/>
              <w:tabs>
                <w:tab w:val="left" w:pos="0"/>
                <w:tab w:val="right" w:pos="9214"/>
              </w:tabs>
              <w:spacing w:after="0" w:line="240" w:lineRule="auto"/>
              <w:rPr>
                <w:rFonts w:ascii="Verdana" w:hAnsi="Verdana"/>
                <w:sz w:val="16"/>
                <w:szCs w:val="16"/>
                <w:lang w:val="bg-BG"/>
              </w:rPr>
            </w:pPr>
            <w:r w:rsidRPr="00CC4AF3">
              <w:rPr>
                <w:rFonts w:ascii="Verdana" w:hAnsi="Verdana"/>
                <w:sz w:val="16"/>
                <w:szCs w:val="16"/>
                <w:lang w:val="bg-BG"/>
              </w:rPr>
              <w:lastRenderedPageBreak/>
              <w:t>Деца на възраст от 4 години до започване на училище, обхванати в предучилищно образование</w:t>
            </w:r>
          </w:p>
        </w:tc>
        <w:tc>
          <w:tcPr>
            <w:tcW w:w="1414" w:type="dxa"/>
            <w:vAlign w:val="center"/>
          </w:tcPr>
          <w:p w:rsidR="005A01D9" w:rsidRPr="00CC4AF3"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CC4AF3">
              <w:rPr>
                <w:rFonts w:ascii="Verdana" w:hAnsi="Verdana"/>
                <w:bCs/>
                <w:color w:val="000000"/>
                <w:sz w:val="16"/>
                <w:szCs w:val="16"/>
                <w:lang w:val="bg-BG"/>
              </w:rPr>
              <w:t>Индикаторът е уместен, но има характер по-скоро на индикатор за резултат. Не е изцяло в обхвата и контрола на програмата.</w:t>
            </w:r>
          </w:p>
        </w:tc>
        <w:tc>
          <w:tcPr>
            <w:tcW w:w="1845" w:type="dxa"/>
            <w:gridSpan w:val="3"/>
            <w:vAlign w:val="center"/>
          </w:tcPr>
          <w:p w:rsidR="005A01D9" w:rsidRPr="00CC4AF3"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CC4AF3">
              <w:rPr>
                <w:rFonts w:ascii="Verdana" w:hAnsi="Verdana"/>
                <w:bCs/>
                <w:color w:val="000000"/>
                <w:sz w:val="16"/>
                <w:szCs w:val="16"/>
                <w:lang w:val="bg-BG"/>
              </w:rPr>
              <w:t>Индикаторът е ясен</w:t>
            </w:r>
          </w:p>
        </w:tc>
        <w:tc>
          <w:tcPr>
            <w:tcW w:w="992" w:type="dxa"/>
            <w:vAlign w:val="center"/>
          </w:tcPr>
          <w:p w:rsidR="005A01D9" w:rsidRPr="00CC4AF3"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CC4AF3">
              <w:rPr>
                <w:rFonts w:ascii="Verdana" w:hAnsi="Verdana"/>
                <w:bCs/>
                <w:color w:val="000000"/>
                <w:sz w:val="16"/>
                <w:szCs w:val="16"/>
                <w:lang w:val="bg-BG"/>
              </w:rPr>
              <w:t>%</w:t>
            </w:r>
          </w:p>
        </w:tc>
        <w:tc>
          <w:tcPr>
            <w:tcW w:w="867" w:type="dxa"/>
            <w:vAlign w:val="center"/>
          </w:tcPr>
          <w:p w:rsidR="005A01D9" w:rsidRPr="00AB4B10"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AB4B10">
              <w:rPr>
                <w:rFonts w:ascii="Verdana" w:hAnsi="Verdana"/>
                <w:bCs/>
                <w:color w:val="000000"/>
                <w:sz w:val="16"/>
                <w:szCs w:val="16"/>
                <w:lang w:val="bg-BG"/>
              </w:rPr>
              <w:t>87,8</w:t>
            </w:r>
          </w:p>
        </w:tc>
        <w:tc>
          <w:tcPr>
            <w:tcW w:w="1260" w:type="dxa"/>
            <w:vAlign w:val="center"/>
          </w:tcPr>
          <w:p w:rsidR="005A01D9" w:rsidRPr="00CC4AF3"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CC4AF3">
              <w:rPr>
                <w:rFonts w:ascii="Verdana" w:hAnsi="Verdana"/>
                <w:bCs/>
                <w:color w:val="000000"/>
                <w:sz w:val="16"/>
                <w:szCs w:val="16"/>
                <w:lang w:val="bg-BG"/>
              </w:rPr>
              <w:t>88,5</w:t>
            </w:r>
          </w:p>
        </w:tc>
        <w:tc>
          <w:tcPr>
            <w:tcW w:w="991" w:type="dxa"/>
            <w:vAlign w:val="center"/>
          </w:tcPr>
          <w:p w:rsidR="005A01D9" w:rsidRPr="00CC4AF3"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CC4AF3">
              <w:rPr>
                <w:rFonts w:ascii="Verdana" w:hAnsi="Verdana"/>
                <w:bCs/>
                <w:color w:val="000000"/>
                <w:sz w:val="16"/>
                <w:szCs w:val="16"/>
                <w:lang w:val="bg-BG"/>
              </w:rPr>
              <w:t>90</w:t>
            </w:r>
          </w:p>
        </w:tc>
        <w:tc>
          <w:tcPr>
            <w:tcW w:w="3092" w:type="dxa"/>
            <w:vAlign w:val="center"/>
          </w:tcPr>
          <w:p w:rsidR="005A01D9" w:rsidRPr="00CC4AF3"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Заложените стойности са ясни. Целевата стойност изглежда реалистична предвид на предвидената по програмата подкрепа като обхват на дейности. Заложените средства, обаче може да се окажат недостатъчни за осъществяване на планираната реформа, ако не се предвиди подкрепа от държавния бюджет.</w:t>
            </w:r>
          </w:p>
        </w:tc>
      </w:tr>
      <w:tr w:rsidR="005A01D9" w:rsidRPr="00B45B4F" w:rsidTr="00B122A1">
        <w:trPr>
          <w:trHeight w:val="375"/>
        </w:trPr>
        <w:tc>
          <w:tcPr>
            <w:tcW w:w="2382" w:type="dxa"/>
            <w:vMerge/>
          </w:tcPr>
          <w:p w:rsidR="005A01D9" w:rsidRDefault="005A01D9" w:rsidP="00B122A1">
            <w:pPr>
              <w:autoSpaceDE w:val="0"/>
              <w:autoSpaceDN w:val="0"/>
              <w:adjustRightInd w:val="0"/>
              <w:spacing w:after="0" w:line="240" w:lineRule="auto"/>
              <w:jc w:val="both"/>
              <w:rPr>
                <w:rFonts w:ascii="Verdana" w:hAnsi="Verdana"/>
                <w:sz w:val="16"/>
                <w:szCs w:val="16"/>
                <w:lang w:val="bg-BG"/>
              </w:rPr>
            </w:pPr>
          </w:p>
        </w:tc>
        <w:tc>
          <w:tcPr>
            <w:tcW w:w="2041" w:type="dxa"/>
            <w:vAlign w:val="center"/>
          </w:tcPr>
          <w:p w:rsidR="005A01D9" w:rsidRDefault="005A01D9" w:rsidP="00B122A1">
            <w:pPr>
              <w:widowControl w:val="0"/>
              <w:tabs>
                <w:tab w:val="left" w:pos="0"/>
                <w:tab w:val="right" w:pos="9214"/>
              </w:tabs>
              <w:spacing w:after="0" w:line="240" w:lineRule="auto"/>
              <w:rPr>
                <w:rFonts w:ascii="Verdana" w:hAnsi="Verdana"/>
                <w:sz w:val="16"/>
                <w:szCs w:val="16"/>
                <w:lang w:val="bg-BG"/>
              </w:rPr>
            </w:pPr>
            <w:r>
              <w:rPr>
                <w:rFonts w:ascii="Verdana" w:hAnsi="Verdana"/>
                <w:sz w:val="16"/>
                <w:szCs w:val="16"/>
                <w:lang w:val="bg-BG"/>
              </w:rPr>
              <w:t>У</w:t>
            </w:r>
            <w:r w:rsidRPr="00B45B4F">
              <w:rPr>
                <w:rFonts w:ascii="Verdana" w:hAnsi="Verdana"/>
                <w:sz w:val="16"/>
                <w:szCs w:val="16"/>
                <w:lang w:val="bg-BG"/>
              </w:rPr>
              <w:t>ченици, включени в извънкласни и извънучилищни дейности</w:t>
            </w:r>
          </w:p>
        </w:tc>
        <w:tc>
          <w:tcPr>
            <w:tcW w:w="1414" w:type="dxa"/>
            <w:vAlign w:val="center"/>
          </w:tcPr>
          <w:p w:rsidR="005A01D9" w:rsidRDefault="005A01D9" w:rsidP="00B122A1">
            <w:pPr>
              <w:widowControl w:val="0"/>
              <w:tabs>
                <w:tab w:val="left" w:pos="0"/>
                <w:tab w:val="right" w:pos="9214"/>
              </w:tabs>
              <w:spacing w:after="0" w:line="240" w:lineRule="auto"/>
              <w:rPr>
                <w:rFonts w:ascii="Verdana" w:hAnsi="Verdana"/>
                <w:bCs/>
                <w:color w:val="000000"/>
                <w:sz w:val="16"/>
                <w:szCs w:val="16"/>
              </w:rPr>
            </w:pPr>
            <w:r w:rsidRPr="00C20440">
              <w:rPr>
                <w:rFonts w:ascii="Verdana" w:hAnsi="Verdana"/>
                <w:bCs/>
                <w:color w:val="000000"/>
                <w:sz w:val="16"/>
                <w:szCs w:val="16"/>
                <w:lang w:val="bg-BG"/>
              </w:rPr>
              <w:t xml:space="preserve">Индикаторът е уместен </w:t>
            </w:r>
          </w:p>
        </w:tc>
        <w:tc>
          <w:tcPr>
            <w:tcW w:w="1845" w:type="dxa"/>
            <w:gridSpan w:val="3"/>
            <w:vAlign w:val="center"/>
          </w:tcPr>
          <w:p w:rsidR="005A01D9"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е ясен</w:t>
            </w:r>
          </w:p>
        </w:tc>
        <w:tc>
          <w:tcPr>
            <w:tcW w:w="992" w:type="dxa"/>
            <w:vAlign w:val="center"/>
          </w:tcPr>
          <w:p w:rsidR="005A01D9"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w:t>
            </w:r>
          </w:p>
        </w:tc>
        <w:tc>
          <w:tcPr>
            <w:tcW w:w="867" w:type="dxa"/>
            <w:vAlign w:val="center"/>
          </w:tcPr>
          <w:p w:rsidR="005A01D9" w:rsidRPr="00AB4B10"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AB4B10">
              <w:rPr>
                <w:rFonts w:ascii="Verdana" w:hAnsi="Verdana"/>
                <w:bCs/>
                <w:color w:val="000000"/>
                <w:sz w:val="16"/>
                <w:szCs w:val="16"/>
                <w:lang w:val="bg-BG"/>
              </w:rPr>
              <w:t>20</w:t>
            </w:r>
          </w:p>
        </w:tc>
        <w:tc>
          <w:tcPr>
            <w:tcW w:w="1260"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20</w:t>
            </w:r>
          </w:p>
        </w:tc>
        <w:tc>
          <w:tcPr>
            <w:tcW w:w="991"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20</w:t>
            </w:r>
          </w:p>
        </w:tc>
        <w:tc>
          <w:tcPr>
            <w:tcW w:w="3092"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 xml:space="preserve">Не е ясно защо не се предвижда увеличаване на дела на учениците включени в извън класна дейност, предвид на </w:t>
            </w:r>
            <w:r>
              <w:rPr>
                <w:rFonts w:ascii="Verdana" w:hAnsi="Verdana"/>
                <w:bCs/>
                <w:color w:val="000000"/>
                <w:sz w:val="16"/>
                <w:szCs w:val="16"/>
                <w:lang w:val="bg-BG"/>
              </w:rPr>
              <w:lastRenderedPageBreak/>
              <w:t>подкрепата, която ще бъде осигурена по програмата.</w:t>
            </w:r>
          </w:p>
        </w:tc>
      </w:tr>
      <w:tr w:rsidR="005A01D9" w:rsidRPr="00B45B4F" w:rsidTr="00B122A1">
        <w:trPr>
          <w:trHeight w:val="1120"/>
        </w:trPr>
        <w:tc>
          <w:tcPr>
            <w:tcW w:w="2382" w:type="dxa"/>
            <w:vMerge/>
          </w:tcPr>
          <w:p w:rsidR="005A01D9" w:rsidRDefault="005A01D9" w:rsidP="00B122A1">
            <w:pPr>
              <w:autoSpaceDE w:val="0"/>
              <w:autoSpaceDN w:val="0"/>
              <w:adjustRightInd w:val="0"/>
              <w:spacing w:after="0" w:line="240" w:lineRule="auto"/>
              <w:jc w:val="both"/>
              <w:rPr>
                <w:rFonts w:ascii="Verdana" w:hAnsi="Verdana"/>
                <w:sz w:val="16"/>
                <w:szCs w:val="16"/>
                <w:lang w:val="bg-BG"/>
              </w:rPr>
            </w:pPr>
          </w:p>
        </w:tc>
        <w:tc>
          <w:tcPr>
            <w:tcW w:w="2041" w:type="dxa"/>
            <w:vAlign w:val="center"/>
          </w:tcPr>
          <w:p w:rsidR="005A01D9" w:rsidRPr="00DD1333" w:rsidRDefault="005A01D9" w:rsidP="00B122A1">
            <w:pPr>
              <w:widowControl w:val="0"/>
              <w:tabs>
                <w:tab w:val="left" w:pos="0"/>
                <w:tab w:val="right" w:pos="9214"/>
              </w:tabs>
              <w:spacing w:after="0" w:line="240" w:lineRule="auto"/>
              <w:rPr>
                <w:rFonts w:ascii="Verdana" w:hAnsi="Verdana"/>
                <w:sz w:val="16"/>
                <w:szCs w:val="16"/>
                <w:lang w:val="bg-BG"/>
              </w:rPr>
            </w:pPr>
            <w:r w:rsidRPr="00DD1333">
              <w:rPr>
                <w:rFonts w:ascii="Verdana" w:hAnsi="Verdana"/>
                <w:sz w:val="16"/>
                <w:szCs w:val="16"/>
                <w:lang w:val="bg-BG"/>
              </w:rPr>
              <w:t>Групов нетен коефициент на записване на децата в детските градини</w:t>
            </w:r>
          </w:p>
        </w:tc>
        <w:tc>
          <w:tcPr>
            <w:tcW w:w="1414" w:type="dxa"/>
            <w:vAlign w:val="center"/>
          </w:tcPr>
          <w:p w:rsidR="005A01D9" w:rsidRPr="00DD1333"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DD1333">
              <w:rPr>
                <w:rFonts w:ascii="Verdana" w:hAnsi="Verdana"/>
                <w:bCs/>
                <w:color w:val="000000"/>
                <w:sz w:val="16"/>
                <w:szCs w:val="16"/>
                <w:lang w:val="bg-BG"/>
              </w:rPr>
              <w:t>Индикаторът е уместен, но има характер по-скоро на индикатор за резултат. Не е изцяло в обхвата и контрола на програмата.</w:t>
            </w:r>
          </w:p>
        </w:tc>
        <w:tc>
          <w:tcPr>
            <w:tcW w:w="1845" w:type="dxa"/>
            <w:gridSpan w:val="3"/>
            <w:vAlign w:val="center"/>
          </w:tcPr>
          <w:p w:rsidR="005A01D9" w:rsidRPr="00DD1333"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DD1333">
              <w:rPr>
                <w:rFonts w:ascii="Verdana" w:hAnsi="Verdana"/>
                <w:bCs/>
                <w:color w:val="000000"/>
                <w:sz w:val="16"/>
                <w:szCs w:val="16"/>
                <w:lang w:val="bg-BG"/>
              </w:rPr>
              <w:t>Индикаторът е ясен</w:t>
            </w:r>
          </w:p>
        </w:tc>
        <w:tc>
          <w:tcPr>
            <w:tcW w:w="992" w:type="dxa"/>
            <w:vAlign w:val="center"/>
          </w:tcPr>
          <w:p w:rsidR="005A01D9" w:rsidRPr="00DD1333"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DD1333">
              <w:rPr>
                <w:rFonts w:ascii="Verdana" w:hAnsi="Verdana"/>
                <w:bCs/>
                <w:color w:val="000000"/>
                <w:sz w:val="16"/>
                <w:szCs w:val="16"/>
                <w:lang w:val="bg-BG"/>
              </w:rPr>
              <w:t>%</w:t>
            </w:r>
          </w:p>
        </w:tc>
        <w:tc>
          <w:tcPr>
            <w:tcW w:w="867" w:type="dxa"/>
            <w:vAlign w:val="center"/>
          </w:tcPr>
          <w:p w:rsidR="005A01D9" w:rsidRPr="00AB4B10"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AB4B10">
              <w:rPr>
                <w:rFonts w:ascii="Verdana" w:hAnsi="Verdana"/>
                <w:bCs/>
                <w:color w:val="000000"/>
                <w:sz w:val="16"/>
                <w:szCs w:val="16"/>
                <w:lang w:val="bg-BG"/>
              </w:rPr>
              <w:t>83,6</w:t>
            </w:r>
          </w:p>
        </w:tc>
        <w:tc>
          <w:tcPr>
            <w:tcW w:w="1260" w:type="dxa"/>
            <w:vAlign w:val="center"/>
          </w:tcPr>
          <w:p w:rsidR="005A01D9" w:rsidRPr="00DD1333"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DD1333">
              <w:rPr>
                <w:rFonts w:ascii="Verdana" w:hAnsi="Verdana"/>
                <w:bCs/>
                <w:color w:val="000000"/>
                <w:sz w:val="16"/>
                <w:szCs w:val="16"/>
                <w:lang w:val="bg-BG"/>
              </w:rPr>
              <w:t>85</w:t>
            </w:r>
          </w:p>
        </w:tc>
        <w:tc>
          <w:tcPr>
            <w:tcW w:w="991" w:type="dxa"/>
            <w:vAlign w:val="center"/>
          </w:tcPr>
          <w:p w:rsidR="005A01D9" w:rsidRPr="00DD1333"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DD1333">
              <w:rPr>
                <w:rFonts w:ascii="Verdana" w:hAnsi="Verdana"/>
                <w:bCs/>
                <w:color w:val="000000"/>
                <w:sz w:val="16"/>
                <w:szCs w:val="16"/>
                <w:lang w:val="bg-BG"/>
              </w:rPr>
              <w:t>87</w:t>
            </w:r>
          </w:p>
        </w:tc>
        <w:tc>
          <w:tcPr>
            <w:tcW w:w="3092" w:type="dxa"/>
            <w:vMerge w:val="restart"/>
            <w:vAlign w:val="center"/>
          </w:tcPr>
          <w:p w:rsidR="005A01D9" w:rsidRPr="00DD1333"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Предвижда се преразглеждане на залагането на двата индикатора, защото не са изцяло в контрола на програмата и имат по-скоро характер на индикатори за резултат.</w:t>
            </w:r>
          </w:p>
        </w:tc>
      </w:tr>
      <w:tr w:rsidR="005A01D9" w:rsidRPr="00B45B4F" w:rsidTr="00B122A1">
        <w:trPr>
          <w:trHeight w:val="1551"/>
        </w:trPr>
        <w:tc>
          <w:tcPr>
            <w:tcW w:w="2382" w:type="dxa"/>
            <w:vMerge/>
          </w:tcPr>
          <w:p w:rsidR="005A01D9" w:rsidRDefault="005A01D9" w:rsidP="00B122A1">
            <w:pPr>
              <w:autoSpaceDE w:val="0"/>
              <w:autoSpaceDN w:val="0"/>
              <w:adjustRightInd w:val="0"/>
              <w:spacing w:after="0" w:line="240" w:lineRule="auto"/>
              <w:jc w:val="both"/>
              <w:rPr>
                <w:rFonts w:ascii="Verdana" w:hAnsi="Verdana"/>
                <w:sz w:val="16"/>
                <w:szCs w:val="16"/>
                <w:lang w:val="bg-BG"/>
              </w:rPr>
            </w:pPr>
          </w:p>
        </w:tc>
        <w:tc>
          <w:tcPr>
            <w:tcW w:w="2041" w:type="dxa"/>
            <w:vAlign w:val="center"/>
          </w:tcPr>
          <w:p w:rsidR="005A01D9" w:rsidRPr="00DD1333" w:rsidRDefault="005A01D9" w:rsidP="00B122A1">
            <w:pPr>
              <w:widowControl w:val="0"/>
              <w:tabs>
                <w:tab w:val="left" w:pos="0"/>
                <w:tab w:val="right" w:pos="9214"/>
              </w:tabs>
              <w:spacing w:after="0" w:line="240" w:lineRule="auto"/>
              <w:rPr>
                <w:rFonts w:ascii="Verdana" w:hAnsi="Verdana"/>
                <w:sz w:val="16"/>
                <w:szCs w:val="16"/>
                <w:lang w:val="bg-BG"/>
              </w:rPr>
            </w:pPr>
            <w:r w:rsidRPr="00DD1333">
              <w:rPr>
                <w:rFonts w:ascii="Verdana" w:hAnsi="Verdana"/>
                <w:sz w:val="16"/>
                <w:szCs w:val="16"/>
                <w:lang w:val="bg-BG"/>
              </w:rPr>
              <w:t>Нетен коефициент на записване на населението на възраст от 3 до 23 години в образователната система</w:t>
            </w:r>
          </w:p>
        </w:tc>
        <w:tc>
          <w:tcPr>
            <w:tcW w:w="1414" w:type="dxa"/>
            <w:vAlign w:val="center"/>
          </w:tcPr>
          <w:p w:rsidR="005A01D9" w:rsidRPr="00DD1333"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DD1333">
              <w:rPr>
                <w:rFonts w:ascii="Verdana" w:hAnsi="Verdana"/>
                <w:bCs/>
                <w:color w:val="000000"/>
                <w:sz w:val="16"/>
                <w:szCs w:val="16"/>
                <w:lang w:val="bg-BG"/>
              </w:rPr>
              <w:t>Индикаторът е по-скоро индикатор за резултат . Не е изцяло в обхвата и контрола на програмата.</w:t>
            </w:r>
          </w:p>
        </w:tc>
        <w:tc>
          <w:tcPr>
            <w:tcW w:w="1845" w:type="dxa"/>
            <w:gridSpan w:val="3"/>
            <w:vAlign w:val="center"/>
          </w:tcPr>
          <w:p w:rsidR="005A01D9" w:rsidRPr="00DD1333"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DD1333">
              <w:rPr>
                <w:rFonts w:ascii="Verdana" w:hAnsi="Verdana"/>
                <w:bCs/>
                <w:color w:val="000000"/>
                <w:sz w:val="16"/>
                <w:szCs w:val="16"/>
                <w:lang w:val="bg-BG"/>
              </w:rPr>
              <w:t>Индикаторът е ясен</w:t>
            </w:r>
          </w:p>
        </w:tc>
        <w:tc>
          <w:tcPr>
            <w:tcW w:w="992" w:type="dxa"/>
            <w:vAlign w:val="center"/>
          </w:tcPr>
          <w:p w:rsidR="005A01D9" w:rsidRPr="00DD1333"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DD1333">
              <w:rPr>
                <w:rFonts w:ascii="Verdana" w:hAnsi="Verdana"/>
                <w:bCs/>
                <w:color w:val="000000"/>
                <w:sz w:val="16"/>
                <w:szCs w:val="16"/>
                <w:lang w:val="bg-BG"/>
              </w:rPr>
              <w:t>%</w:t>
            </w:r>
          </w:p>
        </w:tc>
        <w:tc>
          <w:tcPr>
            <w:tcW w:w="867" w:type="dxa"/>
            <w:vAlign w:val="center"/>
          </w:tcPr>
          <w:p w:rsidR="005A01D9" w:rsidRPr="00AB4B10"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AB4B10">
              <w:rPr>
                <w:rFonts w:ascii="Verdana" w:hAnsi="Verdana"/>
                <w:bCs/>
                <w:color w:val="000000"/>
                <w:sz w:val="16"/>
                <w:szCs w:val="16"/>
                <w:lang w:val="bg-BG"/>
              </w:rPr>
              <w:t>81,7</w:t>
            </w:r>
          </w:p>
        </w:tc>
        <w:tc>
          <w:tcPr>
            <w:tcW w:w="1260" w:type="dxa"/>
            <w:vAlign w:val="center"/>
          </w:tcPr>
          <w:p w:rsidR="005A01D9" w:rsidRPr="00DD1333"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DD1333">
              <w:rPr>
                <w:rFonts w:ascii="Verdana" w:hAnsi="Verdana"/>
                <w:bCs/>
                <w:color w:val="000000"/>
                <w:sz w:val="16"/>
                <w:szCs w:val="16"/>
                <w:lang w:val="bg-BG"/>
              </w:rPr>
              <w:t>82,5</w:t>
            </w:r>
          </w:p>
        </w:tc>
        <w:tc>
          <w:tcPr>
            <w:tcW w:w="991" w:type="dxa"/>
            <w:vAlign w:val="center"/>
          </w:tcPr>
          <w:p w:rsidR="005A01D9" w:rsidRPr="00DD1333"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DD1333">
              <w:rPr>
                <w:rFonts w:ascii="Verdana" w:hAnsi="Verdana"/>
                <w:bCs/>
                <w:color w:val="000000"/>
                <w:sz w:val="16"/>
                <w:szCs w:val="16"/>
                <w:lang w:val="bg-BG"/>
              </w:rPr>
              <w:t>84</w:t>
            </w:r>
          </w:p>
        </w:tc>
        <w:tc>
          <w:tcPr>
            <w:tcW w:w="3092" w:type="dxa"/>
            <w:vMerge/>
          </w:tcPr>
          <w:p w:rsidR="005A01D9" w:rsidRPr="00031A35" w:rsidRDefault="005A01D9" w:rsidP="00B122A1">
            <w:pPr>
              <w:widowControl w:val="0"/>
              <w:tabs>
                <w:tab w:val="left" w:pos="0"/>
                <w:tab w:val="right" w:pos="9214"/>
              </w:tabs>
              <w:spacing w:after="0" w:line="240" w:lineRule="auto"/>
              <w:jc w:val="both"/>
              <w:rPr>
                <w:rFonts w:ascii="Verdana" w:hAnsi="Verdana"/>
                <w:bCs/>
                <w:color w:val="000000"/>
                <w:sz w:val="16"/>
                <w:szCs w:val="16"/>
                <w:highlight w:val="green"/>
                <w:lang w:val="bg-BG"/>
              </w:rPr>
            </w:pPr>
          </w:p>
        </w:tc>
      </w:tr>
      <w:tr w:rsidR="005A01D9" w:rsidRPr="00B45B4F" w:rsidTr="00B122A1">
        <w:tc>
          <w:tcPr>
            <w:tcW w:w="14884" w:type="dxa"/>
            <w:gridSpan w:val="11"/>
            <w:shd w:val="clear" w:color="auto" w:fill="F2DBDB" w:themeFill="accent2" w:themeFillTint="33"/>
          </w:tcPr>
          <w:p w:rsidR="005A01D9" w:rsidRPr="00B45B4F" w:rsidRDefault="005A01D9" w:rsidP="00B122A1">
            <w:pPr>
              <w:widowControl w:val="0"/>
              <w:tabs>
                <w:tab w:val="left" w:pos="0"/>
                <w:tab w:val="right" w:pos="9214"/>
              </w:tabs>
              <w:spacing w:after="0" w:line="240" w:lineRule="auto"/>
              <w:jc w:val="both"/>
              <w:rPr>
                <w:rFonts w:ascii="Verdana" w:hAnsi="Verdana"/>
                <w:bCs/>
                <w:color w:val="000000"/>
                <w:sz w:val="16"/>
                <w:szCs w:val="16"/>
                <w:lang w:val="bg-BG"/>
              </w:rPr>
            </w:pPr>
            <w:r w:rsidRPr="00312E6F">
              <w:rPr>
                <w:rFonts w:ascii="Verdana" w:hAnsi="Verdana"/>
                <w:b/>
                <w:bCs/>
                <w:color w:val="000000"/>
                <w:sz w:val="16"/>
                <w:szCs w:val="16"/>
                <w:lang w:val="bg-BG"/>
              </w:rPr>
              <w:t>ИП2.</w:t>
            </w:r>
            <w:r w:rsidRPr="00312E6F">
              <w:rPr>
                <w:rFonts w:ascii="Verdana" w:hAnsi="Verdana"/>
                <w:bCs/>
                <w:color w:val="000000"/>
                <w:sz w:val="16"/>
                <w:szCs w:val="16"/>
                <w:lang w:val="bg-BG"/>
              </w:rPr>
              <w:t xml:space="preserve"> </w:t>
            </w:r>
            <w:r w:rsidRPr="00312E6F">
              <w:rPr>
                <w:rFonts w:ascii="Verdana" w:hAnsi="Verdana" w:cs="Arial Narrow"/>
                <w:i/>
                <w:color w:val="000000"/>
                <w:sz w:val="16"/>
                <w:szCs w:val="16"/>
                <w:lang w:val="bg-BG"/>
              </w:rPr>
              <w:t>Подобряване на качеството и ефикасността и достъпа до висшето и равностойното на него образование с цел увеличаване на участието и подобряване на равнищата на образование, особено за групите в неравностойно положение</w:t>
            </w:r>
            <w:r w:rsidRPr="00F86D34">
              <w:rPr>
                <w:rFonts w:ascii="Verdana" w:hAnsi="Verdana" w:cs="Arial Narrow"/>
                <w:i/>
                <w:color w:val="000000"/>
                <w:sz w:val="20"/>
                <w:szCs w:val="20"/>
                <w:lang w:val="bg-BG"/>
              </w:rPr>
              <w:t>.</w:t>
            </w:r>
          </w:p>
        </w:tc>
      </w:tr>
      <w:tr w:rsidR="005A01D9" w:rsidRPr="00B45B4F" w:rsidTr="00B122A1">
        <w:trPr>
          <w:trHeight w:val="1515"/>
        </w:trPr>
        <w:tc>
          <w:tcPr>
            <w:tcW w:w="2382" w:type="dxa"/>
            <w:vMerge w:val="restart"/>
            <w:vAlign w:val="center"/>
          </w:tcPr>
          <w:p w:rsidR="005A01D9" w:rsidRDefault="005A01D9" w:rsidP="00B122A1">
            <w:pPr>
              <w:autoSpaceDE w:val="0"/>
              <w:autoSpaceDN w:val="0"/>
              <w:adjustRightInd w:val="0"/>
              <w:spacing w:after="0" w:line="240" w:lineRule="auto"/>
              <w:rPr>
                <w:rFonts w:ascii="Verdana" w:hAnsi="Verdana"/>
                <w:sz w:val="16"/>
                <w:szCs w:val="16"/>
                <w:lang w:val="bg-BG"/>
              </w:rPr>
            </w:pPr>
            <w:r>
              <w:rPr>
                <w:rFonts w:ascii="Verdana" w:hAnsi="Verdana"/>
                <w:sz w:val="16"/>
                <w:szCs w:val="16"/>
                <w:lang w:val="bg-BG"/>
              </w:rPr>
              <w:t xml:space="preserve">СЦ 1 </w:t>
            </w:r>
            <w:r w:rsidRPr="00B45B4F">
              <w:rPr>
                <w:rFonts w:ascii="Verdana" w:hAnsi="Verdana"/>
                <w:sz w:val="16"/>
                <w:szCs w:val="16"/>
                <w:lang w:val="bg-BG"/>
              </w:rPr>
              <w:t>Подобряване на знанията, уменията и възможностите за реализация на завършилите висше образование</w:t>
            </w:r>
          </w:p>
          <w:p w:rsidR="005A01D9" w:rsidRDefault="005A01D9" w:rsidP="00B122A1">
            <w:pPr>
              <w:autoSpaceDE w:val="0"/>
              <w:autoSpaceDN w:val="0"/>
              <w:adjustRightInd w:val="0"/>
              <w:spacing w:after="0" w:line="240" w:lineRule="auto"/>
              <w:rPr>
                <w:rFonts w:ascii="Verdana" w:hAnsi="Verdana"/>
                <w:sz w:val="16"/>
                <w:szCs w:val="16"/>
                <w:lang w:val="bg-BG"/>
              </w:rPr>
            </w:pPr>
          </w:p>
          <w:p w:rsidR="005A01D9" w:rsidRDefault="005A01D9" w:rsidP="00B122A1">
            <w:pPr>
              <w:autoSpaceDE w:val="0"/>
              <w:autoSpaceDN w:val="0"/>
              <w:adjustRightInd w:val="0"/>
              <w:spacing w:after="0" w:line="240" w:lineRule="auto"/>
              <w:rPr>
                <w:rFonts w:ascii="Verdana" w:hAnsi="Verdana"/>
                <w:sz w:val="16"/>
                <w:szCs w:val="16"/>
                <w:lang w:val="bg-BG"/>
              </w:rPr>
            </w:pPr>
          </w:p>
          <w:p w:rsidR="005A01D9" w:rsidRPr="00B45B4F" w:rsidRDefault="005A01D9" w:rsidP="00B122A1">
            <w:pPr>
              <w:autoSpaceDE w:val="0"/>
              <w:autoSpaceDN w:val="0"/>
              <w:adjustRightInd w:val="0"/>
              <w:spacing w:after="0" w:line="240" w:lineRule="auto"/>
              <w:rPr>
                <w:rFonts w:ascii="Verdana" w:hAnsi="Verdana"/>
                <w:sz w:val="16"/>
                <w:szCs w:val="16"/>
                <w:lang w:val="bg-BG"/>
              </w:rPr>
            </w:pPr>
          </w:p>
          <w:p w:rsidR="005A01D9" w:rsidRDefault="005A01D9" w:rsidP="00B122A1">
            <w:pPr>
              <w:autoSpaceDE w:val="0"/>
              <w:autoSpaceDN w:val="0"/>
              <w:adjustRightInd w:val="0"/>
              <w:spacing w:after="0" w:line="240" w:lineRule="auto"/>
              <w:rPr>
                <w:rFonts w:ascii="Verdana" w:hAnsi="Verdana"/>
                <w:sz w:val="16"/>
                <w:szCs w:val="16"/>
                <w:lang w:val="bg-BG"/>
              </w:rPr>
            </w:pPr>
            <w:r>
              <w:rPr>
                <w:rFonts w:ascii="Verdana" w:hAnsi="Verdana"/>
                <w:sz w:val="16"/>
                <w:szCs w:val="16"/>
                <w:lang w:val="bg-BG"/>
              </w:rPr>
              <w:t xml:space="preserve">СЦ 2. </w:t>
            </w:r>
            <w:r w:rsidRPr="00B45B4F">
              <w:rPr>
                <w:rFonts w:ascii="Verdana" w:hAnsi="Verdana"/>
                <w:sz w:val="16"/>
                <w:szCs w:val="16"/>
                <w:lang w:val="bg-BG"/>
              </w:rPr>
              <w:t>Оптимизиране дейността на висшите училища</w:t>
            </w:r>
          </w:p>
          <w:p w:rsidR="005A01D9" w:rsidRDefault="005A01D9" w:rsidP="00B122A1">
            <w:pPr>
              <w:autoSpaceDE w:val="0"/>
              <w:autoSpaceDN w:val="0"/>
              <w:adjustRightInd w:val="0"/>
              <w:spacing w:after="0" w:line="240" w:lineRule="auto"/>
              <w:rPr>
                <w:rFonts w:ascii="Verdana" w:hAnsi="Verdana"/>
                <w:sz w:val="16"/>
                <w:szCs w:val="16"/>
                <w:lang w:val="bg-BG"/>
              </w:rPr>
            </w:pPr>
          </w:p>
          <w:p w:rsidR="005A01D9" w:rsidRDefault="005A01D9" w:rsidP="00B122A1">
            <w:pPr>
              <w:autoSpaceDE w:val="0"/>
              <w:autoSpaceDN w:val="0"/>
              <w:adjustRightInd w:val="0"/>
              <w:spacing w:after="0" w:line="240" w:lineRule="auto"/>
              <w:rPr>
                <w:rFonts w:ascii="Verdana" w:hAnsi="Verdana"/>
                <w:sz w:val="16"/>
                <w:szCs w:val="16"/>
                <w:lang w:val="bg-BG"/>
              </w:rPr>
            </w:pPr>
          </w:p>
          <w:p w:rsidR="005A01D9" w:rsidRPr="00B45B4F" w:rsidRDefault="005A01D9" w:rsidP="00B122A1">
            <w:pPr>
              <w:autoSpaceDE w:val="0"/>
              <w:autoSpaceDN w:val="0"/>
              <w:adjustRightInd w:val="0"/>
              <w:spacing w:after="0" w:line="240" w:lineRule="auto"/>
              <w:rPr>
                <w:rFonts w:ascii="Verdana" w:hAnsi="Verdana"/>
                <w:sz w:val="16"/>
                <w:szCs w:val="16"/>
                <w:lang w:val="bg-BG"/>
              </w:rPr>
            </w:pPr>
          </w:p>
          <w:p w:rsidR="005A01D9" w:rsidRPr="00B45B4F" w:rsidRDefault="005A01D9" w:rsidP="00B122A1">
            <w:pPr>
              <w:autoSpaceDE w:val="0"/>
              <w:autoSpaceDN w:val="0"/>
              <w:adjustRightInd w:val="0"/>
              <w:spacing w:after="0" w:line="240" w:lineRule="auto"/>
              <w:rPr>
                <w:rFonts w:ascii="Verdana" w:hAnsi="Verdana"/>
                <w:sz w:val="16"/>
                <w:szCs w:val="16"/>
                <w:lang w:val="bg-BG"/>
              </w:rPr>
            </w:pPr>
            <w:r>
              <w:rPr>
                <w:rFonts w:ascii="Verdana" w:hAnsi="Verdana"/>
                <w:sz w:val="16"/>
                <w:szCs w:val="16"/>
                <w:lang w:val="bg-BG"/>
              </w:rPr>
              <w:t xml:space="preserve">СЦ 3 </w:t>
            </w:r>
            <w:r w:rsidRPr="00B45B4F">
              <w:rPr>
                <w:rFonts w:ascii="Verdana" w:hAnsi="Verdana"/>
                <w:sz w:val="16"/>
                <w:szCs w:val="16"/>
                <w:lang w:val="bg-BG"/>
              </w:rPr>
              <w:t>Подобряване на достъпа до висше образование и увеличаване на броя на завършилите висше образование между 30-34 годишните до 36 % до 2020 г</w:t>
            </w:r>
          </w:p>
        </w:tc>
        <w:tc>
          <w:tcPr>
            <w:tcW w:w="2041" w:type="dxa"/>
            <w:vAlign w:val="center"/>
          </w:tcPr>
          <w:p w:rsidR="005A01D9" w:rsidRPr="00B45B4F" w:rsidRDefault="005A01D9" w:rsidP="00B122A1">
            <w:pPr>
              <w:pStyle w:val="Default"/>
              <w:rPr>
                <w:rFonts w:ascii="Verdana" w:hAnsi="Verdana"/>
                <w:bCs/>
                <w:color w:val="auto"/>
                <w:sz w:val="16"/>
                <w:szCs w:val="16"/>
                <w:lang w:val="bg-BG"/>
              </w:rPr>
            </w:pPr>
            <w:r w:rsidRPr="00B45B4F">
              <w:rPr>
                <w:rFonts w:ascii="Verdana" w:hAnsi="Verdana"/>
                <w:bCs/>
                <w:color w:val="auto"/>
                <w:sz w:val="16"/>
                <w:szCs w:val="16"/>
                <w:lang w:val="bg-BG"/>
              </w:rPr>
              <w:lastRenderedPageBreak/>
              <w:t xml:space="preserve">ВУ с усъвършенствана система за </w:t>
            </w:r>
            <w:r>
              <w:rPr>
                <w:rFonts w:ascii="Verdana" w:hAnsi="Verdana"/>
                <w:bCs/>
                <w:color w:val="auto"/>
                <w:sz w:val="16"/>
                <w:szCs w:val="16"/>
                <w:lang w:val="bg-BG"/>
              </w:rPr>
              <w:t xml:space="preserve">управление, включително за вътрешно </w:t>
            </w:r>
            <w:r w:rsidRPr="00B45B4F">
              <w:rPr>
                <w:rFonts w:ascii="Verdana" w:hAnsi="Verdana"/>
                <w:bCs/>
                <w:color w:val="auto"/>
                <w:sz w:val="16"/>
                <w:szCs w:val="16"/>
                <w:lang w:val="bg-BG"/>
              </w:rPr>
              <w:t>оценяване</w:t>
            </w:r>
          </w:p>
        </w:tc>
        <w:tc>
          <w:tcPr>
            <w:tcW w:w="1414"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е уместен</w:t>
            </w:r>
          </w:p>
        </w:tc>
        <w:tc>
          <w:tcPr>
            <w:tcW w:w="1845" w:type="dxa"/>
            <w:gridSpan w:val="3"/>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е ясен</w:t>
            </w:r>
          </w:p>
        </w:tc>
        <w:tc>
          <w:tcPr>
            <w:tcW w:w="992"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w:t>
            </w:r>
          </w:p>
        </w:tc>
        <w:tc>
          <w:tcPr>
            <w:tcW w:w="867" w:type="dxa"/>
            <w:vAlign w:val="center"/>
          </w:tcPr>
          <w:p w:rsidR="005A01D9" w:rsidRPr="00B45B4F" w:rsidRDefault="005A01D9" w:rsidP="00B122A1">
            <w:pPr>
              <w:rPr>
                <w:rFonts w:ascii="Verdana" w:hAnsi="Verdana"/>
                <w:sz w:val="16"/>
                <w:szCs w:val="16"/>
                <w:lang w:val="bg-BG"/>
              </w:rPr>
            </w:pPr>
            <w:r>
              <w:rPr>
                <w:rFonts w:ascii="Verdana" w:hAnsi="Verdana"/>
                <w:sz w:val="16"/>
                <w:szCs w:val="16"/>
                <w:lang w:val="bg-BG"/>
              </w:rPr>
              <w:t>65</w:t>
            </w:r>
          </w:p>
        </w:tc>
        <w:tc>
          <w:tcPr>
            <w:tcW w:w="1260"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75</w:t>
            </w:r>
          </w:p>
        </w:tc>
        <w:tc>
          <w:tcPr>
            <w:tcW w:w="991"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85</w:t>
            </w:r>
          </w:p>
        </w:tc>
        <w:tc>
          <w:tcPr>
            <w:tcW w:w="3092"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Не е ясна методологията, по която са изчислени стойностите на индикатора. Предвид на предвидената подкрепа, заложените стойности изглеждат реалистични.</w:t>
            </w:r>
          </w:p>
        </w:tc>
      </w:tr>
      <w:tr w:rsidR="005A01D9" w:rsidRPr="00B45B4F" w:rsidTr="00B122A1">
        <w:trPr>
          <w:trHeight w:val="885"/>
        </w:trPr>
        <w:tc>
          <w:tcPr>
            <w:tcW w:w="2382" w:type="dxa"/>
            <w:vMerge/>
          </w:tcPr>
          <w:p w:rsidR="005A01D9" w:rsidRDefault="005A01D9" w:rsidP="00B122A1">
            <w:pPr>
              <w:autoSpaceDE w:val="0"/>
              <w:autoSpaceDN w:val="0"/>
              <w:adjustRightInd w:val="0"/>
              <w:spacing w:after="0" w:line="240" w:lineRule="auto"/>
              <w:jc w:val="both"/>
              <w:rPr>
                <w:rFonts w:ascii="Verdana" w:hAnsi="Verdana"/>
                <w:sz w:val="16"/>
                <w:szCs w:val="16"/>
                <w:lang w:val="bg-BG"/>
              </w:rPr>
            </w:pPr>
          </w:p>
        </w:tc>
        <w:tc>
          <w:tcPr>
            <w:tcW w:w="2041" w:type="dxa"/>
            <w:vAlign w:val="center"/>
          </w:tcPr>
          <w:p w:rsidR="005A01D9" w:rsidRDefault="005A01D9" w:rsidP="00B122A1">
            <w:pPr>
              <w:pStyle w:val="CommentText"/>
              <w:spacing w:after="0" w:line="240" w:lineRule="auto"/>
              <w:rPr>
                <w:rFonts w:ascii="Verdana" w:hAnsi="Verdana"/>
                <w:bCs/>
                <w:sz w:val="16"/>
                <w:szCs w:val="16"/>
                <w:lang w:val="bg-BG"/>
              </w:rPr>
            </w:pPr>
            <w:r>
              <w:rPr>
                <w:rFonts w:ascii="Verdana" w:hAnsi="Verdana"/>
                <w:bCs/>
                <w:sz w:val="16"/>
                <w:szCs w:val="16"/>
                <w:lang w:val="bg-BG"/>
              </w:rPr>
              <w:t>П</w:t>
            </w:r>
            <w:r w:rsidRPr="00B45B4F">
              <w:rPr>
                <w:rFonts w:ascii="Verdana" w:hAnsi="Verdana"/>
                <w:bCs/>
                <w:sz w:val="16"/>
                <w:szCs w:val="16"/>
                <w:lang w:val="bg-BG"/>
              </w:rPr>
              <w:t>роцент</w:t>
            </w:r>
            <w:r>
              <w:rPr>
                <w:rFonts w:ascii="Verdana" w:hAnsi="Verdana"/>
                <w:bCs/>
                <w:sz w:val="16"/>
                <w:szCs w:val="16"/>
                <w:lang w:val="bg-BG"/>
              </w:rPr>
              <w:t xml:space="preserve">ен </w:t>
            </w:r>
            <w:r w:rsidRPr="00B45B4F">
              <w:rPr>
                <w:rFonts w:ascii="Verdana" w:hAnsi="Verdana"/>
                <w:bCs/>
                <w:sz w:val="16"/>
                <w:szCs w:val="16"/>
                <w:lang w:val="bg-BG"/>
              </w:rPr>
              <w:t>дял от финансирането за висшите училища, който се формира на база показателите от рейтинговата система.</w:t>
            </w:r>
          </w:p>
        </w:tc>
        <w:tc>
          <w:tcPr>
            <w:tcW w:w="1414" w:type="dxa"/>
            <w:vAlign w:val="center"/>
          </w:tcPr>
          <w:p w:rsidR="005A01D9"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 xml:space="preserve">Индикаторът е уместен </w:t>
            </w:r>
          </w:p>
        </w:tc>
        <w:tc>
          <w:tcPr>
            <w:tcW w:w="1845" w:type="dxa"/>
            <w:gridSpan w:val="3"/>
            <w:vAlign w:val="center"/>
          </w:tcPr>
          <w:p w:rsidR="005A01D9"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е ясен</w:t>
            </w:r>
          </w:p>
        </w:tc>
        <w:tc>
          <w:tcPr>
            <w:tcW w:w="992" w:type="dxa"/>
            <w:vAlign w:val="center"/>
          </w:tcPr>
          <w:p w:rsidR="005A01D9" w:rsidRDefault="005A01D9" w:rsidP="00B122A1">
            <w:pPr>
              <w:spacing w:after="160" w:line="259" w:lineRule="auto"/>
              <w:rPr>
                <w:rFonts w:ascii="Verdana" w:hAnsi="Verdana"/>
                <w:bCs/>
                <w:color w:val="000000"/>
                <w:sz w:val="16"/>
                <w:szCs w:val="16"/>
                <w:lang w:val="bg-BG"/>
              </w:rPr>
            </w:pPr>
            <w:r>
              <w:rPr>
                <w:rFonts w:ascii="Verdana" w:hAnsi="Verdana"/>
                <w:bCs/>
                <w:color w:val="000000"/>
                <w:sz w:val="16"/>
                <w:szCs w:val="16"/>
                <w:lang w:val="bg-BG"/>
              </w:rPr>
              <w:t>%</w:t>
            </w:r>
          </w:p>
        </w:tc>
        <w:tc>
          <w:tcPr>
            <w:tcW w:w="867" w:type="dxa"/>
            <w:vAlign w:val="center"/>
          </w:tcPr>
          <w:p w:rsidR="005A01D9" w:rsidRPr="00AB4B10"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AB4B10">
              <w:rPr>
                <w:rFonts w:ascii="Verdana" w:hAnsi="Verdana"/>
                <w:bCs/>
                <w:color w:val="000000"/>
                <w:sz w:val="16"/>
                <w:szCs w:val="16"/>
                <w:lang w:val="bg-BG"/>
              </w:rPr>
              <w:t>4</w:t>
            </w:r>
          </w:p>
        </w:tc>
        <w:tc>
          <w:tcPr>
            <w:tcW w:w="1260"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5</w:t>
            </w:r>
          </w:p>
        </w:tc>
        <w:tc>
          <w:tcPr>
            <w:tcW w:w="991"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20</w:t>
            </w:r>
          </w:p>
        </w:tc>
        <w:tc>
          <w:tcPr>
            <w:tcW w:w="3092"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е свързан с политически решения и нормативни промени.</w:t>
            </w:r>
          </w:p>
        </w:tc>
      </w:tr>
      <w:tr w:rsidR="005A01D9" w:rsidRPr="00B45B4F" w:rsidTr="00B122A1">
        <w:trPr>
          <w:trHeight w:val="1169"/>
        </w:trPr>
        <w:tc>
          <w:tcPr>
            <w:tcW w:w="2382" w:type="dxa"/>
            <w:vMerge/>
          </w:tcPr>
          <w:p w:rsidR="005A01D9" w:rsidRDefault="005A01D9" w:rsidP="00B122A1">
            <w:pPr>
              <w:autoSpaceDE w:val="0"/>
              <w:autoSpaceDN w:val="0"/>
              <w:adjustRightInd w:val="0"/>
              <w:spacing w:after="0" w:line="240" w:lineRule="auto"/>
              <w:jc w:val="both"/>
              <w:rPr>
                <w:rFonts w:ascii="Verdana" w:hAnsi="Verdana"/>
                <w:sz w:val="16"/>
                <w:szCs w:val="16"/>
                <w:lang w:val="bg-BG"/>
              </w:rPr>
            </w:pPr>
          </w:p>
        </w:tc>
        <w:tc>
          <w:tcPr>
            <w:tcW w:w="2041" w:type="dxa"/>
            <w:vAlign w:val="center"/>
          </w:tcPr>
          <w:p w:rsidR="005A01D9" w:rsidRPr="00B34C5C" w:rsidRDefault="005A01D9" w:rsidP="00B122A1">
            <w:pPr>
              <w:pStyle w:val="Default"/>
              <w:rPr>
                <w:rFonts w:ascii="Verdana" w:hAnsi="Verdana"/>
                <w:sz w:val="16"/>
                <w:szCs w:val="16"/>
                <w:lang w:val="bg-BG"/>
              </w:rPr>
            </w:pPr>
            <w:r w:rsidRPr="00B34C5C">
              <w:rPr>
                <w:rFonts w:ascii="Verdana" w:hAnsi="Verdana"/>
                <w:sz w:val="16"/>
                <w:szCs w:val="16"/>
                <w:lang w:val="bg-BG"/>
              </w:rPr>
              <w:t>Преподаватели от висши училища, преминали програми за повишаване на квалификацията</w:t>
            </w:r>
          </w:p>
        </w:tc>
        <w:tc>
          <w:tcPr>
            <w:tcW w:w="1414" w:type="dxa"/>
            <w:vAlign w:val="center"/>
          </w:tcPr>
          <w:p w:rsidR="005A01D9" w:rsidRPr="00B34C5C"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B34C5C">
              <w:rPr>
                <w:rFonts w:ascii="Verdana" w:hAnsi="Verdana"/>
                <w:bCs/>
                <w:color w:val="000000"/>
                <w:sz w:val="16"/>
                <w:szCs w:val="16"/>
                <w:lang w:val="bg-BG"/>
              </w:rPr>
              <w:t>Индикаторът не е уместен към специфичните цели на ИП</w:t>
            </w:r>
            <w:r>
              <w:rPr>
                <w:rFonts w:ascii="Verdana" w:hAnsi="Verdana"/>
                <w:bCs/>
                <w:color w:val="000000"/>
                <w:sz w:val="16"/>
                <w:szCs w:val="16"/>
                <w:lang w:val="bg-BG"/>
              </w:rPr>
              <w:t>2</w:t>
            </w:r>
          </w:p>
        </w:tc>
        <w:tc>
          <w:tcPr>
            <w:tcW w:w="1845" w:type="dxa"/>
            <w:gridSpan w:val="3"/>
            <w:vAlign w:val="center"/>
          </w:tcPr>
          <w:p w:rsidR="005A01D9" w:rsidRPr="00B34C5C"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B34C5C">
              <w:rPr>
                <w:rFonts w:ascii="Verdana" w:hAnsi="Verdana"/>
                <w:bCs/>
                <w:color w:val="000000"/>
                <w:sz w:val="16"/>
                <w:szCs w:val="16"/>
                <w:lang w:val="bg-BG"/>
              </w:rPr>
              <w:t>Индикаторът е ясен</w:t>
            </w:r>
          </w:p>
        </w:tc>
        <w:tc>
          <w:tcPr>
            <w:tcW w:w="992" w:type="dxa"/>
            <w:vAlign w:val="center"/>
          </w:tcPr>
          <w:p w:rsidR="005A01D9" w:rsidRPr="00B34C5C"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B34C5C">
              <w:rPr>
                <w:rFonts w:ascii="Verdana" w:hAnsi="Verdana"/>
                <w:bCs/>
                <w:color w:val="000000"/>
                <w:sz w:val="16"/>
                <w:szCs w:val="16"/>
                <w:lang w:val="bg-BG"/>
              </w:rPr>
              <w:t>%</w:t>
            </w:r>
          </w:p>
        </w:tc>
        <w:tc>
          <w:tcPr>
            <w:tcW w:w="867" w:type="dxa"/>
            <w:vAlign w:val="center"/>
          </w:tcPr>
          <w:p w:rsidR="005A01D9" w:rsidRPr="00AB4B10"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AB4B10">
              <w:rPr>
                <w:rFonts w:ascii="Verdana" w:hAnsi="Verdana"/>
                <w:bCs/>
                <w:color w:val="000000"/>
                <w:sz w:val="16"/>
                <w:szCs w:val="16"/>
                <w:lang w:val="bg-BG"/>
              </w:rPr>
              <w:t>10</w:t>
            </w:r>
          </w:p>
        </w:tc>
        <w:tc>
          <w:tcPr>
            <w:tcW w:w="1260" w:type="dxa"/>
            <w:vAlign w:val="center"/>
          </w:tcPr>
          <w:p w:rsidR="005A01D9" w:rsidRPr="00B34C5C"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B34C5C">
              <w:rPr>
                <w:rFonts w:ascii="Verdana" w:hAnsi="Verdana"/>
                <w:bCs/>
                <w:color w:val="000000"/>
                <w:sz w:val="16"/>
                <w:szCs w:val="16"/>
                <w:lang w:val="bg-BG"/>
              </w:rPr>
              <w:t>25</w:t>
            </w:r>
          </w:p>
        </w:tc>
        <w:tc>
          <w:tcPr>
            <w:tcW w:w="991" w:type="dxa"/>
            <w:vAlign w:val="center"/>
          </w:tcPr>
          <w:p w:rsidR="005A01D9" w:rsidRPr="00B34C5C"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B34C5C">
              <w:rPr>
                <w:rFonts w:ascii="Verdana" w:hAnsi="Verdana"/>
                <w:bCs/>
                <w:color w:val="000000"/>
                <w:sz w:val="16"/>
                <w:szCs w:val="16"/>
                <w:lang w:val="bg-BG"/>
              </w:rPr>
              <w:t>50</w:t>
            </w:r>
          </w:p>
        </w:tc>
        <w:tc>
          <w:tcPr>
            <w:tcW w:w="3092" w:type="dxa"/>
            <w:vAlign w:val="center"/>
          </w:tcPr>
          <w:p w:rsidR="005A01D9" w:rsidRPr="00B34C5C"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Не е ясна методологията, по която са изчислени стойностите на индикатора. Предвид на предвидената подкрепа, заложените стойности изглеждат твърде оптимистични.</w:t>
            </w:r>
          </w:p>
        </w:tc>
      </w:tr>
      <w:tr w:rsidR="005A01D9" w:rsidRPr="00B45B4F" w:rsidTr="00B122A1">
        <w:trPr>
          <w:trHeight w:val="1132"/>
        </w:trPr>
        <w:tc>
          <w:tcPr>
            <w:tcW w:w="2382" w:type="dxa"/>
            <w:vMerge/>
          </w:tcPr>
          <w:p w:rsidR="005A01D9" w:rsidRDefault="005A01D9" w:rsidP="00B122A1">
            <w:pPr>
              <w:autoSpaceDE w:val="0"/>
              <w:autoSpaceDN w:val="0"/>
              <w:adjustRightInd w:val="0"/>
              <w:spacing w:after="0" w:line="240" w:lineRule="auto"/>
              <w:jc w:val="both"/>
              <w:rPr>
                <w:rFonts w:ascii="Verdana" w:hAnsi="Verdana"/>
                <w:sz w:val="16"/>
                <w:szCs w:val="16"/>
                <w:lang w:val="bg-BG"/>
              </w:rPr>
            </w:pPr>
          </w:p>
        </w:tc>
        <w:tc>
          <w:tcPr>
            <w:tcW w:w="2041" w:type="dxa"/>
            <w:vAlign w:val="center"/>
          </w:tcPr>
          <w:p w:rsidR="005A01D9" w:rsidRPr="00B34C5C" w:rsidRDefault="005A01D9" w:rsidP="00B122A1">
            <w:pPr>
              <w:pStyle w:val="Default"/>
              <w:rPr>
                <w:rFonts w:ascii="Verdana" w:hAnsi="Verdana"/>
                <w:sz w:val="16"/>
                <w:szCs w:val="16"/>
                <w:lang w:val="bg-BG"/>
              </w:rPr>
            </w:pPr>
            <w:r w:rsidRPr="00B34C5C">
              <w:rPr>
                <w:rFonts w:ascii="Verdana" w:hAnsi="Verdana"/>
                <w:color w:val="auto"/>
                <w:sz w:val="16"/>
                <w:szCs w:val="16"/>
                <w:lang w:val="bg-BG"/>
              </w:rPr>
              <w:t>Висши училища, участващи в инициативи за консолидация</w:t>
            </w:r>
          </w:p>
        </w:tc>
        <w:tc>
          <w:tcPr>
            <w:tcW w:w="1414" w:type="dxa"/>
            <w:vAlign w:val="center"/>
          </w:tcPr>
          <w:p w:rsidR="005A01D9" w:rsidRPr="00B34C5C"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B34C5C">
              <w:rPr>
                <w:rFonts w:ascii="Verdana" w:hAnsi="Verdana"/>
                <w:bCs/>
                <w:color w:val="000000"/>
                <w:sz w:val="16"/>
                <w:szCs w:val="16"/>
                <w:lang w:val="bg-BG"/>
              </w:rPr>
              <w:t>Индикаторът не е пряко обвързан с предвидените дейности</w:t>
            </w:r>
          </w:p>
        </w:tc>
        <w:tc>
          <w:tcPr>
            <w:tcW w:w="1845" w:type="dxa"/>
            <w:gridSpan w:val="3"/>
            <w:vAlign w:val="center"/>
          </w:tcPr>
          <w:p w:rsidR="005A01D9" w:rsidRPr="00B34C5C"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B34C5C">
              <w:rPr>
                <w:rFonts w:ascii="Verdana" w:hAnsi="Verdana"/>
                <w:bCs/>
                <w:color w:val="000000"/>
                <w:sz w:val="16"/>
                <w:szCs w:val="16"/>
                <w:lang w:val="bg-BG"/>
              </w:rPr>
              <w:t>Индикаторът е неясен</w:t>
            </w:r>
          </w:p>
        </w:tc>
        <w:tc>
          <w:tcPr>
            <w:tcW w:w="992" w:type="dxa"/>
            <w:vAlign w:val="center"/>
          </w:tcPr>
          <w:p w:rsidR="005A01D9" w:rsidRPr="00B34C5C"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B34C5C">
              <w:rPr>
                <w:rFonts w:ascii="Verdana" w:hAnsi="Verdana"/>
                <w:bCs/>
                <w:color w:val="000000"/>
                <w:sz w:val="16"/>
                <w:szCs w:val="16"/>
                <w:lang w:val="bg-BG"/>
              </w:rPr>
              <w:t>Брой/%</w:t>
            </w:r>
          </w:p>
        </w:tc>
        <w:tc>
          <w:tcPr>
            <w:tcW w:w="867" w:type="dxa"/>
            <w:vAlign w:val="center"/>
          </w:tcPr>
          <w:p w:rsidR="005A01D9" w:rsidRPr="00AB4B10"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AB4B10">
              <w:rPr>
                <w:rFonts w:ascii="Verdana" w:hAnsi="Verdana"/>
                <w:bCs/>
                <w:color w:val="000000"/>
                <w:sz w:val="16"/>
                <w:szCs w:val="16"/>
                <w:lang w:val="bg-BG"/>
              </w:rPr>
              <w:t>липсва</w:t>
            </w:r>
          </w:p>
        </w:tc>
        <w:tc>
          <w:tcPr>
            <w:tcW w:w="1260" w:type="dxa"/>
            <w:vAlign w:val="center"/>
          </w:tcPr>
          <w:p w:rsidR="005A01D9" w:rsidRPr="00B34C5C"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B34C5C">
              <w:rPr>
                <w:rFonts w:ascii="Verdana" w:hAnsi="Verdana"/>
                <w:bCs/>
                <w:color w:val="000000"/>
                <w:sz w:val="16"/>
                <w:szCs w:val="16"/>
                <w:lang w:val="bg-BG"/>
              </w:rPr>
              <w:t>липсва</w:t>
            </w:r>
          </w:p>
        </w:tc>
        <w:tc>
          <w:tcPr>
            <w:tcW w:w="991" w:type="dxa"/>
            <w:vAlign w:val="center"/>
          </w:tcPr>
          <w:p w:rsidR="005A01D9" w:rsidRPr="00B34C5C"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B34C5C">
              <w:rPr>
                <w:rFonts w:ascii="Verdana" w:hAnsi="Verdana"/>
                <w:bCs/>
                <w:color w:val="000000"/>
                <w:sz w:val="16"/>
                <w:szCs w:val="16"/>
                <w:lang w:val="bg-BG"/>
              </w:rPr>
              <w:t>липсва</w:t>
            </w:r>
          </w:p>
        </w:tc>
        <w:tc>
          <w:tcPr>
            <w:tcW w:w="3092" w:type="dxa"/>
            <w:vAlign w:val="center"/>
          </w:tcPr>
          <w:p w:rsidR="005A01D9" w:rsidRPr="00B34C5C"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B34C5C">
              <w:rPr>
                <w:rFonts w:ascii="Verdana" w:hAnsi="Verdana"/>
                <w:bCs/>
                <w:color w:val="000000"/>
                <w:sz w:val="16"/>
                <w:szCs w:val="16"/>
                <w:lang w:val="bg-BG"/>
              </w:rPr>
              <w:t>Не се заложени стойности</w:t>
            </w:r>
          </w:p>
        </w:tc>
      </w:tr>
      <w:tr w:rsidR="005A01D9" w:rsidRPr="00B45B4F" w:rsidTr="00B122A1">
        <w:trPr>
          <w:trHeight w:val="979"/>
        </w:trPr>
        <w:tc>
          <w:tcPr>
            <w:tcW w:w="2382" w:type="dxa"/>
            <w:vMerge/>
          </w:tcPr>
          <w:p w:rsidR="005A01D9" w:rsidRDefault="005A01D9" w:rsidP="00B122A1">
            <w:pPr>
              <w:autoSpaceDE w:val="0"/>
              <w:autoSpaceDN w:val="0"/>
              <w:adjustRightInd w:val="0"/>
              <w:spacing w:after="0" w:line="240" w:lineRule="auto"/>
              <w:jc w:val="both"/>
              <w:rPr>
                <w:rFonts w:ascii="Verdana" w:hAnsi="Verdana"/>
                <w:sz w:val="16"/>
                <w:szCs w:val="16"/>
                <w:lang w:val="bg-BG"/>
              </w:rPr>
            </w:pPr>
          </w:p>
        </w:tc>
        <w:tc>
          <w:tcPr>
            <w:tcW w:w="2041" w:type="dxa"/>
            <w:vAlign w:val="center"/>
          </w:tcPr>
          <w:p w:rsidR="005A01D9" w:rsidRDefault="005A01D9" w:rsidP="00B122A1">
            <w:pPr>
              <w:pStyle w:val="Default"/>
              <w:rPr>
                <w:rFonts w:ascii="Verdana" w:hAnsi="Verdana"/>
                <w:bCs/>
                <w:color w:val="auto"/>
                <w:sz w:val="16"/>
                <w:szCs w:val="16"/>
                <w:lang w:val="bg-BG"/>
              </w:rPr>
            </w:pPr>
            <w:r>
              <w:rPr>
                <w:rFonts w:ascii="Verdana" w:hAnsi="Verdana"/>
                <w:color w:val="auto"/>
                <w:sz w:val="16"/>
                <w:szCs w:val="16"/>
                <w:lang w:val="bg-BG"/>
              </w:rPr>
              <w:t>С</w:t>
            </w:r>
            <w:r w:rsidRPr="00B45B4F">
              <w:rPr>
                <w:rFonts w:ascii="Verdana" w:hAnsi="Verdana"/>
                <w:color w:val="auto"/>
                <w:sz w:val="16"/>
                <w:szCs w:val="16"/>
                <w:lang w:val="bg-BG"/>
              </w:rPr>
              <w:t>туденти, получили стипендии и специални стипендии</w:t>
            </w:r>
          </w:p>
        </w:tc>
        <w:tc>
          <w:tcPr>
            <w:tcW w:w="1414" w:type="dxa"/>
            <w:vAlign w:val="center"/>
          </w:tcPr>
          <w:p w:rsidR="005A01D9"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е уместен</w:t>
            </w:r>
          </w:p>
        </w:tc>
        <w:tc>
          <w:tcPr>
            <w:tcW w:w="1845" w:type="dxa"/>
            <w:gridSpan w:val="3"/>
            <w:vAlign w:val="center"/>
          </w:tcPr>
          <w:p w:rsidR="005A01D9"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е ясен</w:t>
            </w:r>
          </w:p>
        </w:tc>
        <w:tc>
          <w:tcPr>
            <w:tcW w:w="992" w:type="dxa"/>
            <w:vAlign w:val="center"/>
          </w:tcPr>
          <w:p w:rsidR="005A01D9"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w:t>
            </w:r>
          </w:p>
        </w:tc>
        <w:tc>
          <w:tcPr>
            <w:tcW w:w="867" w:type="dxa"/>
            <w:vAlign w:val="center"/>
          </w:tcPr>
          <w:p w:rsidR="005A01D9" w:rsidRPr="00AB4B10"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AB4B10">
              <w:rPr>
                <w:rFonts w:ascii="Verdana" w:hAnsi="Verdana"/>
                <w:bCs/>
                <w:color w:val="000000"/>
                <w:sz w:val="16"/>
                <w:szCs w:val="16"/>
                <w:lang w:val="bg-BG"/>
              </w:rPr>
              <w:t>20</w:t>
            </w:r>
          </w:p>
        </w:tc>
        <w:tc>
          <w:tcPr>
            <w:tcW w:w="1260"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20</w:t>
            </w:r>
          </w:p>
        </w:tc>
        <w:tc>
          <w:tcPr>
            <w:tcW w:w="991"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20</w:t>
            </w:r>
          </w:p>
        </w:tc>
        <w:tc>
          <w:tcPr>
            <w:tcW w:w="3092"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Не е ясно защо не се предвижда увеличаване на дела предоставените стипендии, предвид подкрепата от програмата.</w:t>
            </w:r>
          </w:p>
        </w:tc>
      </w:tr>
      <w:tr w:rsidR="005A01D9" w:rsidRPr="00B45B4F" w:rsidTr="00B122A1">
        <w:trPr>
          <w:trHeight w:val="1365"/>
        </w:trPr>
        <w:tc>
          <w:tcPr>
            <w:tcW w:w="2382" w:type="dxa"/>
            <w:vMerge/>
          </w:tcPr>
          <w:p w:rsidR="005A01D9" w:rsidRDefault="005A01D9" w:rsidP="00B122A1">
            <w:pPr>
              <w:autoSpaceDE w:val="0"/>
              <w:autoSpaceDN w:val="0"/>
              <w:adjustRightInd w:val="0"/>
              <w:spacing w:after="0" w:line="240" w:lineRule="auto"/>
              <w:jc w:val="both"/>
              <w:rPr>
                <w:rFonts w:ascii="Verdana" w:hAnsi="Verdana"/>
                <w:sz w:val="16"/>
                <w:szCs w:val="16"/>
                <w:lang w:val="bg-BG"/>
              </w:rPr>
            </w:pPr>
          </w:p>
        </w:tc>
        <w:tc>
          <w:tcPr>
            <w:tcW w:w="2041" w:type="dxa"/>
            <w:vAlign w:val="center"/>
          </w:tcPr>
          <w:p w:rsidR="005A01D9" w:rsidRPr="00B45B4F" w:rsidRDefault="005A01D9" w:rsidP="00B122A1">
            <w:pPr>
              <w:pStyle w:val="Default"/>
              <w:rPr>
                <w:rFonts w:ascii="Verdana" w:hAnsi="Verdana"/>
                <w:sz w:val="16"/>
                <w:szCs w:val="16"/>
                <w:lang w:val="bg-BG"/>
              </w:rPr>
            </w:pPr>
            <w:r>
              <w:rPr>
                <w:rFonts w:ascii="Verdana" w:hAnsi="Verdana"/>
                <w:bCs/>
                <w:color w:val="auto"/>
                <w:sz w:val="16"/>
                <w:szCs w:val="16"/>
                <w:lang w:val="bg-BG"/>
              </w:rPr>
              <w:t>Студенти и докторанти</w:t>
            </w:r>
            <w:r w:rsidRPr="00B45B4F">
              <w:rPr>
                <w:rFonts w:ascii="Verdana" w:hAnsi="Verdana"/>
                <w:bCs/>
                <w:color w:val="auto"/>
                <w:sz w:val="16"/>
                <w:szCs w:val="16"/>
                <w:lang w:val="bg-BG"/>
              </w:rPr>
              <w:t>, получили студентск</w:t>
            </w:r>
            <w:r>
              <w:rPr>
                <w:rFonts w:ascii="Verdana" w:hAnsi="Verdana"/>
                <w:bCs/>
                <w:color w:val="auto"/>
                <w:sz w:val="16"/>
                <w:szCs w:val="16"/>
                <w:lang w:val="bg-BG"/>
              </w:rPr>
              <w:t xml:space="preserve">и </w:t>
            </w:r>
            <w:r w:rsidRPr="00B45B4F">
              <w:rPr>
                <w:rFonts w:ascii="Verdana" w:hAnsi="Verdana"/>
                <w:bCs/>
                <w:color w:val="auto"/>
                <w:sz w:val="16"/>
                <w:szCs w:val="16"/>
                <w:lang w:val="bg-BG"/>
              </w:rPr>
              <w:t>кредит</w:t>
            </w:r>
          </w:p>
        </w:tc>
        <w:tc>
          <w:tcPr>
            <w:tcW w:w="1414" w:type="dxa"/>
            <w:vAlign w:val="center"/>
          </w:tcPr>
          <w:p w:rsidR="005A01D9"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е уместен</w:t>
            </w:r>
          </w:p>
        </w:tc>
        <w:tc>
          <w:tcPr>
            <w:tcW w:w="1845" w:type="dxa"/>
            <w:gridSpan w:val="3"/>
            <w:vAlign w:val="center"/>
          </w:tcPr>
          <w:p w:rsidR="005A01D9"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е ясен</w:t>
            </w:r>
          </w:p>
        </w:tc>
        <w:tc>
          <w:tcPr>
            <w:tcW w:w="992" w:type="dxa"/>
            <w:vAlign w:val="center"/>
          </w:tcPr>
          <w:p w:rsidR="005A01D9"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Брой</w:t>
            </w:r>
          </w:p>
        </w:tc>
        <w:tc>
          <w:tcPr>
            <w:tcW w:w="867" w:type="dxa"/>
            <w:vAlign w:val="center"/>
          </w:tcPr>
          <w:p w:rsidR="005A01D9" w:rsidRPr="00AB4B10"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AB4B10">
              <w:rPr>
                <w:rFonts w:ascii="Verdana" w:hAnsi="Verdana"/>
                <w:bCs/>
                <w:color w:val="000000"/>
                <w:sz w:val="16"/>
                <w:szCs w:val="16"/>
                <w:lang w:val="bg-BG"/>
              </w:rPr>
              <w:t>14 681</w:t>
            </w:r>
          </w:p>
        </w:tc>
        <w:tc>
          <w:tcPr>
            <w:tcW w:w="1260"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26 000</w:t>
            </w:r>
          </w:p>
        </w:tc>
        <w:tc>
          <w:tcPr>
            <w:tcW w:w="991"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34 000</w:t>
            </w:r>
          </w:p>
        </w:tc>
        <w:tc>
          <w:tcPr>
            <w:tcW w:w="3092" w:type="dxa"/>
          </w:tcPr>
          <w:p w:rsidR="005A01D9" w:rsidRPr="000E32E0" w:rsidRDefault="005A01D9" w:rsidP="00B122A1">
            <w:pPr>
              <w:widowControl w:val="0"/>
              <w:tabs>
                <w:tab w:val="left" w:pos="0"/>
                <w:tab w:val="right" w:pos="9214"/>
              </w:tabs>
              <w:spacing w:after="0" w:line="240" w:lineRule="auto"/>
              <w:jc w:val="both"/>
              <w:rPr>
                <w:rFonts w:ascii="Verdana" w:hAnsi="Verdana"/>
                <w:bCs/>
                <w:color w:val="000000"/>
                <w:sz w:val="16"/>
                <w:szCs w:val="16"/>
                <w:lang w:val="bg-BG"/>
              </w:rPr>
            </w:pPr>
            <w:r>
              <w:rPr>
                <w:rFonts w:ascii="Verdana" w:hAnsi="Verdana"/>
                <w:bCs/>
                <w:color w:val="000000"/>
                <w:sz w:val="16"/>
                <w:szCs w:val="16"/>
                <w:lang w:val="bg-BG"/>
              </w:rPr>
              <w:t>ОПНОИР посочва, че се предвижда увеличаване на гаранцията за предоставяне на кредит. Посочва се и интерес към кредитите, както ръстът на подадените заявки между 2011-2013 е между 10 и 20%. Предвид на това заложените стойности на индикатора изглеждат реалистични.</w:t>
            </w:r>
          </w:p>
        </w:tc>
      </w:tr>
      <w:tr w:rsidR="005A01D9" w:rsidRPr="00B45B4F" w:rsidTr="00B122A1">
        <w:tc>
          <w:tcPr>
            <w:tcW w:w="14884" w:type="dxa"/>
            <w:gridSpan w:val="11"/>
            <w:shd w:val="clear" w:color="auto" w:fill="F2DBDB" w:themeFill="accent2" w:themeFillTint="33"/>
          </w:tcPr>
          <w:p w:rsidR="005A01D9" w:rsidRPr="006E5A29" w:rsidRDefault="005A01D9" w:rsidP="00B122A1">
            <w:pPr>
              <w:widowControl w:val="0"/>
              <w:tabs>
                <w:tab w:val="left" w:pos="0"/>
                <w:tab w:val="right" w:pos="9214"/>
              </w:tabs>
              <w:spacing w:after="0" w:line="240" w:lineRule="auto"/>
              <w:jc w:val="both"/>
              <w:rPr>
                <w:rFonts w:ascii="Verdana" w:hAnsi="Verdana"/>
                <w:bCs/>
                <w:color w:val="000000"/>
                <w:sz w:val="16"/>
                <w:szCs w:val="16"/>
                <w:lang w:val="bg-BG"/>
              </w:rPr>
            </w:pPr>
            <w:r w:rsidRPr="006E5A29">
              <w:rPr>
                <w:rFonts w:ascii="Verdana" w:hAnsi="Verdana"/>
                <w:b/>
                <w:bCs/>
                <w:color w:val="000000"/>
                <w:sz w:val="16"/>
                <w:szCs w:val="16"/>
                <w:lang w:val="bg-BG"/>
              </w:rPr>
              <w:t>ИП3.</w:t>
            </w:r>
            <w:r w:rsidRPr="006E5A29">
              <w:rPr>
                <w:rFonts w:ascii="Verdana" w:hAnsi="Verdana"/>
                <w:bCs/>
                <w:color w:val="000000"/>
                <w:sz w:val="16"/>
                <w:szCs w:val="16"/>
                <w:lang w:val="bg-BG"/>
              </w:rPr>
              <w:t xml:space="preserve"> </w:t>
            </w:r>
            <w:r w:rsidRPr="006E5A29">
              <w:rPr>
                <w:rFonts w:ascii="Verdana" w:hAnsi="Verdana" w:cs="Arial Narrow"/>
                <w:i/>
                <w:color w:val="000000"/>
                <w:sz w:val="16"/>
                <w:szCs w:val="16"/>
                <w:lang w:val="bg-BG"/>
              </w:rPr>
              <w:t>Подобряване на равния достъп до възможностите за учене през целия живот за всички възрастови групи във формален, неформален и неофициален вид, осъвременяване на познанията, уменията и компетенциите на работната ръка, както и насърчаване на гъвкави процеси на учене, включително чрез професионална ориентация и валидиране на придобитите компетенции.</w:t>
            </w:r>
          </w:p>
        </w:tc>
      </w:tr>
      <w:tr w:rsidR="005A01D9" w:rsidRPr="00B45B4F" w:rsidTr="00B122A1">
        <w:tc>
          <w:tcPr>
            <w:tcW w:w="2382" w:type="dxa"/>
            <w:vMerge w:val="restart"/>
            <w:vAlign w:val="center"/>
          </w:tcPr>
          <w:p w:rsidR="005A01D9" w:rsidRDefault="005A01D9" w:rsidP="00B122A1">
            <w:pPr>
              <w:autoSpaceDE w:val="0"/>
              <w:autoSpaceDN w:val="0"/>
              <w:adjustRightInd w:val="0"/>
              <w:spacing w:after="0" w:line="240" w:lineRule="auto"/>
              <w:rPr>
                <w:rFonts w:ascii="Verdana" w:hAnsi="Verdana"/>
                <w:sz w:val="16"/>
                <w:szCs w:val="16"/>
                <w:lang w:val="bg-BG"/>
              </w:rPr>
            </w:pPr>
            <w:r>
              <w:rPr>
                <w:rFonts w:ascii="Verdana" w:hAnsi="Verdana"/>
                <w:sz w:val="16"/>
                <w:szCs w:val="16"/>
                <w:lang w:val="bg-BG"/>
              </w:rPr>
              <w:t>СЦ1.</w:t>
            </w:r>
            <w:r w:rsidRPr="00B45B4F">
              <w:rPr>
                <w:rFonts w:ascii="Verdana" w:hAnsi="Verdana"/>
                <w:sz w:val="16"/>
                <w:szCs w:val="16"/>
                <w:lang w:val="bg-BG"/>
              </w:rPr>
              <w:t xml:space="preserve">Развитие на капацитета и повишаване на квалификацията на заетите в областта на образованието и </w:t>
            </w:r>
            <w:r w:rsidRPr="00B45B4F">
              <w:rPr>
                <w:rFonts w:ascii="Verdana" w:hAnsi="Verdana"/>
                <w:sz w:val="16"/>
                <w:szCs w:val="16"/>
                <w:lang w:val="bg-BG"/>
              </w:rPr>
              <w:lastRenderedPageBreak/>
              <w:t>обучението и науката</w:t>
            </w:r>
          </w:p>
          <w:p w:rsidR="005A01D9" w:rsidRDefault="005A01D9" w:rsidP="00B122A1">
            <w:pPr>
              <w:autoSpaceDE w:val="0"/>
              <w:autoSpaceDN w:val="0"/>
              <w:adjustRightInd w:val="0"/>
              <w:spacing w:after="0" w:line="240" w:lineRule="auto"/>
              <w:rPr>
                <w:rFonts w:ascii="Verdana" w:hAnsi="Verdana"/>
                <w:sz w:val="16"/>
                <w:szCs w:val="16"/>
                <w:lang w:val="bg-BG"/>
              </w:rPr>
            </w:pPr>
          </w:p>
          <w:p w:rsidR="005A01D9" w:rsidRDefault="005A01D9" w:rsidP="00B122A1">
            <w:pPr>
              <w:autoSpaceDE w:val="0"/>
              <w:autoSpaceDN w:val="0"/>
              <w:adjustRightInd w:val="0"/>
              <w:spacing w:after="0" w:line="240" w:lineRule="auto"/>
              <w:rPr>
                <w:rFonts w:ascii="Verdana" w:hAnsi="Verdana"/>
                <w:sz w:val="16"/>
                <w:szCs w:val="16"/>
                <w:lang w:val="bg-BG"/>
              </w:rPr>
            </w:pPr>
          </w:p>
          <w:p w:rsidR="005A01D9" w:rsidRDefault="005A01D9" w:rsidP="00B122A1">
            <w:pPr>
              <w:autoSpaceDE w:val="0"/>
              <w:autoSpaceDN w:val="0"/>
              <w:adjustRightInd w:val="0"/>
              <w:spacing w:after="0" w:line="240" w:lineRule="auto"/>
              <w:rPr>
                <w:rFonts w:ascii="Verdana" w:hAnsi="Verdana"/>
                <w:sz w:val="16"/>
                <w:szCs w:val="16"/>
                <w:lang w:val="bg-BG"/>
              </w:rPr>
            </w:pPr>
          </w:p>
          <w:p w:rsidR="005A01D9" w:rsidRPr="00B45B4F" w:rsidRDefault="005A01D9" w:rsidP="00B122A1">
            <w:pPr>
              <w:autoSpaceDE w:val="0"/>
              <w:autoSpaceDN w:val="0"/>
              <w:adjustRightInd w:val="0"/>
              <w:spacing w:after="0" w:line="240" w:lineRule="auto"/>
              <w:rPr>
                <w:rFonts w:ascii="Verdana" w:hAnsi="Verdana"/>
                <w:sz w:val="16"/>
                <w:szCs w:val="16"/>
                <w:lang w:val="bg-BG"/>
              </w:rPr>
            </w:pPr>
          </w:p>
          <w:p w:rsidR="005A01D9" w:rsidRPr="00B45B4F" w:rsidRDefault="005A01D9" w:rsidP="00B122A1">
            <w:pPr>
              <w:autoSpaceDE w:val="0"/>
              <w:autoSpaceDN w:val="0"/>
              <w:adjustRightInd w:val="0"/>
              <w:spacing w:after="0" w:line="240" w:lineRule="auto"/>
              <w:rPr>
                <w:rFonts w:ascii="Verdana" w:hAnsi="Verdana"/>
                <w:sz w:val="16"/>
                <w:szCs w:val="16"/>
                <w:lang w:val="bg-BG"/>
              </w:rPr>
            </w:pPr>
            <w:r>
              <w:rPr>
                <w:rFonts w:ascii="Verdana" w:hAnsi="Verdana"/>
                <w:sz w:val="16"/>
                <w:szCs w:val="16"/>
                <w:lang w:val="bg-BG"/>
              </w:rPr>
              <w:t>СЦ2.</w:t>
            </w:r>
            <w:r w:rsidRPr="00B45B4F">
              <w:rPr>
                <w:rFonts w:ascii="Verdana" w:hAnsi="Verdana"/>
                <w:sz w:val="16"/>
                <w:szCs w:val="16"/>
                <w:lang w:val="bg-BG"/>
              </w:rPr>
              <w:t>Подкрепа на продължаващото обучение и създаване на условия за придобиване и надграждане на знания, умения и компетентности</w:t>
            </w:r>
          </w:p>
        </w:tc>
        <w:tc>
          <w:tcPr>
            <w:tcW w:w="2041" w:type="dxa"/>
            <w:vAlign w:val="center"/>
          </w:tcPr>
          <w:p w:rsidR="005A01D9" w:rsidRPr="00531A1C" w:rsidRDefault="005A01D9" w:rsidP="00B122A1">
            <w:pPr>
              <w:spacing w:after="0" w:line="240" w:lineRule="auto"/>
              <w:rPr>
                <w:rFonts w:ascii="Verdana" w:hAnsi="Verdana"/>
                <w:sz w:val="16"/>
                <w:szCs w:val="16"/>
              </w:rPr>
            </w:pPr>
            <w:proofErr w:type="spellStart"/>
            <w:r w:rsidRPr="00531A1C">
              <w:rPr>
                <w:rFonts w:ascii="Verdana" w:hAnsi="Verdana"/>
                <w:sz w:val="16"/>
                <w:szCs w:val="16"/>
              </w:rPr>
              <w:lastRenderedPageBreak/>
              <w:t>Студенти</w:t>
            </w:r>
            <w:proofErr w:type="spellEnd"/>
            <w:r w:rsidRPr="00531A1C">
              <w:rPr>
                <w:rFonts w:ascii="Verdana" w:hAnsi="Verdana"/>
                <w:sz w:val="16"/>
                <w:szCs w:val="16"/>
              </w:rPr>
              <w:t xml:space="preserve">, </w:t>
            </w:r>
            <w:proofErr w:type="spellStart"/>
            <w:r w:rsidRPr="00531A1C">
              <w:rPr>
                <w:rFonts w:ascii="Verdana" w:hAnsi="Verdana"/>
                <w:sz w:val="16"/>
                <w:szCs w:val="16"/>
              </w:rPr>
              <w:t>обучаващи</w:t>
            </w:r>
            <w:proofErr w:type="spellEnd"/>
            <w:r w:rsidRPr="00531A1C">
              <w:rPr>
                <w:rFonts w:ascii="Verdana" w:hAnsi="Verdana"/>
                <w:sz w:val="16"/>
                <w:szCs w:val="16"/>
              </w:rPr>
              <w:t xml:space="preserve"> </w:t>
            </w:r>
            <w:proofErr w:type="spellStart"/>
            <w:r w:rsidRPr="00531A1C">
              <w:rPr>
                <w:rFonts w:ascii="Verdana" w:hAnsi="Verdana"/>
                <w:sz w:val="16"/>
                <w:szCs w:val="16"/>
              </w:rPr>
              <w:t>се</w:t>
            </w:r>
            <w:proofErr w:type="spellEnd"/>
            <w:r w:rsidRPr="00531A1C">
              <w:rPr>
                <w:rFonts w:ascii="Verdana" w:hAnsi="Verdana"/>
                <w:sz w:val="16"/>
                <w:szCs w:val="16"/>
              </w:rPr>
              <w:t xml:space="preserve"> в </w:t>
            </w:r>
            <w:proofErr w:type="spellStart"/>
            <w:r w:rsidRPr="00531A1C">
              <w:rPr>
                <w:rFonts w:ascii="Verdana" w:hAnsi="Verdana"/>
                <w:sz w:val="16"/>
                <w:szCs w:val="16"/>
              </w:rPr>
              <w:t>област</w:t>
            </w:r>
            <w:proofErr w:type="spellEnd"/>
            <w:r w:rsidRPr="00531A1C">
              <w:rPr>
                <w:rFonts w:ascii="Verdana" w:hAnsi="Verdana"/>
                <w:sz w:val="16"/>
                <w:szCs w:val="16"/>
              </w:rPr>
              <w:t xml:space="preserve"> </w:t>
            </w:r>
            <w:proofErr w:type="spellStart"/>
            <w:r w:rsidRPr="00531A1C">
              <w:rPr>
                <w:rFonts w:ascii="Verdana" w:hAnsi="Verdana"/>
                <w:sz w:val="16"/>
                <w:szCs w:val="16"/>
              </w:rPr>
              <w:t>на</w:t>
            </w:r>
            <w:proofErr w:type="spellEnd"/>
            <w:r w:rsidRPr="00531A1C">
              <w:rPr>
                <w:rFonts w:ascii="Verdana" w:hAnsi="Verdana"/>
                <w:sz w:val="16"/>
                <w:szCs w:val="16"/>
              </w:rPr>
              <w:t xml:space="preserve"> </w:t>
            </w:r>
            <w:proofErr w:type="spellStart"/>
            <w:r w:rsidRPr="00531A1C">
              <w:rPr>
                <w:rFonts w:ascii="Verdana" w:hAnsi="Verdana"/>
                <w:sz w:val="16"/>
                <w:szCs w:val="16"/>
              </w:rPr>
              <w:t>висше</w:t>
            </w:r>
            <w:proofErr w:type="spellEnd"/>
            <w:r w:rsidRPr="00531A1C">
              <w:rPr>
                <w:rFonts w:ascii="Verdana" w:hAnsi="Verdana"/>
                <w:sz w:val="16"/>
                <w:szCs w:val="16"/>
              </w:rPr>
              <w:t xml:space="preserve"> </w:t>
            </w:r>
            <w:proofErr w:type="spellStart"/>
            <w:r w:rsidRPr="00531A1C">
              <w:rPr>
                <w:rFonts w:ascii="Verdana" w:hAnsi="Verdana"/>
                <w:sz w:val="16"/>
                <w:szCs w:val="16"/>
              </w:rPr>
              <w:t>образование</w:t>
            </w:r>
            <w:proofErr w:type="spellEnd"/>
            <w:r w:rsidRPr="00531A1C">
              <w:rPr>
                <w:rFonts w:ascii="Verdana" w:hAnsi="Verdana"/>
                <w:sz w:val="16"/>
                <w:szCs w:val="16"/>
              </w:rPr>
              <w:t xml:space="preserve"> „</w:t>
            </w:r>
            <w:proofErr w:type="spellStart"/>
            <w:r w:rsidRPr="00531A1C">
              <w:rPr>
                <w:rFonts w:ascii="Verdana" w:hAnsi="Verdana"/>
                <w:sz w:val="16"/>
                <w:szCs w:val="16"/>
              </w:rPr>
              <w:t>педагогически</w:t>
            </w:r>
            <w:proofErr w:type="spellEnd"/>
            <w:r w:rsidRPr="00531A1C">
              <w:rPr>
                <w:rFonts w:ascii="Verdana" w:hAnsi="Verdana"/>
                <w:sz w:val="16"/>
                <w:szCs w:val="16"/>
              </w:rPr>
              <w:t xml:space="preserve"> </w:t>
            </w:r>
            <w:proofErr w:type="spellStart"/>
            <w:r w:rsidRPr="00531A1C">
              <w:rPr>
                <w:rFonts w:ascii="Verdana" w:hAnsi="Verdana"/>
                <w:sz w:val="16"/>
                <w:szCs w:val="16"/>
              </w:rPr>
              <w:t>науки</w:t>
            </w:r>
            <w:proofErr w:type="spellEnd"/>
            <w:r w:rsidRPr="00531A1C">
              <w:rPr>
                <w:rFonts w:ascii="Verdana" w:hAnsi="Verdana"/>
                <w:sz w:val="16"/>
                <w:szCs w:val="16"/>
              </w:rPr>
              <w:t>“</w:t>
            </w:r>
          </w:p>
        </w:tc>
        <w:tc>
          <w:tcPr>
            <w:tcW w:w="1414"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е уместен</w:t>
            </w:r>
          </w:p>
        </w:tc>
        <w:tc>
          <w:tcPr>
            <w:tcW w:w="1845" w:type="dxa"/>
            <w:gridSpan w:val="3"/>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е ясен</w:t>
            </w:r>
          </w:p>
        </w:tc>
        <w:tc>
          <w:tcPr>
            <w:tcW w:w="992"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w:t>
            </w:r>
          </w:p>
        </w:tc>
        <w:tc>
          <w:tcPr>
            <w:tcW w:w="867" w:type="dxa"/>
            <w:vAlign w:val="center"/>
          </w:tcPr>
          <w:p w:rsidR="005A01D9" w:rsidRPr="00AB4B10"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AB4B10">
              <w:rPr>
                <w:rFonts w:ascii="Verdana" w:hAnsi="Verdana"/>
                <w:bCs/>
                <w:color w:val="000000"/>
                <w:sz w:val="16"/>
                <w:szCs w:val="16"/>
                <w:lang w:val="bg-BG"/>
              </w:rPr>
              <w:t>7,7</w:t>
            </w:r>
          </w:p>
        </w:tc>
        <w:tc>
          <w:tcPr>
            <w:tcW w:w="1260"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10</w:t>
            </w:r>
          </w:p>
        </w:tc>
        <w:tc>
          <w:tcPr>
            <w:tcW w:w="991"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15</w:t>
            </w:r>
          </w:p>
        </w:tc>
        <w:tc>
          <w:tcPr>
            <w:tcW w:w="3092"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Не е ясна методологията, по която са изчислени стойностите на индикатора. Предвид на предвидената подкрепа, заложените стойности изглеждат реалистични.</w:t>
            </w:r>
          </w:p>
        </w:tc>
      </w:tr>
      <w:tr w:rsidR="005A01D9" w:rsidRPr="00B45B4F" w:rsidTr="00B122A1">
        <w:trPr>
          <w:trHeight w:val="960"/>
        </w:trPr>
        <w:tc>
          <w:tcPr>
            <w:tcW w:w="2382" w:type="dxa"/>
            <w:vMerge/>
          </w:tcPr>
          <w:p w:rsidR="005A01D9" w:rsidRPr="00B45B4F" w:rsidRDefault="005A01D9" w:rsidP="00B122A1">
            <w:pPr>
              <w:autoSpaceDE w:val="0"/>
              <w:autoSpaceDN w:val="0"/>
              <w:adjustRightInd w:val="0"/>
              <w:spacing w:after="0" w:line="240" w:lineRule="auto"/>
              <w:jc w:val="both"/>
              <w:rPr>
                <w:rFonts w:ascii="Verdana" w:hAnsi="Verdana"/>
                <w:sz w:val="16"/>
                <w:szCs w:val="16"/>
                <w:lang w:val="bg-BG"/>
              </w:rPr>
            </w:pPr>
          </w:p>
        </w:tc>
        <w:tc>
          <w:tcPr>
            <w:tcW w:w="2041" w:type="dxa"/>
            <w:vAlign w:val="center"/>
          </w:tcPr>
          <w:p w:rsidR="005A01D9" w:rsidRPr="00531A1C" w:rsidRDefault="005A01D9" w:rsidP="00B122A1">
            <w:pPr>
              <w:spacing w:after="0" w:line="240" w:lineRule="auto"/>
              <w:rPr>
                <w:rFonts w:ascii="Verdana" w:hAnsi="Verdana"/>
                <w:sz w:val="16"/>
                <w:szCs w:val="16"/>
              </w:rPr>
            </w:pPr>
            <w:proofErr w:type="spellStart"/>
            <w:r w:rsidRPr="00531A1C">
              <w:rPr>
                <w:rFonts w:ascii="Verdana" w:hAnsi="Verdana"/>
                <w:sz w:val="16"/>
                <w:szCs w:val="16"/>
              </w:rPr>
              <w:t>Придобили</w:t>
            </w:r>
            <w:proofErr w:type="spellEnd"/>
            <w:r w:rsidRPr="00531A1C">
              <w:rPr>
                <w:rFonts w:ascii="Verdana" w:hAnsi="Verdana"/>
                <w:sz w:val="16"/>
                <w:szCs w:val="16"/>
              </w:rPr>
              <w:t xml:space="preserve"> ОКС „</w:t>
            </w:r>
            <w:proofErr w:type="spellStart"/>
            <w:r w:rsidRPr="00531A1C">
              <w:rPr>
                <w:rFonts w:ascii="Verdana" w:hAnsi="Verdana"/>
                <w:sz w:val="16"/>
                <w:szCs w:val="16"/>
              </w:rPr>
              <w:t>магистър</w:t>
            </w:r>
            <w:proofErr w:type="spellEnd"/>
            <w:r w:rsidRPr="00531A1C">
              <w:rPr>
                <w:rFonts w:ascii="Verdana" w:hAnsi="Verdana"/>
                <w:sz w:val="16"/>
                <w:szCs w:val="16"/>
              </w:rPr>
              <w:t xml:space="preserve">“, </w:t>
            </w:r>
            <w:proofErr w:type="spellStart"/>
            <w:r w:rsidRPr="00531A1C">
              <w:rPr>
                <w:rFonts w:ascii="Verdana" w:hAnsi="Verdana"/>
                <w:sz w:val="16"/>
                <w:szCs w:val="16"/>
              </w:rPr>
              <w:t>продължаващи</w:t>
            </w:r>
            <w:proofErr w:type="spellEnd"/>
            <w:r w:rsidRPr="00531A1C">
              <w:rPr>
                <w:rFonts w:ascii="Verdana" w:hAnsi="Verdana"/>
                <w:sz w:val="16"/>
                <w:szCs w:val="16"/>
              </w:rPr>
              <w:t xml:space="preserve"> в </w:t>
            </w:r>
            <w:proofErr w:type="spellStart"/>
            <w:r w:rsidRPr="00531A1C">
              <w:rPr>
                <w:rFonts w:ascii="Verdana" w:hAnsi="Verdana"/>
                <w:sz w:val="16"/>
                <w:szCs w:val="16"/>
              </w:rPr>
              <w:t>докторантски</w:t>
            </w:r>
            <w:proofErr w:type="spellEnd"/>
            <w:r w:rsidRPr="00531A1C">
              <w:rPr>
                <w:rFonts w:ascii="Verdana" w:hAnsi="Verdana"/>
                <w:sz w:val="16"/>
                <w:szCs w:val="16"/>
              </w:rPr>
              <w:t xml:space="preserve"> </w:t>
            </w:r>
            <w:proofErr w:type="spellStart"/>
            <w:r w:rsidRPr="00531A1C">
              <w:rPr>
                <w:rFonts w:ascii="Verdana" w:hAnsi="Verdana"/>
                <w:sz w:val="16"/>
                <w:szCs w:val="16"/>
              </w:rPr>
              <w:t>програми</w:t>
            </w:r>
            <w:proofErr w:type="spellEnd"/>
          </w:p>
        </w:tc>
        <w:tc>
          <w:tcPr>
            <w:tcW w:w="1414"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е уместен</w:t>
            </w:r>
          </w:p>
        </w:tc>
        <w:tc>
          <w:tcPr>
            <w:tcW w:w="1845" w:type="dxa"/>
            <w:gridSpan w:val="3"/>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е ясен</w:t>
            </w:r>
          </w:p>
        </w:tc>
        <w:tc>
          <w:tcPr>
            <w:tcW w:w="992"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Брой/%</w:t>
            </w:r>
          </w:p>
        </w:tc>
        <w:tc>
          <w:tcPr>
            <w:tcW w:w="867" w:type="dxa"/>
            <w:vAlign w:val="center"/>
          </w:tcPr>
          <w:p w:rsidR="005A01D9" w:rsidRPr="00B45B4F" w:rsidRDefault="005A01D9" w:rsidP="00B122A1">
            <w:pPr>
              <w:widowControl w:val="0"/>
              <w:tabs>
                <w:tab w:val="left" w:pos="0"/>
                <w:tab w:val="right" w:pos="9214"/>
              </w:tabs>
              <w:spacing w:after="0" w:line="240" w:lineRule="auto"/>
              <w:rPr>
                <w:rFonts w:ascii="Verdana" w:hAnsi="Verdana"/>
                <w:sz w:val="16"/>
                <w:szCs w:val="16"/>
                <w:lang w:val="bg-BG"/>
              </w:rPr>
            </w:pPr>
            <w:r w:rsidRPr="00AB4B10">
              <w:rPr>
                <w:rFonts w:ascii="Verdana" w:hAnsi="Verdana"/>
                <w:bCs/>
                <w:color w:val="000000"/>
                <w:sz w:val="16"/>
                <w:szCs w:val="16"/>
                <w:lang w:val="bg-BG"/>
              </w:rPr>
              <w:t>липсва</w:t>
            </w:r>
          </w:p>
        </w:tc>
        <w:tc>
          <w:tcPr>
            <w:tcW w:w="1260"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липсва</w:t>
            </w:r>
          </w:p>
        </w:tc>
        <w:tc>
          <w:tcPr>
            <w:tcW w:w="991"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липсва</w:t>
            </w:r>
          </w:p>
        </w:tc>
        <w:tc>
          <w:tcPr>
            <w:tcW w:w="3092"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B34C5C">
              <w:rPr>
                <w:rFonts w:ascii="Verdana" w:hAnsi="Verdana"/>
                <w:bCs/>
                <w:color w:val="000000"/>
                <w:sz w:val="16"/>
                <w:szCs w:val="16"/>
                <w:lang w:val="bg-BG"/>
              </w:rPr>
              <w:t>Не се заложени стойности</w:t>
            </w:r>
          </w:p>
        </w:tc>
      </w:tr>
      <w:tr w:rsidR="005A01D9" w:rsidRPr="00B45B4F" w:rsidTr="00B122A1">
        <w:trPr>
          <w:trHeight w:val="750"/>
        </w:trPr>
        <w:tc>
          <w:tcPr>
            <w:tcW w:w="2382" w:type="dxa"/>
            <w:vMerge/>
          </w:tcPr>
          <w:p w:rsidR="005A01D9" w:rsidRPr="00B45B4F" w:rsidRDefault="005A01D9" w:rsidP="00B122A1">
            <w:pPr>
              <w:autoSpaceDE w:val="0"/>
              <w:autoSpaceDN w:val="0"/>
              <w:adjustRightInd w:val="0"/>
              <w:spacing w:after="0" w:line="240" w:lineRule="auto"/>
              <w:jc w:val="both"/>
              <w:rPr>
                <w:rFonts w:ascii="Verdana" w:hAnsi="Verdana"/>
                <w:sz w:val="16"/>
                <w:szCs w:val="16"/>
                <w:lang w:val="bg-BG"/>
              </w:rPr>
            </w:pPr>
          </w:p>
        </w:tc>
        <w:tc>
          <w:tcPr>
            <w:tcW w:w="2041" w:type="dxa"/>
            <w:vAlign w:val="center"/>
          </w:tcPr>
          <w:p w:rsidR="005A01D9" w:rsidRPr="00531A1C" w:rsidRDefault="005A01D9" w:rsidP="00B122A1">
            <w:pPr>
              <w:spacing w:after="0" w:line="240" w:lineRule="auto"/>
              <w:rPr>
                <w:rFonts w:ascii="Verdana" w:hAnsi="Verdana"/>
                <w:sz w:val="16"/>
                <w:szCs w:val="16"/>
              </w:rPr>
            </w:pPr>
            <w:proofErr w:type="spellStart"/>
            <w:r w:rsidRPr="00531A1C">
              <w:rPr>
                <w:rFonts w:ascii="Verdana" w:hAnsi="Verdana"/>
                <w:sz w:val="16"/>
                <w:szCs w:val="16"/>
              </w:rPr>
              <w:t>Участници</w:t>
            </w:r>
            <w:proofErr w:type="spellEnd"/>
            <w:r w:rsidRPr="00531A1C">
              <w:rPr>
                <w:rFonts w:ascii="Verdana" w:hAnsi="Verdana"/>
                <w:sz w:val="16"/>
                <w:szCs w:val="16"/>
              </w:rPr>
              <w:t xml:space="preserve"> в </w:t>
            </w:r>
            <w:proofErr w:type="spellStart"/>
            <w:r w:rsidRPr="00531A1C">
              <w:rPr>
                <w:rFonts w:ascii="Verdana" w:hAnsi="Verdana"/>
                <w:sz w:val="16"/>
                <w:szCs w:val="16"/>
              </w:rPr>
              <w:t>различни</w:t>
            </w:r>
            <w:proofErr w:type="spellEnd"/>
            <w:r w:rsidRPr="00531A1C">
              <w:rPr>
                <w:rFonts w:ascii="Verdana" w:hAnsi="Verdana"/>
                <w:sz w:val="16"/>
                <w:szCs w:val="16"/>
              </w:rPr>
              <w:t xml:space="preserve"> </w:t>
            </w:r>
            <w:proofErr w:type="spellStart"/>
            <w:r w:rsidRPr="00531A1C">
              <w:rPr>
                <w:rFonts w:ascii="Verdana" w:hAnsi="Verdana"/>
                <w:sz w:val="16"/>
                <w:szCs w:val="16"/>
              </w:rPr>
              <w:t>форми</w:t>
            </w:r>
            <w:proofErr w:type="spellEnd"/>
            <w:r w:rsidRPr="00531A1C">
              <w:rPr>
                <w:rFonts w:ascii="Verdana" w:hAnsi="Verdana"/>
                <w:sz w:val="16"/>
                <w:szCs w:val="16"/>
              </w:rPr>
              <w:t xml:space="preserve"> </w:t>
            </w:r>
            <w:proofErr w:type="spellStart"/>
            <w:r w:rsidRPr="00531A1C">
              <w:rPr>
                <w:rFonts w:ascii="Verdana" w:hAnsi="Verdana"/>
                <w:sz w:val="16"/>
                <w:szCs w:val="16"/>
              </w:rPr>
              <w:t>на</w:t>
            </w:r>
            <w:proofErr w:type="spellEnd"/>
            <w:r w:rsidRPr="00531A1C">
              <w:rPr>
                <w:rFonts w:ascii="Verdana" w:hAnsi="Verdana"/>
                <w:sz w:val="16"/>
                <w:szCs w:val="16"/>
              </w:rPr>
              <w:t xml:space="preserve"> </w:t>
            </w:r>
            <w:proofErr w:type="spellStart"/>
            <w:r w:rsidRPr="00531A1C">
              <w:rPr>
                <w:rFonts w:ascii="Verdana" w:hAnsi="Verdana"/>
                <w:sz w:val="16"/>
                <w:szCs w:val="16"/>
              </w:rPr>
              <w:t>мобилност</w:t>
            </w:r>
            <w:proofErr w:type="spellEnd"/>
            <w:r w:rsidRPr="00531A1C">
              <w:rPr>
                <w:rFonts w:ascii="Verdana" w:hAnsi="Verdana"/>
                <w:sz w:val="16"/>
                <w:szCs w:val="16"/>
              </w:rPr>
              <w:t xml:space="preserve">, </w:t>
            </w:r>
            <w:proofErr w:type="spellStart"/>
            <w:r w:rsidRPr="00531A1C">
              <w:rPr>
                <w:rFonts w:ascii="Verdana" w:hAnsi="Verdana"/>
                <w:sz w:val="16"/>
                <w:szCs w:val="16"/>
              </w:rPr>
              <w:t>които</w:t>
            </w:r>
            <w:proofErr w:type="spellEnd"/>
            <w:r w:rsidRPr="00531A1C">
              <w:rPr>
                <w:rFonts w:ascii="Verdana" w:hAnsi="Verdana"/>
                <w:sz w:val="16"/>
                <w:szCs w:val="16"/>
              </w:rPr>
              <w:t xml:space="preserve"> </w:t>
            </w:r>
            <w:proofErr w:type="spellStart"/>
            <w:r w:rsidRPr="00531A1C">
              <w:rPr>
                <w:rFonts w:ascii="Verdana" w:hAnsi="Verdana"/>
                <w:sz w:val="16"/>
                <w:szCs w:val="16"/>
              </w:rPr>
              <w:t>са</w:t>
            </w:r>
            <w:proofErr w:type="spellEnd"/>
            <w:r w:rsidRPr="00531A1C">
              <w:rPr>
                <w:rFonts w:ascii="Verdana" w:hAnsi="Verdana"/>
                <w:sz w:val="16"/>
                <w:szCs w:val="16"/>
              </w:rPr>
              <w:t xml:space="preserve"> с </w:t>
            </w:r>
            <w:proofErr w:type="spellStart"/>
            <w:r w:rsidRPr="00531A1C">
              <w:rPr>
                <w:rFonts w:ascii="Verdana" w:hAnsi="Verdana"/>
                <w:sz w:val="16"/>
                <w:szCs w:val="16"/>
              </w:rPr>
              <w:t>повишена</w:t>
            </w:r>
            <w:proofErr w:type="spellEnd"/>
            <w:r w:rsidRPr="00531A1C">
              <w:rPr>
                <w:rFonts w:ascii="Verdana" w:hAnsi="Verdana"/>
                <w:sz w:val="16"/>
                <w:szCs w:val="16"/>
              </w:rPr>
              <w:t xml:space="preserve"> </w:t>
            </w:r>
            <w:proofErr w:type="spellStart"/>
            <w:r w:rsidRPr="00531A1C">
              <w:rPr>
                <w:rFonts w:ascii="Verdana" w:hAnsi="Verdana"/>
                <w:sz w:val="16"/>
                <w:szCs w:val="16"/>
              </w:rPr>
              <w:t>квалификация</w:t>
            </w:r>
            <w:proofErr w:type="spellEnd"/>
            <w:r w:rsidRPr="00531A1C">
              <w:rPr>
                <w:rFonts w:ascii="Verdana" w:hAnsi="Verdana"/>
                <w:sz w:val="16"/>
                <w:szCs w:val="16"/>
              </w:rPr>
              <w:t xml:space="preserve"> и </w:t>
            </w:r>
            <w:proofErr w:type="spellStart"/>
            <w:r w:rsidRPr="00531A1C">
              <w:rPr>
                <w:rFonts w:ascii="Verdana" w:hAnsi="Verdana"/>
                <w:sz w:val="16"/>
                <w:szCs w:val="16"/>
              </w:rPr>
              <w:t>умения</w:t>
            </w:r>
            <w:proofErr w:type="spellEnd"/>
            <w:r w:rsidRPr="00531A1C">
              <w:rPr>
                <w:rFonts w:ascii="Verdana" w:hAnsi="Verdana"/>
                <w:sz w:val="16"/>
                <w:szCs w:val="16"/>
              </w:rPr>
              <w:t xml:space="preserve"> и </w:t>
            </w:r>
            <w:proofErr w:type="spellStart"/>
            <w:r w:rsidRPr="00531A1C">
              <w:rPr>
                <w:rFonts w:ascii="Verdana" w:hAnsi="Verdana"/>
                <w:sz w:val="16"/>
                <w:szCs w:val="16"/>
              </w:rPr>
              <w:t>по-добра</w:t>
            </w:r>
            <w:proofErr w:type="spellEnd"/>
            <w:r w:rsidRPr="00531A1C">
              <w:rPr>
                <w:rFonts w:ascii="Verdana" w:hAnsi="Verdana"/>
                <w:sz w:val="16"/>
                <w:szCs w:val="16"/>
              </w:rPr>
              <w:t xml:space="preserve"> </w:t>
            </w:r>
            <w:proofErr w:type="spellStart"/>
            <w:r w:rsidRPr="00531A1C">
              <w:rPr>
                <w:rFonts w:ascii="Verdana" w:hAnsi="Verdana"/>
                <w:sz w:val="16"/>
                <w:szCs w:val="16"/>
              </w:rPr>
              <w:t>реализация</w:t>
            </w:r>
            <w:proofErr w:type="spellEnd"/>
          </w:p>
        </w:tc>
        <w:tc>
          <w:tcPr>
            <w:tcW w:w="1414"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е уместен</w:t>
            </w:r>
          </w:p>
        </w:tc>
        <w:tc>
          <w:tcPr>
            <w:tcW w:w="1845" w:type="dxa"/>
            <w:gridSpan w:val="3"/>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не е достатъчно ясен. Не е ясно как ще се мери повишената квалификация и умения. Поради това е по-удачно да се измерват само броя лица, включени в различни форми на мобилност.</w:t>
            </w:r>
          </w:p>
        </w:tc>
        <w:tc>
          <w:tcPr>
            <w:tcW w:w="992"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w:t>
            </w:r>
          </w:p>
        </w:tc>
        <w:tc>
          <w:tcPr>
            <w:tcW w:w="867" w:type="dxa"/>
            <w:vAlign w:val="center"/>
          </w:tcPr>
          <w:p w:rsidR="005A01D9" w:rsidRPr="00B45B4F" w:rsidRDefault="005A01D9" w:rsidP="00B122A1">
            <w:pPr>
              <w:widowControl w:val="0"/>
              <w:tabs>
                <w:tab w:val="left" w:pos="0"/>
                <w:tab w:val="right" w:pos="9214"/>
              </w:tabs>
              <w:spacing w:after="0" w:line="240" w:lineRule="auto"/>
              <w:rPr>
                <w:rFonts w:ascii="Verdana" w:hAnsi="Verdana"/>
                <w:sz w:val="16"/>
                <w:szCs w:val="16"/>
                <w:lang w:val="bg-BG"/>
              </w:rPr>
            </w:pPr>
            <w:r w:rsidRPr="00AB4B10">
              <w:rPr>
                <w:rFonts w:ascii="Verdana" w:hAnsi="Verdana"/>
                <w:bCs/>
                <w:color w:val="000000"/>
                <w:sz w:val="16"/>
                <w:szCs w:val="16"/>
                <w:lang w:val="bg-BG"/>
              </w:rPr>
              <w:t>липсва</w:t>
            </w:r>
          </w:p>
        </w:tc>
        <w:tc>
          <w:tcPr>
            <w:tcW w:w="1260"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липсва</w:t>
            </w:r>
          </w:p>
        </w:tc>
        <w:tc>
          <w:tcPr>
            <w:tcW w:w="991"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липсва</w:t>
            </w:r>
          </w:p>
        </w:tc>
        <w:tc>
          <w:tcPr>
            <w:tcW w:w="3092"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B34C5C">
              <w:rPr>
                <w:rFonts w:ascii="Verdana" w:hAnsi="Verdana"/>
                <w:bCs/>
                <w:color w:val="000000"/>
                <w:sz w:val="16"/>
                <w:szCs w:val="16"/>
                <w:lang w:val="bg-BG"/>
              </w:rPr>
              <w:t>Не се заложени стойности</w:t>
            </w:r>
          </w:p>
        </w:tc>
      </w:tr>
      <w:tr w:rsidR="005A01D9" w:rsidRPr="00B45B4F" w:rsidTr="00B122A1">
        <w:trPr>
          <w:trHeight w:val="1125"/>
        </w:trPr>
        <w:tc>
          <w:tcPr>
            <w:tcW w:w="2382" w:type="dxa"/>
            <w:vMerge/>
          </w:tcPr>
          <w:p w:rsidR="005A01D9" w:rsidRPr="00B45B4F" w:rsidRDefault="005A01D9" w:rsidP="00B122A1">
            <w:pPr>
              <w:autoSpaceDE w:val="0"/>
              <w:autoSpaceDN w:val="0"/>
              <w:adjustRightInd w:val="0"/>
              <w:spacing w:after="0" w:line="240" w:lineRule="auto"/>
              <w:jc w:val="both"/>
              <w:rPr>
                <w:rFonts w:ascii="Verdana" w:hAnsi="Verdana"/>
                <w:sz w:val="16"/>
                <w:szCs w:val="16"/>
                <w:lang w:val="bg-BG"/>
              </w:rPr>
            </w:pPr>
          </w:p>
        </w:tc>
        <w:tc>
          <w:tcPr>
            <w:tcW w:w="2041" w:type="dxa"/>
            <w:vAlign w:val="center"/>
          </w:tcPr>
          <w:p w:rsidR="005A01D9" w:rsidRPr="00531A1C" w:rsidRDefault="005A01D9" w:rsidP="00B122A1">
            <w:pPr>
              <w:spacing w:after="0" w:line="240" w:lineRule="auto"/>
              <w:rPr>
                <w:rFonts w:ascii="Verdana" w:hAnsi="Verdana"/>
                <w:sz w:val="16"/>
                <w:szCs w:val="16"/>
              </w:rPr>
            </w:pPr>
            <w:proofErr w:type="spellStart"/>
            <w:r w:rsidRPr="00531A1C">
              <w:rPr>
                <w:rFonts w:ascii="Verdana" w:hAnsi="Verdana"/>
                <w:sz w:val="16"/>
                <w:szCs w:val="16"/>
              </w:rPr>
              <w:t>Лица</w:t>
            </w:r>
            <w:proofErr w:type="spellEnd"/>
            <w:r w:rsidRPr="00531A1C">
              <w:rPr>
                <w:rFonts w:ascii="Verdana" w:hAnsi="Verdana"/>
                <w:sz w:val="16"/>
                <w:szCs w:val="16"/>
              </w:rPr>
              <w:t xml:space="preserve">, </w:t>
            </w:r>
            <w:proofErr w:type="spellStart"/>
            <w:r w:rsidRPr="00531A1C">
              <w:rPr>
                <w:rFonts w:ascii="Verdana" w:hAnsi="Verdana"/>
                <w:sz w:val="16"/>
                <w:szCs w:val="16"/>
              </w:rPr>
              <w:t>преминали</w:t>
            </w:r>
            <w:proofErr w:type="spellEnd"/>
            <w:r w:rsidRPr="00531A1C">
              <w:rPr>
                <w:rFonts w:ascii="Verdana" w:hAnsi="Verdana"/>
                <w:sz w:val="16"/>
                <w:szCs w:val="16"/>
              </w:rPr>
              <w:t xml:space="preserve"> </w:t>
            </w:r>
            <w:proofErr w:type="spellStart"/>
            <w:r w:rsidRPr="00531A1C">
              <w:rPr>
                <w:rFonts w:ascii="Verdana" w:hAnsi="Verdana"/>
                <w:sz w:val="16"/>
                <w:szCs w:val="16"/>
              </w:rPr>
              <w:t>през</w:t>
            </w:r>
            <w:proofErr w:type="spellEnd"/>
            <w:r w:rsidRPr="00531A1C">
              <w:rPr>
                <w:rFonts w:ascii="Verdana" w:hAnsi="Verdana"/>
                <w:sz w:val="16"/>
                <w:szCs w:val="16"/>
              </w:rPr>
              <w:t xml:space="preserve"> </w:t>
            </w:r>
            <w:proofErr w:type="spellStart"/>
            <w:r w:rsidRPr="00531A1C">
              <w:rPr>
                <w:rFonts w:ascii="Verdana" w:hAnsi="Verdana"/>
                <w:sz w:val="16"/>
                <w:szCs w:val="16"/>
              </w:rPr>
              <w:t>курсове</w:t>
            </w:r>
            <w:proofErr w:type="spellEnd"/>
            <w:r w:rsidRPr="00531A1C">
              <w:rPr>
                <w:rFonts w:ascii="Verdana" w:hAnsi="Verdana"/>
                <w:sz w:val="16"/>
                <w:szCs w:val="16"/>
              </w:rPr>
              <w:t xml:space="preserve"> </w:t>
            </w:r>
            <w:proofErr w:type="spellStart"/>
            <w:r w:rsidRPr="00531A1C">
              <w:rPr>
                <w:rFonts w:ascii="Verdana" w:hAnsi="Verdana"/>
                <w:sz w:val="16"/>
                <w:szCs w:val="16"/>
              </w:rPr>
              <w:t>за</w:t>
            </w:r>
            <w:proofErr w:type="spellEnd"/>
            <w:r w:rsidRPr="00531A1C">
              <w:rPr>
                <w:rFonts w:ascii="Verdana" w:hAnsi="Verdana"/>
                <w:sz w:val="16"/>
                <w:szCs w:val="16"/>
              </w:rPr>
              <w:t xml:space="preserve"> </w:t>
            </w:r>
            <w:proofErr w:type="spellStart"/>
            <w:r w:rsidRPr="00531A1C">
              <w:rPr>
                <w:rFonts w:ascii="Verdana" w:hAnsi="Verdana"/>
                <w:sz w:val="16"/>
                <w:szCs w:val="16"/>
              </w:rPr>
              <w:t>ограмотяване</w:t>
            </w:r>
            <w:proofErr w:type="spellEnd"/>
            <w:r w:rsidRPr="00531A1C">
              <w:rPr>
                <w:rFonts w:ascii="Verdana" w:hAnsi="Verdana"/>
                <w:sz w:val="16"/>
                <w:szCs w:val="16"/>
              </w:rPr>
              <w:t xml:space="preserve"> и </w:t>
            </w:r>
            <w:proofErr w:type="spellStart"/>
            <w:r w:rsidRPr="00531A1C">
              <w:rPr>
                <w:rFonts w:ascii="Verdana" w:hAnsi="Verdana"/>
                <w:sz w:val="16"/>
                <w:szCs w:val="16"/>
              </w:rPr>
              <w:t>за</w:t>
            </w:r>
            <w:proofErr w:type="spellEnd"/>
            <w:r w:rsidRPr="00531A1C">
              <w:rPr>
                <w:rFonts w:ascii="Verdana" w:hAnsi="Verdana"/>
                <w:sz w:val="16"/>
                <w:szCs w:val="16"/>
              </w:rPr>
              <w:t xml:space="preserve"> </w:t>
            </w:r>
            <w:proofErr w:type="spellStart"/>
            <w:r w:rsidRPr="00531A1C">
              <w:rPr>
                <w:rFonts w:ascii="Verdana" w:hAnsi="Verdana"/>
                <w:sz w:val="16"/>
                <w:szCs w:val="16"/>
              </w:rPr>
              <w:t>усвояване</w:t>
            </w:r>
            <w:proofErr w:type="spellEnd"/>
            <w:r w:rsidRPr="00531A1C">
              <w:rPr>
                <w:rFonts w:ascii="Verdana" w:hAnsi="Verdana"/>
                <w:sz w:val="16"/>
                <w:szCs w:val="16"/>
              </w:rPr>
              <w:t xml:space="preserve"> </w:t>
            </w:r>
            <w:proofErr w:type="spellStart"/>
            <w:r w:rsidRPr="00531A1C">
              <w:rPr>
                <w:rFonts w:ascii="Verdana" w:hAnsi="Verdana"/>
                <w:sz w:val="16"/>
                <w:szCs w:val="16"/>
              </w:rPr>
              <w:t>на</w:t>
            </w:r>
            <w:proofErr w:type="spellEnd"/>
            <w:r w:rsidRPr="00531A1C">
              <w:rPr>
                <w:rFonts w:ascii="Verdana" w:hAnsi="Verdana"/>
                <w:sz w:val="16"/>
                <w:szCs w:val="16"/>
              </w:rPr>
              <w:t xml:space="preserve"> </w:t>
            </w:r>
            <w:proofErr w:type="spellStart"/>
            <w:r w:rsidRPr="00531A1C">
              <w:rPr>
                <w:rFonts w:ascii="Verdana" w:hAnsi="Verdana"/>
                <w:sz w:val="16"/>
                <w:szCs w:val="16"/>
              </w:rPr>
              <w:t>учебното</w:t>
            </w:r>
            <w:proofErr w:type="spellEnd"/>
            <w:r w:rsidRPr="00531A1C">
              <w:rPr>
                <w:rFonts w:ascii="Verdana" w:hAnsi="Verdana"/>
                <w:sz w:val="16"/>
                <w:szCs w:val="16"/>
              </w:rPr>
              <w:t xml:space="preserve"> </w:t>
            </w:r>
            <w:proofErr w:type="spellStart"/>
            <w:r w:rsidRPr="00531A1C">
              <w:rPr>
                <w:rFonts w:ascii="Verdana" w:hAnsi="Verdana"/>
                <w:sz w:val="16"/>
                <w:szCs w:val="16"/>
              </w:rPr>
              <w:t>съдържание</w:t>
            </w:r>
            <w:proofErr w:type="spellEnd"/>
            <w:r w:rsidRPr="00531A1C">
              <w:rPr>
                <w:rFonts w:ascii="Verdana" w:hAnsi="Verdana"/>
                <w:sz w:val="16"/>
                <w:szCs w:val="16"/>
              </w:rPr>
              <w:t xml:space="preserve"> </w:t>
            </w:r>
            <w:proofErr w:type="spellStart"/>
            <w:r w:rsidRPr="00531A1C">
              <w:rPr>
                <w:rFonts w:ascii="Verdana" w:hAnsi="Verdana"/>
                <w:sz w:val="16"/>
                <w:szCs w:val="16"/>
              </w:rPr>
              <w:t>по</w:t>
            </w:r>
            <w:proofErr w:type="spellEnd"/>
            <w:r w:rsidRPr="00531A1C">
              <w:rPr>
                <w:rFonts w:ascii="Verdana" w:hAnsi="Verdana"/>
                <w:sz w:val="16"/>
                <w:szCs w:val="16"/>
              </w:rPr>
              <w:t xml:space="preserve"> </w:t>
            </w:r>
            <w:proofErr w:type="spellStart"/>
            <w:r w:rsidRPr="00531A1C">
              <w:rPr>
                <w:rFonts w:ascii="Verdana" w:hAnsi="Verdana"/>
                <w:sz w:val="16"/>
                <w:szCs w:val="16"/>
              </w:rPr>
              <w:t>предмети</w:t>
            </w:r>
            <w:proofErr w:type="spellEnd"/>
            <w:r w:rsidRPr="00531A1C">
              <w:rPr>
                <w:rFonts w:ascii="Verdana" w:hAnsi="Verdana"/>
                <w:sz w:val="16"/>
                <w:szCs w:val="16"/>
              </w:rPr>
              <w:t xml:space="preserve"> </w:t>
            </w:r>
            <w:proofErr w:type="spellStart"/>
            <w:r w:rsidRPr="00531A1C">
              <w:rPr>
                <w:rFonts w:ascii="Verdana" w:hAnsi="Verdana"/>
                <w:sz w:val="16"/>
                <w:szCs w:val="16"/>
              </w:rPr>
              <w:t>от</w:t>
            </w:r>
            <w:proofErr w:type="spellEnd"/>
            <w:r w:rsidRPr="00531A1C">
              <w:rPr>
                <w:rFonts w:ascii="Verdana" w:hAnsi="Verdana"/>
                <w:sz w:val="16"/>
                <w:szCs w:val="16"/>
              </w:rPr>
              <w:t xml:space="preserve"> </w:t>
            </w:r>
            <w:proofErr w:type="spellStart"/>
            <w:r w:rsidRPr="00531A1C">
              <w:rPr>
                <w:rFonts w:ascii="Verdana" w:hAnsi="Verdana"/>
                <w:sz w:val="16"/>
                <w:szCs w:val="16"/>
              </w:rPr>
              <w:t>класове</w:t>
            </w:r>
            <w:proofErr w:type="spellEnd"/>
            <w:r w:rsidRPr="00531A1C">
              <w:rPr>
                <w:rFonts w:ascii="Verdana" w:hAnsi="Verdana"/>
                <w:sz w:val="16"/>
                <w:szCs w:val="16"/>
              </w:rPr>
              <w:t xml:space="preserve"> </w:t>
            </w:r>
            <w:proofErr w:type="spellStart"/>
            <w:r w:rsidRPr="00531A1C">
              <w:rPr>
                <w:rFonts w:ascii="Verdana" w:hAnsi="Verdana"/>
                <w:sz w:val="16"/>
                <w:szCs w:val="16"/>
              </w:rPr>
              <w:t>на</w:t>
            </w:r>
            <w:proofErr w:type="spellEnd"/>
            <w:r w:rsidRPr="00531A1C">
              <w:rPr>
                <w:rFonts w:ascii="Verdana" w:hAnsi="Verdana"/>
                <w:sz w:val="16"/>
                <w:szCs w:val="16"/>
              </w:rPr>
              <w:t xml:space="preserve"> </w:t>
            </w:r>
            <w:proofErr w:type="spellStart"/>
            <w:r w:rsidRPr="00531A1C">
              <w:rPr>
                <w:rFonts w:ascii="Verdana" w:hAnsi="Verdana"/>
                <w:sz w:val="16"/>
                <w:szCs w:val="16"/>
              </w:rPr>
              <w:t>прогимназиалния</w:t>
            </w:r>
            <w:proofErr w:type="spellEnd"/>
            <w:r w:rsidRPr="00531A1C">
              <w:rPr>
                <w:rFonts w:ascii="Verdana" w:hAnsi="Verdana"/>
                <w:sz w:val="16"/>
                <w:szCs w:val="16"/>
              </w:rPr>
              <w:t xml:space="preserve"> </w:t>
            </w:r>
            <w:proofErr w:type="spellStart"/>
            <w:r w:rsidRPr="00531A1C">
              <w:rPr>
                <w:rFonts w:ascii="Verdana" w:hAnsi="Verdana"/>
                <w:sz w:val="16"/>
                <w:szCs w:val="16"/>
              </w:rPr>
              <w:t>етап</w:t>
            </w:r>
            <w:proofErr w:type="spellEnd"/>
          </w:p>
        </w:tc>
        <w:tc>
          <w:tcPr>
            <w:tcW w:w="1414"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е уместен</w:t>
            </w:r>
          </w:p>
        </w:tc>
        <w:tc>
          <w:tcPr>
            <w:tcW w:w="1845" w:type="dxa"/>
            <w:gridSpan w:val="3"/>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е ясен</w:t>
            </w:r>
          </w:p>
        </w:tc>
        <w:tc>
          <w:tcPr>
            <w:tcW w:w="992"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Брой</w:t>
            </w:r>
          </w:p>
        </w:tc>
        <w:tc>
          <w:tcPr>
            <w:tcW w:w="867" w:type="dxa"/>
            <w:vAlign w:val="center"/>
          </w:tcPr>
          <w:p w:rsidR="005A01D9" w:rsidRPr="00B45B4F" w:rsidRDefault="005A01D9" w:rsidP="00B122A1">
            <w:pPr>
              <w:widowControl w:val="0"/>
              <w:tabs>
                <w:tab w:val="left" w:pos="0"/>
                <w:tab w:val="right" w:pos="9214"/>
              </w:tabs>
              <w:spacing w:after="0" w:line="240" w:lineRule="auto"/>
              <w:rPr>
                <w:rFonts w:ascii="Verdana" w:hAnsi="Verdana"/>
                <w:sz w:val="16"/>
                <w:szCs w:val="16"/>
                <w:lang w:val="bg-BG"/>
              </w:rPr>
            </w:pPr>
            <w:r w:rsidRPr="00AB4B10">
              <w:rPr>
                <w:rFonts w:ascii="Verdana" w:hAnsi="Verdana"/>
                <w:bCs/>
                <w:color w:val="000000"/>
                <w:sz w:val="16"/>
                <w:szCs w:val="16"/>
                <w:lang w:val="bg-BG"/>
              </w:rPr>
              <w:t>15000</w:t>
            </w:r>
          </w:p>
        </w:tc>
        <w:tc>
          <w:tcPr>
            <w:tcW w:w="1260"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25000</w:t>
            </w:r>
          </w:p>
        </w:tc>
        <w:tc>
          <w:tcPr>
            <w:tcW w:w="991"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40000</w:t>
            </w:r>
          </w:p>
        </w:tc>
        <w:tc>
          <w:tcPr>
            <w:tcW w:w="3092"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Не е ясна методологията, по която са изчислени стойностите на индикатора. Предвид на предвидената подкрепа, заложените стойности изглеждат реалистични.</w:t>
            </w:r>
          </w:p>
        </w:tc>
      </w:tr>
      <w:tr w:rsidR="005A01D9" w:rsidRPr="00B45B4F" w:rsidTr="00B122A1">
        <w:trPr>
          <w:trHeight w:val="900"/>
        </w:trPr>
        <w:tc>
          <w:tcPr>
            <w:tcW w:w="2382" w:type="dxa"/>
            <w:vMerge/>
          </w:tcPr>
          <w:p w:rsidR="005A01D9" w:rsidRPr="00B45B4F" w:rsidRDefault="005A01D9" w:rsidP="00B122A1">
            <w:pPr>
              <w:autoSpaceDE w:val="0"/>
              <w:autoSpaceDN w:val="0"/>
              <w:adjustRightInd w:val="0"/>
              <w:spacing w:after="0" w:line="240" w:lineRule="auto"/>
              <w:jc w:val="both"/>
              <w:rPr>
                <w:rFonts w:ascii="Verdana" w:hAnsi="Verdana"/>
                <w:sz w:val="16"/>
                <w:szCs w:val="16"/>
                <w:lang w:val="bg-BG"/>
              </w:rPr>
            </w:pPr>
          </w:p>
        </w:tc>
        <w:tc>
          <w:tcPr>
            <w:tcW w:w="2041" w:type="dxa"/>
            <w:vAlign w:val="center"/>
          </w:tcPr>
          <w:p w:rsidR="005A01D9" w:rsidRPr="00531A1C" w:rsidRDefault="005A01D9" w:rsidP="00B122A1">
            <w:pPr>
              <w:spacing w:after="0" w:line="240" w:lineRule="auto"/>
              <w:rPr>
                <w:rFonts w:ascii="Verdana" w:hAnsi="Verdana"/>
                <w:sz w:val="16"/>
                <w:szCs w:val="16"/>
              </w:rPr>
            </w:pPr>
            <w:proofErr w:type="spellStart"/>
            <w:r w:rsidRPr="00531A1C">
              <w:rPr>
                <w:rFonts w:ascii="Verdana" w:hAnsi="Verdana"/>
                <w:sz w:val="16"/>
                <w:szCs w:val="16"/>
              </w:rPr>
              <w:t>Лица</w:t>
            </w:r>
            <w:proofErr w:type="spellEnd"/>
            <w:r w:rsidRPr="00531A1C">
              <w:rPr>
                <w:rFonts w:ascii="Verdana" w:hAnsi="Verdana"/>
                <w:sz w:val="16"/>
                <w:szCs w:val="16"/>
              </w:rPr>
              <w:t xml:space="preserve">, </w:t>
            </w:r>
            <w:proofErr w:type="spellStart"/>
            <w:r w:rsidRPr="00531A1C">
              <w:rPr>
                <w:rFonts w:ascii="Verdana" w:hAnsi="Verdana"/>
                <w:sz w:val="16"/>
                <w:szCs w:val="16"/>
              </w:rPr>
              <w:t>валидирали</w:t>
            </w:r>
            <w:proofErr w:type="spellEnd"/>
            <w:r w:rsidRPr="00531A1C">
              <w:rPr>
                <w:rFonts w:ascii="Verdana" w:hAnsi="Verdana"/>
                <w:sz w:val="16"/>
                <w:szCs w:val="16"/>
              </w:rPr>
              <w:t xml:space="preserve"> </w:t>
            </w:r>
            <w:proofErr w:type="spellStart"/>
            <w:r w:rsidRPr="00531A1C">
              <w:rPr>
                <w:rFonts w:ascii="Verdana" w:hAnsi="Verdana"/>
                <w:sz w:val="16"/>
                <w:szCs w:val="16"/>
              </w:rPr>
              <w:t>знания</w:t>
            </w:r>
            <w:proofErr w:type="spellEnd"/>
            <w:r w:rsidRPr="00531A1C">
              <w:rPr>
                <w:rFonts w:ascii="Verdana" w:hAnsi="Verdana"/>
                <w:sz w:val="16"/>
                <w:szCs w:val="16"/>
              </w:rPr>
              <w:t xml:space="preserve">, </w:t>
            </w:r>
            <w:proofErr w:type="spellStart"/>
            <w:r w:rsidRPr="00531A1C">
              <w:rPr>
                <w:rFonts w:ascii="Verdana" w:hAnsi="Verdana"/>
                <w:sz w:val="16"/>
                <w:szCs w:val="16"/>
              </w:rPr>
              <w:t>умения</w:t>
            </w:r>
            <w:proofErr w:type="spellEnd"/>
            <w:r w:rsidRPr="00531A1C">
              <w:rPr>
                <w:rFonts w:ascii="Verdana" w:hAnsi="Verdana"/>
                <w:sz w:val="16"/>
                <w:szCs w:val="16"/>
              </w:rPr>
              <w:t xml:space="preserve"> и </w:t>
            </w:r>
            <w:proofErr w:type="spellStart"/>
            <w:r w:rsidRPr="00531A1C">
              <w:rPr>
                <w:rFonts w:ascii="Verdana" w:hAnsi="Verdana"/>
                <w:sz w:val="16"/>
                <w:szCs w:val="16"/>
              </w:rPr>
              <w:t>компетентности</w:t>
            </w:r>
            <w:proofErr w:type="spellEnd"/>
          </w:p>
        </w:tc>
        <w:tc>
          <w:tcPr>
            <w:tcW w:w="1414"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 xml:space="preserve">Индикаторът е уместен </w:t>
            </w:r>
          </w:p>
        </w:tc>
        <w:tc>
          <w:tcPr>
            <w:tcW w:w="1845" w:type="dxa"/>
            <w:gridSpan w:val="3"/>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е ясен</w:t>
            </w:r>
          </w:p>
        </w:tc>
        <w:tc>
          <w:tcPr>
            <w:tcW w:w="992"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Брой</w:t>
            </w:r>
          </w:p>
        </w:tc>
        <w:tc>
          <w:tcPr>
            <w:tcW w:w="867" w:type="dxa"/>
            <w:vAlign w:val="center"/>
          </w:tcPr>
          <w:p w:rsidR="005A01D9" w:rsidRPr="00B45B4F" w:rsidRDefault="005A01D9" w:rsidP="00B122A1">
            <w:pPr>
              <w:widowControl w:val="0"/>
              <w:tabs>
                <w:tab w:val="left" w:pos="0"/>
                <w:tab w:val="right" w:pos="9214"/>
              </w:tabs>
              <w:spacing w:after="0" w:line="240" w:lineRule="auto"/>
              <w:rPr>
                <w:rFonts w:ascii="Verdana" w:hAnsi="Verdana"/>
                <w:sz w:val="16"/>
                <w:szCs w:val="16"/>
                <w:lang w:val="bg-BG"/>
              </w:rPr>
            </w:pPr>
            <w:r>
              <w:rPr>
                <w:rFonts w:ascii="Verdana" w:hAnsi="Verdana"/>
                <w:sz w:val="16"/>
                <w:szCs w:val="16"/>
                <w:lang w:val="bg-BG"/>
              </w:rPr>
              <w:t>0</w:t>
            </w:r>
          </w:p>
        </w:tc>
        <w:tc>
          <w:tcPr>
            <w:tcW w:w="1260"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1500</w:t>
            </w:r>
          </w:p>
        </w:tc>
        <w:tc>
          <w:tcPr>
            <w:tcW w:w="991"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2500</w:t>
            </w:r>
          </w:p>
        </w:tc>
        <w:tc>
          <w:tcPr>
            <w:tcW w:w="3092"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Не е ясна методологията, по която са изчислени стойностите на индикатора. Предвид на предвидената подкрепа, заложените стойности изглеждат реалистични.</w:t>
            </w:r>
          </w:p>
        </w:tc>
      </w:tr>
      <w:tr w:rsidR="005A01D9" w:rsidRPr="00B45B4F" w:rsidTr="00B122A1">
        <w:trPr>
          <w:trHeight w:val="930"/>
        </w:trPr>
        <w:tc>
          <w:tcPr>
            <w:tcW w:w="2382" w:type="dxa"/>
            <w:vMerge/>
          </w:tcPr>
          <w:p w:rsidR="005A01D9" w:rsidRPr="00B45B4F" w:rsidRDefault="005A01D9" w:rsidP="00B122A1">
            <w:pPr>
              <w:autoSpaceDE w:val="0"/>
              <w:autoSpaceDN w:val="0"/>
              <w:adjustRightInd w:val="0"/>
              <w:spacing w:after="0" w:line="240" w:lineRule="auto"/>
              <w:jc w:val="both"/>
              <w:rPr>
                <w:rFonts w:ascii="Verdana" w:hAnsi="Verdana"/>
                <w:sz w:val="16"/>
                <w:szCs w:val="16"/>
                <w:lang w:val="bg-BG"/>
              </w:rPr>
            </w:pPr>
          </w:p>
        </w:tc>
        <w:tc>
          <w:tcPr>
            <w:tcW w:w="2041" w:type="dxa"/>
            <w:vAlign w:val="center"/>
          </w:tcPr>
          <w:p w:rsidR="005A01D9" w:rsidRPr="00DF020C" w:rsidRDefault="005A01D9" w:rsidP="00B122A1">
            <w:pPr>
              <w:spacing w:after="0" w:line="240" w:lineRule="auto"/>
              <w:rPr>
                <w:rFonts w:ascii="Verdana" w:hAnsi="Verdana"/>
                <w:sz w:val="16"/>
                <w:szCs w:val="16"/>
              </w:rPr>
            </w:pPr>
            <w:proofErr w:type="spellStart"/>
            <w:r w:rsidRPr="00DF020C">
              <w:rPr>
                <w:rFonts w:ascii="Verdana" w:hAnsi="Verdana"/>
                <w:sz w:val="16"/>
                <w:szCs w:val="16"/>
              </w:rPr>
              <w:t>Лица</w:t>
            </w:r>
            <w:proofErr w:type="spellEnd"/>
            <w:r w:rsidRPr="00DF020C">
              <w:rPr>
                <w:rFonts w:ascii="Verdana" w:hAnsi="Verdana"/>
                <w:sz w:val="16"/>
                <w:szCs w:val="16"/>
              </w:rPr>
              <w:t xml:space="preserve"> </w:t>
            </w:r>
            <w:proofErr w:type="spellStart"/>
            <w:r w:rsidRPr="00DF020C">
              <w:rPr>
                <w:rFonts w:ascii="Verdana" w:hAnsi="Verdana"/>
                <w:sz w:val="16"/>
                <w:szCs w:val="16"/>
              </w:rPr>
              <w:t>на</w:t>
            </w:r>
            <w:proofErr w:type="spellEnd"/>
            <w:r w:rsidRPr="00DF020C">
              <w:rPr>
                <w:rFonts w:ascii="Verdana" w:hAnsi="Verdana"/>
                <w:sz w:val="16"/>
                <w:szCs w:val="16"/>
              </w:rPr>
              <w:t xml:space="preserve"> </w:t>
            </w:r>
            <w:proofErr w:type="spellStart"/>
            <w:r w:rsidRPr="00DF020C">
              <w:rPr>
                <w:rFonts w:ascii="Verdana" w:hAnsi="Verdana"/>
                <w:sz w:val="16"/>
                <w:szCs w:val="16"/>
              </w:rPr>
              <w:t>възраст</w:t>
            </w:r>
            <w:proofErr w:type="spellEnd"/>
            <w:r w:rsidRPr="00DF020C">
              <w:rPr>
                <w:rFonts w:ascii="Verdana" w:hAnsi="Verdana"/>
                <w:sz w:val="16"/>
                <w:szCs w:val="16"/>
              </w:rPr>
              <w:t xml:space="preserve"> 25-64 г., </w:t>
            </w:r>
            <w:proofErr w:type="spellStart"/>
            <w:r w:rsidRPr="00DF020C">
              <w:rPr>
                <w:rFonts w:ascii="Verdana" w:hAnsi="Verdana"/>
                <w:sz w:val="16"/>
                <w:szCs w:val="16"/>
              </w:rPr>
              <w:t>които</w:t>
            </w:r>
            <w:proofErr w:type="spellEnd"/>
            <w:r w:rsidRPr="00DF020C">
              <w:rPr>
                <w:rFonts w:ascii="Verdana" w:hAnsi="Verdana"/>
                <w:sz w:val="16"/>
                <w:szCs w:val="16"/>
              </w:rPr>
              <w:t xml:space="preserve"> </w:t>
            </w:r>
            <w:proofErr w:type="spellStart"/>
            <w:r w:rsidRPr="00DF020C">
              <w:rPr>
                <w:rFonts w:ascii="Verdana" w:hAnsi="Verdana"/>
                <w:sz w:val="16"/>
                <w:szCs w:val="16"/>
              </w:rPr>
              <w:t>участват</w:t>
            </w:r>
            <w:proofErr w:type="spellEnd"/>
            <w:r w:rsidRPr="00DF020C">
              <w:rPr>
                <w:rFonts w:ascii="Verdana" w:hAnsi="Verdana"/>
                <w:sz w:val="16"/>
                <w:szCs w:val="16"/>
              </w:rPr>
              <w:t xml:space="preserve"> в </w:t>
            </w:r>
            <w:proofErr w:type="spellStart"/>
            <w:r w:rsidRPr="00DF020C">
              <w:rPr>
                <w:rFonts w:ascii="Verdana" w:hAnsi="Verdana"/>
                <w:sz w:val="16"/>
                <w:szCs w:val="16"/>
              </w:rPr>
              <w:t>учене</w:t>
            </w:r>
            <w:proofErr w:type="spellEnd"/>
            <w:r w:rsidRPr="00DF020C">
              <w:rPr>
                <w:rFonts w:ascii="Verdana" w:hAnsi="Verdana"/>
                <w:sz w:val="16"/>
                <w:szCs w:val="16"/>
              </w:rPr>
              <w:t xml:space="preserve"> </w:t>
            </w:r>
            <w:proofErr w:type="spellStart"/>
            <w:r w:rsidRPr="00DF020C">
              <w:rPr>
                <w:rFonts w:ascii="Verdana" w:hAnsi="Verdana"/>
                <w:sz w:val="16"/>
                <w:szCs w:val="16"/>
              </w:rPr>
              <w:t>през</w:t>
            </w:r>
            <w:proofErr w:type="spellEnd"/>
            <w:r w:rsidRPr="00DF020C">
              <w:rPr>
                <w:rFonts w:ascii="Verdana" w:hAnsi="Verdana"/>
                <w:sz w:val="16"/>
                <w:szCs w:val="16"/>
              </w:rPr>
              <w:t xml:space="preserve"> </w:t>
            </w:r>
            <w:proofErr w:type="spellStart"/>
            <w:r w:rsidRPr="00DF020C">
              <w:rPr>
                <w:rFonts w:ascii="Verdana" w:hAnsi="Verdana"/>
                <w:sz w:val="16"/>
                <w:szCs w:val="16"/>
              </w:rPr>
              <w:t>целия</w:t>
            </w:r>
            <w:proofErr w:type="spellEnd"/>
            <w:r w:rsidRPr="00DF020C">
              <w:rPr>
                <w:rFonts w:ascii="Verdana" w:hAnsi="Verdana"/>
                <w:sz w:val="16"/>
                <w:szCs w:val="16"/>
              </w:rPr>
              <w:t xml:space="preserve"> </w:t>
            </w:r>
            <w:proofErr w:type="spellStart"/>
            <w:r w:rsidRPr="00DF020C">
              <w:rPr>
                <w:rFonts w:ascii="Verdana" w:hAnsi="Verdana"/>
                <w:sz w:val="16"/>
                <w:szCs w:val="16"/>
              </w:rPr>
              <w:t>живот</w:t>
            </w:r>
            <w:proofErr w:type="spellEnd"/>
            <w:r w:rsidRPr="00DF020C">
              <w:rPr>
                <w:rFonts w:ascii="Verdana" w:hAnsi="Verdana"/>
                <w:sz w:val="16"/>
                <w:szCs w:val="16"/>
              </w:rPr>
              <w:t xml:space="preserve"> (</w:t>
            </w:r>
            <w:proofErr w:type="spellStart"/>
            <w:r w:rsidRPr="00DF020C">
              <w:rPr>
                <w:rFonts w:ascii="Verdana" w:hAnsi="Verdana"/>
                <w:sz w:val="16"/>
                <w:szCs w:val="16"/>
              </w:rPr>
              <w:t>през</w:t>
            </w:r>
            <w:proofErr w:type="spellEnd"/>
            <w:r w:rsidRPr="00DF020C">
              <w:rPr>
                <w:rFonts w:ascii="Verdana" w:hAnsi="Verdana"/>
                <w:sz w:val="16"/>
                <w:szCs w:val="16"/>
              </w:rPr>
              <w:t xml:space="preserve"> </w:t>
            </w:r>
            <w:proofErr w:type="spellStart"/>
            <w:r w:rsidRPr="00DF020C">
              <w:rPr>
                <w:rFonts w:ascii="Verdana" w:hAnsi="Verdana"/>
                <w:sz w:val="16"/>
                <w:szCs w:val="16"/>
              </w:rPr>
              <w:t>последните</w:t>
            </w:r>
            <w:proofErr w:type="spellEnd"/>
            <w:r w:rsidRPr="00DF020C">
              <w:rPr>
                <w:rFonts w:ascii="Verdana" w:hAnsi="Verdana"/>
                <w:sz w:val="16"/>
                <w:szCs w:val="16"/>
              </w:rPr>
              <w:t xml:space="preserve"> 4 </w:t>
            </w:r>
            <w:proofErr w:type="spellStart"/>
            <w:r w:rsidRPr="00DF020C">
              <w:rPr>
                <w:rFonts w:ascii="Verdana" w:hAnsi="Verdana"/>
                <w:sz w:val="16"/>
                <w:szCs w:val="16"/>
              </w:rPr>
              <w:lastRenderedPageBreak/>
              <w:t>седмици</w:t>
            </w:r>
            <w:proofErr w:type="spellEnd"/>
            <w:r w:rsidRPr="00DF020C">
              <w:rPr>
                <w:rFonts w:ascii="Verdana" w:hAnsi="Verdana"/>
                <w:sz w:val="16"/>
                <w:szCs w:val="16"/>
              </w:rPr>
              <w:t xml:space="preserve"> </w:t>
            </w:r>
            <w:proofErr w:type="spellStart"/>
            <w:r w:rsidRPr="00DF020C">
              <w:rPr>
                <w:rFonts w:ascii="Verdana" w:hAnsi="Verdana"/>
                <w:sz w:val="16"/>
                <w:szCs w:val="16"/>
              </w:rPr>
              <w:t>преди</w:t>
            </w:r>
            <w:proofErr w:type="spellEnd"/>
            <w:r w:rsidRPr="00DF020C">
              <w:rPr>
                <w:rFonts w:ascii="Verdana" w:hAnsi="Verdana"/>
                <w:sz w:val="16"/>
                <w:szCs w:val="16"/>
              </w:rPr>
              <w:t xml:space="preserve"> </w:t>
            </w:r>
            <w:proofErr w:type="spellStart"/>
            <w:r w:rsidRPr="00DF020C">
              <w:rPr>
                <w:rFonts w:ascii="Verdana" w:hAnsi="Verdana"/>
                <w:sz w:val="16"/>
                <w:szCs w:val="16"/>
              </w:rPr>
              <w:t>изследването</w:t>
            </w:r>
            <w:proofErr w:type="spellEnd"/>
            <w:r w:rsidRPr="00DF020C">
              <w:rPr>
                <w:rFonts w:ascii="Verdana" w:hAnsi="Verdana"/>
                <w:sz w:val="16"/>
                <w:szCs w:val="16"/>
              </w:rPr>
              <w:t>)</w:t>
            </w:r>
          </w:p>
        </w:tc>
        <w:tc>
          <w:tcPr>
            <w:tcW w:w="1414" w:type="dxa"/>
            <w:vAlign w:val="center"/>
          </w:tcPr>
          <w:p w:rsidR="005A01D9" w:rsidRPr="00DF020C"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DF020C">
              <w:rPr>
                <w:rFonts w:ascii="Verdana" w:hAnsi="Verdana"/>
                <w:bCs/>
                <w:color w:val="000000"/>
                <w:sz w:val="16"/>
                <w:szCs w:val="16"/>
                <w:lang w:val="bg-BG"/>
              </w:rPr>
              <w:lastRenderedPageBreak/>
              <w:t xml:space="preserve">Индикаторът е твърде общ и не измерва само подкрепата от </w:t>
            </w:r>
            <w:r w:rsidRPr="00DF020C">
              <w:rPr>
                <w:rFonts w:ascii="Verdana" w:hAnsi="Verdana"/>
                <w:bCs/>
                <w:color w:val="000000"/>
                <w:sz w:val="16"/>
                <w:szCs w:val="16"/>
                <w:lang w:val="bg-BG"/>
              </w:rPr>
              <w:lastRenderedPageBreak/>
              <w:t xml:space="preserve">програмата. </w:t>
            </w:r>
          </w:p>
        </w:tc>
        <w:tc>
          <w:tcPr>
            <w:tcW w:w="1845" w:type="dxa"/>
            <w:gridSpan w:val="3"/>
            <w:vAlign w:val="center"/>
          </w:tcPr>
          <w:p w:rsidR="005A01D9" w:rsidRPr="00DF020C"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DF020C">
              <w:rPr>
                <w:rFonts w:ascii="Verdana" w:hAnsi="Verdana"/>
                <w:bCs/>
                <w:color w:val="000000"/>
                <w:sz w:val="16"/>
                <w:szCs w:val="16"/>
                <w:lang w:val="bg-BG"/>
              </w:rPr>
              <w:lastRenderedPageBreak/>
              <w:t xml:space="preserve">В индикаторния фиш е необходимо пояснение на „учене пред целия живот“. Не е ясно </w:t>
            </w:r>
            <w:r w:rsidRPr="00DF020C">
              <w:rPr>
                <w:rFonts w:ascii="Verdana" w:hAnsi="Verdana"/>
                <w:bCs/>
                <w:color w:val="000000"/>
                <w:sz w:val="16"/>
                <w:szCs w:val="16"/>
                <w:lang w:val="bg-BG"/>
              </w:rPr>
              <w:lastRenderedPageBreak/>
              <w:t xml:space="preserve">процентът какво представлява. </w:t>
            </w:r>
          </w:p>
        </w:tc>
        <w:tc>
          <w:tcPr>
            <w:tcW w:w="992" w:type="dxa"/>
            <w:vAlign w:val="center"/>
          </w:tcPr>
          <w:p w:rsidR="005A01D9" w:rsidRPr="00DF020C"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DF020C">
              <w:rPr>
                <w:rFonts w:ascii="Verdana" w:hAnsi="Verdana"/>
                <w:bCs/>
                <w:color w:val="000000"/>
                <w:sz w:val="16"/>
                <w:szCs w:val="16"/>
                <w:lang w:val="bg-BG"/>
              </w:rPr>
              <w:lastRenderedPageBreak/>
              <w:t>%</w:t>
            </w:r>
          </w:p>
        </w:tc>
        <w:tc>
          <w:tcPr>
            <w:tcW w:w="867" w:type="dxa"/>
            <w:vAlign w:val="center"/>
          </w:tcPr>
          <w:p w:rsidR="005A01D9" w:rsidRPr="00DF020C"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DF020C">
              <w:rPr>
                <w:rFonts w:ascii="Verdana" w:hAnsi="Verdana"/>
                <w:bCs/>
                <w:color w:val="000000"/>
                <w:sz w:val="16"/>
                <w:szCs w:val="16"/>
                <w:lang w:val="bg-BG"/>
              </w:rPr>
              <w:t>1,7</w:t>
            </w:r>
          </w:p>
        </w:tc>
        <w:tc>
          <w:tcPr>
            <w:tcW w:w="1260" w:type="dxa"/>
            <w:vAlign w:val="center"/>
          </w:tcPr>
          <w:p w:rsidR="005A01D9" w:rsidRPr="00DF020C"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DF020C">
              <w:rPr>
                <w:rFonts w:ascii="Verdana" w:hAnsi="Verdana"/>
                <w:bCs/>
                <w:color w:val="000000"/>
                <w:sz w:val="16"/>
                <w:szCs w:val="16"/>
                <w:lang w:val="bg-BG"/>
              </w:rPr>
              <w:t>2,5</w:t>
            </w:r>
          </w:p>
        </w:tc>
        <w:tc>
          <w:tcPr>
            <w:tcW w:w="991" w:type="dxa"/>
            <w:vAlign w:val="center"/>
          </w:tcPr>
          <w:p w:rsidR="005A01D9" w:rsidRPr="00DF020C"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DF020C">
              <w:rPr>
                <w:rFonts w:ascii="Verdana" w:hAnsi="Verdana"/>
                <w:bCs/>
                <w:color w:val="000000"/>
                <w:sz w:val="16"/>
                <w:szCs w:val="16"/>
                <w:lang w:val="bg-BG"/>
              </w:rPr>
              <w:t>3,5</w:t>
            </w:r>
          </w:p>
        </w:tc>
        <w:tc>
          <w:tcPr>
            <w:tcW w:w="3092" w:type="dxa"/>
            <w:vAlign w:val="center"/>
          </w:tcPr>
          <w:p w:rsidR="005A01D9" w:rsidRPr="00DF020C"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DF020C">
              <w:rPr>
                <w:rFonts w:ascii="Verdana" w:hAnsi="Verdana"/>
                <w:bCs/>
                <w:color w:val="000000"/>
                <w:sz w:val="16"/>
                <w:szCs w:val="16"/>
                <w:lang w:val="bg-BG"/>
              </w:rPr>
              <w:t>Препоръчва се индикаторът да отпадне, тъй като следващият индикатор покрива същността на информацията</w:t>
            </w:r>
          </w:p>
        </w:tc>
      </w:tr>
      <w:tr w:rsidR="005A01D9" w:rsidRPr="00B45B4F" w:rsidTr="00B122A1">
        <w:trPr>
          <w:trHeight w:val="995"/>
        </w:trPr>
        <w:tc>
          <w:tcPr>
            <w:tcW w:w="2382" w:type="dxa"/>
            <w:vMerge/>
          </w:tcPr>
          <w:p w:rsidR="005A01D9" w:rsidRPr="00B45B4F" w:rsidRDefault="005A01D9" w:rsidP="00B122A1">
            <w:pPr>
              <w:autoSpaceDE w:val="0"/>
              <w:autoSpaceDN w:val="0"/>
              <w:adjustRightInd w:val="0"/>
              <w:spacing w:after="0" w:line="240" w:lineRule="auto"/>
              <w:jc w:val="both"/>
              <w:rPr>
                <w:rFonts w:ascii="Verdana" w:hAnsi="Verdana"/>
                <w:sz w:val="16"/>
                <w:szCs w:val="16"/>
                <w:lang w:val="bg-BG"/>
              </w:rPr>
            </w:pPr>
          </w:p>
        </w:tc>
        <w:tc>
          <w:tcPr>
            <w:tcW w:w="2041" w:type="dxa"/>
            <w:vAlign w:val="center"/>
          </w:tcPr>
          <w:p w:rsidR="005A01D9" w:rsidRPr="00531A1C" w:rsidRDefault="005A01D9" w:rsidP="00B122A1">
            <w:pPr>
              <w:spacing w:after="0" w:line="240" w:lineRule="auto"/>
              <w:rPr>
                <w:rFonts w:ascii="Verdana" w:hAnsi="Verdana"/>
                <w:sz w:val="16"/>
                <w:szCs w:val="16"/>
              </w:rPr>
            </w:pPr>
            <w:proofErr w:type="spellStart"/>
            <w:r w:rsidRPr="00531A1C">
              <w:rPr>
                <w:rFonts w:ascii="Verdana" w:hAnsi="Verdana"/>
                <w:sz w:val="16"/>
                <w:szCs w:val="16"/>
              </w:rPr>
              <w:t>Дял</w:t>
            </w:r>
            <w:proofErr w:type="spellEnd"/>
            <w:r w:rsidRPr="00531A1C">
              <w:rPr>
                <w:rFonts w:ascii="Verdana" w:hAnsi="Verdana"/>
                <w:sz w:val="16"/>
                <w:szCs w:val="16"/>
              </w:rPr>
              <w:t xml:space="preserve"> </w:t>
            </w:r>
            <w:proofErr w:type="spellStart"/>
            <w:r w:rsidRPr="00531A1C">
              <w:rPr>
                <w:rFonts w:ascii="Verdana" w:hAnsi="Verdana"/>
                <w:sz w:val="16"/>
                <w:szCs w:val="16"/>
              </w:rPr>
              <w:t>на</w:t>
            </w:r>
            <w:proofErr w:type="spellEnd"/>
            <w:r w:rsidRPr="00531A1C">
              <w:rPr>
                <w:rFonts w:ascii="Verdana" w:hAnsi="Verdana"/>
                <w:sz w:val="16"/>
                <w:szCs w:val="16"/>
              </w:rPr>
              <w:t xml:space="preserve"> </w:t>
            </w:r>
            <w:proofErr w:type="spellStart"/>
            <w:r w:rsidRPr="00531A1C">
              <w:rPr>
                <w:rFonts w:ascii="Verdana" w:hAnsi="Verdana"/>
                <w:sz w:val="16"/>
                <w:szCs w:val="16"/>
              </w:rPr>
              <w:t>населението</w:t>
            </w:r>
            <w:proofErr w:type="spellEnd"/>
            <w:r w:rsidRPr="00531A1C">
              <w:rPr>
                <w:rFonts w:ascii="Verdana" w:hAnsi="Verdana"/>
                <w:sz w:val="16"/>
                <w:szCs w:val="16"/>
              </w:rPr>
              <w:t xml:space="preserve"> </w:t>
            </w:r>
            <w:proofErr w:type="spellStart"/>
            <w:r w:rsidRPr="00531A1C">
              <w:rPr>
                <w:rFonts w:ascii="Verdana" w:hAnsi="Verdana"/>
                <w:sz w:val="16"/>
                <w:szCs w:val="16"/>
              </w:rPr>
              <w:t>на</w:t>
            </w:r>
            <w:proofErr w:type="spellEnd"/>
            <w:r w:rsidRPr="00531A1C">
              <w:rPr>
                <w:rFonts w:ascii="Verdana" w:hAnsi="Verdana"/>
                <w:sz w:val="16"/>
                <w:szCs w:val="16"/>
              </w:rPr>
              <w:t xml:space="preserve"> </w:t>
            </w:r>
            <w:proofErr w:type="spellStart"/>
            <w:r w:rsidRPr="00531A1C">
              <w:rPr>
                <w:rFonts w:ascii="Verdana" w:hAnsi="Verdana"/>
                <w:sz w:val="16"/>
                <w:szCs w:val="16"/>
              </w:rPr>
              <w:t>възраст</w:t>
            </w:r>
            <w:proofErr w:type="spellEnd"/>
            <w:r w:rsidRPr="00531A1C">
              <w:rPr>
                <w:rFonts w:ascii="Verdana" w:hAnsi="Verdana"/>
                <w:sz w:val="16"/>
                <w:szCs w:val="16"/>
              </w:rPr>
              <w:t xml:space="preserve"> 25-64 </w:t>
            </w:r>
            <w:proofErr w:type="spellStart"/>
            <w:r w:rsidRPr="00531A1C">
              <w:rPr>
                <w:rFonts w:ascii="Verdana" w:hAnsi="Verdana"/>
                <w:sz w:val="16"/>
                <w:szCs w:val="16"/>
              </w:rPr>
              <w:t>години</w:t>
            </w:r>
            <w:proofErr w:type="spellEnd"/>
            <w:r w:rsidRPr="00531A1C">
              <w:rPr>
                <w:rFonts w:ascii="Verdana" w:hAnsi="Verdana"/>
                <w:sz w:val="16"/>
                <w:szCs w:val="16"/>
              </w:rPr>
              <w:t xml:space="preserve">, </w:t>
            </w:r>
            <w:proofErr w:type="spellStart"/>
            <w:r w:rsidRPr="00531A1C">
              <w:rPr>
                <w:rFonts w:ascii="Verdana" w:hAnsi="Verdana"/>
                <w:sz w:val="16"/>
                <w:szCs w:val="16"/>
              </w:rPr>
              <w:t>участващо</w:t>
            </w:r>
            <w:proofErr w:type="spellEnd"/>
            <w:r w:rsidRPr="00531A1C">
              <w:rPr>
                <w:rFonts w:ascii="Verdana" w:hAnsi="Verdana"/>
                <w:sz w:val="16"/>
                <w:szCs w:val="16"/>
              </w:rPr>
              <w:t xml:space="preserve"> в </w:t>
            </w:r>
            <w:proofErr w:type="spellStart"/>
            <w:r w:rsidRPr="00531A1C">
              <w:rPr>
                <w:rFonts w:ascii="Verdana" w:hAnsi="Verdana"/>
                <w:sz w:val="16"/>
                <w:szCs w:val="16"/>
              </w:rPr>
              <w:t>неформално</w:t>
            </w:r>
            <w:proofErr w:type="spellEnd"/>
            <w:r w:rsidRPr="00531A1C">
              <w:rPr>
                <w:rFonts w:ascii="Verdana" w:hAnsi="Verdana"/>
                <w:sz w:val="16"/>
                <w:szCs w:val="16"/>
              </w:rPr>
              <w:t xml:space="preserve"> </w:t>
            </w:r>
            <w:proofErr w:type="spellStart"/>
            <w:r w:rsidRPr="00531A1C">
              <w:rPr>
                <w:rFonts w:ascii="Verdana" w:hAnsi="Verdana"/>
                <w:sz w:val="16"/>
                <w:szCs w:val="16"/>
              </w:rPr>
              <w:t>образование</w:t>
            </w:r>
            <w:proofErr w:type="spellEnd"/>
            <w:r>
              <w:rPr>
                <w:rFonts w:ascii="Verdana" w:hAnsi="Verdana"/>
                <w:sz w:val="16"/>
                <w:szCs w:val="16"/>
                <w:lang w:val="bg-BG"/>
              </w:rPr>
              <w:t>.</w:t>
            </w:r>
            <w:r w:rsidRPr="00531A1C">
              <w:rPr>
                <w:rFonts w:ascii="Verdana" w:hAnsi="Verdana"/>
                <w:sz w:val="16"/>
                <w:szCs w:val="16"/>
              </w:rPr>
              <w:t xml:space="preserve"> </w:t>
            </w:r>
          </w:p>
        </w:tc>
        <w:tc>
          <w:tcPr>
            <w:tcW w:w="1414"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 xml:space="preserve">Индикаторът е уместен. </w:t>
            </w:r>
          </w:p>
        </w:tc>
        <w:tc>
          <w:tcPr>
            <w:tcW w:w="1845" w:type="dxa"/>
            <w:gridSpan w:val="3"/>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е ясен</w:t>
            </w:r>
          </w:p>
        </w:tc>
        <w:tc>
          <w:tcPr>
            <w:tcW w:w="992"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w:t>
            </w:r>
          </w:p>
        </w:tc>
        <w:tc>
          <w:tcPr>
            <w:tcW w:w="867" w:type="dxa"/>
            <w:vAlign w:val="center"/>
          </w:tcPr>
          <w:p w:rsidR="005A01D9" w:rsidRPr="00DF020C"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DF020C">
              <w:rPr>
                <w:rFonts w:ascii="Verdana" w:hAnsi="Verdana"/>
                <w:bCs/>
                <w:color w:val="000000"/>
                <w:sz w:val="16"/>
                <w:szCs w:val="16"/>
                <w:lang w:val="bg-BG"/>
              </w:rPr>
              <w:t>24,4</w:t>
            </w:r>
          </w:p>
        </w:tc>
        <w:tc>
          <w:tcPr>
            <w:tcW w:w="1260"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26</w:t>
            </w:r>
          </w:p>
        </w:tc>
        <w:tc>
          <w:tcPr>
            <w:tcW w:w="991"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28</w:t>
            </w:r>
          </w:p>
        </w:tc>
        <w:tc>
          <w:tcPr>
            <w:tcW w:w="3092"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Не е ясна методологията, по която са изчислени стойностите на индикатора. Предвид на предвидената подкрепа, заложените стойности изглеждат реалистични.</w:t>
            </w:r>
          </w:p>
        </w:tc>
      </w:tr>
      <w:tr w:rsidR="005A01D9" w:rsidRPr="00B45B4F" w:rsidTr="00B122A1">
        <w:trPr>
          <w:trHeight w:val="405"/>
        </w:trPr>
        <w:tc>
          <w:tcPr>
            <w:tcW w:w="2382" w:type="dxa"/>
            <w:vMerge/>
          </w:tcPr>
          <w:p w:rsidR="005A01D9" w:rsidRPr="00B45B4F" w:rsidRDefault="005A01D9" w:rsidP="00B122A1">
            <w:pPr>
              <w:autoSpaceDE w:val="0"/>
              <w:autoSpaceDN w:val="0"/>
              <w:adjustRightInd w:val="0"/>
              <w:spacing w:after="0" w:line="240" w:lineRule="auto"/>
              <w:jc w:val="both"/>
              <w:rPr>
                <w:rFonts w:ascii="Verdana" w:hAnsi="Verdana"/>
                <w:sz w:val="16"/>
                <w:szCs w:val="16"/>
                <w:lang w:val="bg-BG"/>
              </w:rPr>
            </w:pPr>
          </w:p>
        </w:tc>
        <w:tc>
          <w:tcPr>
            <w:tcW w:w="2041" w:type="dxa"/>
            <w:vAlign w:val="center"/>
          </w:tcPr>
          <w:p w:rsidR="005A01D9" w:rsidRPr="00531A1C" w:rsidRDefault="005A01D9" w:rsidP="00B122A1">
            <w:pPr>
              <w:spacing w:after="0" w:line="240" w:lineRule="auto"/>
              <w:rPr>
                <w:rFonts w:ascii="Verdana" w:hAnsi="Verdana"/>
                <w:sz w:val="16"/>
                <w:szCs w:val="16"/>
              </w:rPr>
            </w:pPr>
            <w:proofErr w:type="spellStart"/>
            <w:r w:rsidRPr="00531A1C">
              <w:rPr>
                <w:rFonts w:ascii="Verdana" w:hAnsi="Verdana"/>
                <w:sz w:val="16"/>
                <w:szCs w:val="16"/>
              </w:rPr>
              <w:t>Обучаващи</w:t>
            </w:r>
            <w:proofErr w:type="spellEnd"/>
            <w:r w:rsidRPr="00531A1C">
              <w:rPr>
                <w:rFonts w:ascii="Verdana" w:hAnsi="Verdana"/>
                <w:sz w:val="16"/>
                <w:szCs w:val="16"/>
              </w:rPr>
              <w:t xml:space="preserve"> </w:t>
            </w:r>
            <w:proofErr w:type="spellStart"/>
            <w:r w:rsidRPr="00531A1C">
              <w:rPr>
                <w:rFonts w:ascii="Verdana" w:hAnsi="Verdana"/>
                <w:sz w:val="16"/>
                <w:szCs w:val="16"/>
              </w:rPr>
              <w:t>се</w:t>
            </w:r>
            <w:proofErr w:type="spellEnd"/>
            <w:r w:rsidRPr="00531A1C">
              <w:rPr>
                <w:rFonts w:ascii="Verdana" w:hAnsi="Verdana"/>
                <w:sz w:val="16"/>
                <w:szCs w:val="16"/>
              </w:rPr>
              <w:t xml:space="preserve"> в ОКС </w:t>
            </w:r>
            <w:proofErr w:type="spellStart"/>
            <w:r w:rsidRPr="00531A1C">
              <w:rPr>
                <w:rFonts w:ascii="Verdana" w:hAnsi="Verdana"/>
                <w:sz w:val="16"/>
                <w:szCs w:val="16"/>
              </w:rPr>
              <w:t>бакалавър</w:t>
            </w:r>
            <w:proofErr w:type="spellEnd"/>
            <w:r w:rsidRPr="00531A1C">
              <w:rPr>
                <w:rFonts w:ascii="Verdana" w:hAnsi="Verdana"/>
                <w:sz w:val="16"/>
                <w:szCs w:val="16"/>
              </w:rPr>
              <w:t xml:space="preserve">/ </w:t>
            </w:r>
            <w:proofErr w:type="spellStart"/>
            <w:r w:rsidRPr="00531A1C">
              <w:rPr>
                <w:rFonts w:ascii="Verdana" w:hAnsi="Verdana"/>
                <w:sz w:val="16"/>
                <w:szCs w:val="16"/>
              </w:rPr>
              <w:t>магистър</w:t>
            </w:r>
            <w:proofErr w:type="spellEnd"/>
            <w:r w:rsidRPr="00531A1C">
              <w:rPr>
                <w:rFonts w:ascii="Verdana" w:hAnsi="Verdana"/>
                <w:sz w:val="16"/>
                <w:szCs w:val="16"/>
              </w:rPr>
              <w:t xml:space="preserve">, </w:t>
            </w:r>
            <w:proofErr w:type="spellStart"/>
            <w:r w:rsidRPr="00531A1C">
              <w:rPr>
                <w:rFonts w:ascii="Verdana" w:hAnsi="Verdana"/>
                <w:sz w:val="16"/>
                <w:szCs w:val="16"/>
              </w:rPr>
              <w:t>които</w:t>
            </w:r>
            <w:proofErr w:type="spellEnd"/>
            <w:r w:rsidRPr="00531A1C">
              <w:rPr>
                <w:rFonts w:ascii="Verdana" w:hAnsi="Verdana"/>
                <w:sz w:val="16"/>
                <w:szCs w:val="16"/>
              </w:rPr>
              <w:t xml:space="preserve"> </w:t>
            </w:r>
            <w:proofErr w:type="spellStart"/>
            <w:r w:rsidRPr="00531A1C">
              <w:rPr>
                <w:rFonts w:ascii="Verdana" w:hAnsi="Verdana"/>
                <w:sz w:val="16"/>
                <w:szCs w:val="16"/>
              </w:rPr>
              <w:t>придобиват</w:t>
            </w:r>
            <w:proofErr w:type="spellEnd"/>
            <w:r w:rsidRPr="00531A1C">
              <w:rPr>
                <w:rFonts w:ascii="Verdana" w:hAnsi="Verdana"/>
                <w:sz w:val="16"/>
                <w:szCs w:val="16"/>
              </w:rPr>
              <w:t xml:space="preserve"> </w:t>
            </w:r>
            <w:proofErr w:type="spellStart"/>
            <w:r w:rsidRPr="00531A1C">
              <w:rPr>
                <w:rFonts w:ascii="Verdana" w:hAnsi="Verdana"/>
                <w:sz w:val="16"/>
                <w:szCs w:val="16"/>
              </w:rPr>
              <w:t>професионална</w:t>
            </w:r>
            <w:proofErr w:type="spellEnd"/>
            <w:r w:rsidRPr="00531A1C">
              <w:rPr>
                <w:rFonts w:ascii="Verdana" w:hAnsi="Verdana"/>
                <w:sz w:val="16"/>
                <w:szCs w:val="16"/>
              </w:rPr>
              <w:t xml:space="preserve"> </w:t>
            </w:r>
            <w:proofErr w:type="spellStart"/>
            <w:r w:rsidRPr="00531A1C">
              <w:rPr>
                <w:rFonts w:ascii="Verdana" w:hAnsi="Verdana"/>
                <w:sz w:val="16"/>
                <w:szCs w:val="16"/>
              </w:rPr>
              <w:t>квалификация</w:t>
            </w:r>
            <w:proofErr w:type="spellEnd"/>
            <w:r w:rsidRPr="00531A1C">
              <w:rPr>
                <w:rFonts w:ascii="Verdana" w:hAnsi="Verdana"/>
                <w:sz w:val="16"/>
                <w:szCs w:val="16"/>
              </w:rPr>
              <w:t xml:space="preserve"> </w:t>
            </w:r>
            <w:proofErr w:type="spellStart"/>
            <w:r w:rsidRPr="00531A1C">
              <w:rPr>
                <w:rFonts w:ascii="Verdana" w:hAnsi="Verdana"/>
                <w:sz w:val="16"/>
                <w:szCs w:val="16"/>
              </w:rPr>
              <w:t>учител</w:t>
            </w:r>
            <w:proofErr w:type="spellEnd"/>
            <w:r w:rsidRPr="00531A1C">
              <w:rPr>
                <w:rFonts w:ascii="Verdana" w:hAnsi="Verdana"/>
                <w:sz w:val="16"/>
                <w:szCs w:val="16"/>
              </w:rPr>
              <w:t xml:space="preserve"> и </w:t>
            </w:r>
            <w:proofErr w:type="spellStart"/>
            <w:r w:rsidRPr="00531A1C">
              <w:rPr>
                <w:rFonts w:ascii="Verdana" w:hAnsi="Verdana"/>
                <w:sz w:val="16"/>
                <w:szCs w:val="16"/>
              </w:rPr>
              <w:t>започват</w:t>
            </w:r>
            <w:proofErr w:type="spellEnd"/>
            <w:r w:rsidRPr="00531A1C">
              <w:rPr>
                <w:rFonts w:ascii="Verdana" w:hAnsi="Verdana"/>
                <w:sz w:val="16"/>
                <w:szCs w:val="16"/>
              </w:rPr>
              <w:t xml:space="preserve"> </w:t>
            </w:r>
            <w:proofErr w:type="spellStart"/>
            <w:r w:rsidRPr="00531A1C">
              <w:rPr>
                <w:rFonts w:ascii="Verdana" w:hAnsi="Verdana"/>
                <w:sz w:val="16"/>
                <w:szCs w:val="16"/>
              </w:rPr>
              <w:t>работа</w:t>
            </w:r>
            <w:proofErr w:type="spellEnd"/>
            <w:r w:rsidRPr="00531A1C">
              <w:rPr>
                <w:rFonts w:ascii="Verdana" w:hAnsi="Verdana"/>
                <w:sz w:val="16"/>
                <w:szCs w:val="16"/>
              </w:rPr>
              <w:t xml:space="preserve"> в </w:t>
            </w:r>
            <w:proofErr w:type="spellStart"/>
            <w:r w:rsidRPr="00531A1C">
              <w:rPr>
                <w:rFonts w:ascii="Verdana" w:hAnsi="Verdana"/>
                <w:sz w:val="16"/>
                <w:szCs w:val="16"/>
              </w:rPr>
              <w:t>първата</w:t>
            </w:r>
            <w:proofErr w:type="spellEnd"/>
            <w:r w:rsidRPr="00531A1C">
              <w:rPr>
                <w:rFonts w:ascii="Verdana" w:hAnsi="Verdana"/>
                <w:sz w:val="16"/>
                <w:szCs w:val="16"/>
              </w:rPr>
              <w:t xml:space="preserve"> </w:t>
            </w:r>
            <w:proofErr w:type="spellStart"/>
            <w:r w:rsidRPr="00531A1C">
              <w:rPr>
                <w:rFonts w:ascii="Verdana" w:hAnsi="Verdana"/>
                <w:sz w:val="16"/>
                <w:szCs w:val="16"/>
              </w:rPr>
              <w:t>година</w:t>
            </w:r>
            <w:proofErr w:type="spellEnd"/>
            <w:r w:rsidRPr="00531A1C">
              <w:rPr>
                <w:rFonts w:ascii="Verdana" w:hAnsi="Verdana"/>
                <w:sz w:val="16"/>
                <w:szCs w:val="16"/>
              </w:rPr>
              <w:t xml:space="preserve"> </w:t>
            </w:r>
            <w:proofErr w:type="spellStart"/>
            <w:r w:rsidRPr="00531A1C">
              <w:rPr>
                <w:rFonts w:ascii="Verdana" w:hAnsi="Verdana"/>
                <w:sz w:val="16"/>
                <w:szCs w:val="16"/>
              </w:rPr>
              <w:t>след</w:t>
            </w:r>
            <w:proofErr w:type="spellEnd"/>
            <w:r w:rsidRPr="00531A1C">
              <w:rPr>
                <w:rFonts w:ascii="Verdana" w:hAnsi="Verdana"/>
                <w:sz w:val="16"/>
                <w:szCs w:val="16"/>
              </w:rPr>
              <w:t xml:space="preserve"> </w:t>
            </w:r>
            <w:proofErr w:type="spellStart"/>
            <w:r w:rsidRPr="00531A1C">
              <w:rPr>
                <w:rFonts w:ascii="Verdana" w:hAnsi="Verdana"/>
                <w:sz w:val="16"/>
                <w:szCs w:val="16"/>
              </w:rPr>
              <w:t>завършването</w:t>
            </w:r>
            <w:proofErr w:type="spellEnd"/>
          </w:p>
        </w:tc>
        <w:tc>
          <w:tcPr>
            <w:tcW w:w="1414"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е уместен, но има характер по-скоро на индикатор за резултат.</w:t>
            </w:r>
          </w:p>
        </w:tc>
        <w:tc>
          <w:tcPr>
            <w:tcW w:w="1845" w:type="dxa"/>
            <w:gridSpan w:val="3"/>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е ясен</w:t>
            </w:r>
          </w:p>
        </w:tc>
        <w:tc>
          <w:tcPr>
            <w:tcW w:w="992"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Брой</w:t>
            </w:r>
          </w:p>
        </w:tc>
        <w:tc>
          <w:tcPr>
            <w:tcW w:w="867" w:type="dxa"/>
            <w:vAlign w:val="center"/>
          </w:tcPr>
          <w:p w:rsidR="005A01D9" w:rsidRPr="00B45B4F" w:rsidRDefault="005A01D9" w:rsidP="00B122A1">
            <w:pPr>
              <w:rPr>
                <w:rFonts w:ascii="Verdana" w:hAnsi="Verdana"/>
                <w:sz w:val="16"/>
                <w:szCs w:val="16"/>
                <w:lang w:val="bg-BG"/>
              </w:rPr>
            </w:pPr>
            <w:r>
              <w:rPr>
                <w:rFonts w:ascii="Verdana" w:hAnsi="Verdana"/>
                <w:sz w:val="16"/>
                <w:szCs w:val="16"/>
                <w:lang w:val="bg-BG"/>
              </w:rPr>
              <w:t>липсва</w:t>
            </w:r>
          </w:p>
        </w:tc>
        <w:tc>
          <w:tcPr>
            <w:tcW w:w="1260" w:type="dxa"/>
            <w:vAlign w:val="center"/>
          </w:tcPr>
          <w:p w:rsidR="005A01D9" w:rsidRDefault="005A01D9" w:rsidP="00B122A1">
            <w:r w:rsidRPr="003E40DD">
              <w:rPr>
                <w:rFonts w:ascii="Verdana" w:hAnsi="Verdana"/>
                <w:sz w:val="16"/>
                <w:szCs w:val="16"/>
                <w:lang w:val="bg-BG"/>
              </w:rPr>
              <w:t>липсва</w:t>
            </w:r>
          </w:p>
        </w:tc>
        <w:tc>
          <w:tcPr>
            <w:tcW w:w="991" w:type="dxa"/>
            <w:vAlign w:val="center"/>
          </w:tcPr>
          <w:p w:rsidR="005A01D9" w:rsidRDefault="005A01D9" w:rsidP="00B122A1">
            <w:r w:rsidRPr="003E40DD">
              <w:rPr>
                <w:rFonts w:ascii="Verdana" w:hAnsi="Verdana"/>
                <w:sz w:val="16"/>
                <w:szCs w:val="16"/>
                <w:lang w:val="bg-BG"/>
              </w:rPr>
              <w:t>липсва</w:t>
            </w:r>
          </w:p>
        </w:tc>
        <w:tc>
          <w:tcPr>
            <w:tcW w:w="3092"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B34C5C">
              <w:rPr>
                <w:rFonts w:ascii="Verdana" w:hAnsi="Verdana"/>
                <w:bCs/>
                <w:color w:val="000000"/>
                <w:sz w:val="16"/>
                <w:szCs w:val="16"/>
                <w:lang w:val="bg-BG"/>
              </w:rPr>
              <w:t>Не се заложени стойности</w:t>
            </w:r>
          </w:p>
        </w:tc>
      </w:tr>
      <w:tr w:rsidR="005A01D9" w:rsidRPr="00B45B4F" w:rsidTr="00B122A1">
        <w:trPr>
          <w:trHeight w:val="255"/>
        </w:trPr>
        <w:tc>
          <w:tcPr>
            <w:tcW w:w="2382" w:type="dxa"/>
            <w:vMerge/>
          </w:tcPr>
          <w:p w:rsidR="005A01D9" w:rsidRPr="00B45B4F" w:rsidRDefault="005A01D9" w:rsidP="00B122A1">
            <w:pPr>
              <w:autoSpaceDE w:val="0"/>
              <w:autoSpaceDN w:val="0"/>
              <w:adjustRightInd w:val="0"/>
              <w:spacing w:after="0" w:line="240" w:lineRule="auto"/>
              <w:jc w:val="both"/>
              <w:rPr>
                <w:rFonts w:ascii="Verdana" w:hAnsi="Verdana"/>
                <w:sz w:val="16"/>
                <w:szCs w:val="16"/>
                <w:lang w:val="bg-BG"/>
              </w:rPr>
            </w:pPr>
          </w:p>
        </w:tc>
        <w:tc>
          <w:tcPr>
            <w:tcW w:w="2041" w:type="dxa"/>
            <w:vAlign w:val="center"/>
          </w:tcPr>
          <w:p w:rsidR="005A01D9" w:rsidRPr="00531A1C" w:rsidRDefault="005A01D9" w:rsidP="00B122A1">
            <w:pPr>
              <w:spacing w:after="0" w:line="240" w:lineRule="auto"/>
              <w:rPr>
                <w:rFonts w:ascii="Verdana" w:hAnsi="Verdana"/>
                <w:sz w:val="16"/>
                <w:szCs w:val="16"/>
              </w:rPr>
            </w:pPr>
            <w:proofErr w:type="spellStart"/>
            <w:r w:rsidRPr="00531A1C">
              <w:rPr>
                <w:rFonts w:ascii="Verdana" w:hAnsi="Verdana"/>
                <w:sz w:val="16"/>
                <w:szCs w:val="16"/>
              </w:rPr>
              <w:t>Докторанти</w:t>
            </w:r>
            <w:proofErr w:type="spellEnd"/>
            <w:r w:rsidRPr="00531A1C">
              <w:rPr>
                <w:rFonts w:ascii="Verdana" w:hAnsi="Verdana"/>
                <w:sz w:val="16"/>
                <w:szCs w:val="16"/>
              </w:rPr>
              <w:t xml:space="preserve">, </w:t>
            </w:r>
            <w:proofErr w:type="spellStart"/>
            <w:r w:rsidRPr="00531A1C">
              <w:rPr>
                <w:rFonts w:ascii="Verdana" w:hAnsi="Verdana"/>
                <w:sz w:val="16"/>
                <w:szCs w:val="16"/>
              </w:rPr>
              <w:t>пост-докторанти</w:t>
            </w:r>
            <w:proofErr w:type="spellEnd"/>
            <w:r w:rsidRPr="00531A1C">
              <w:rPr>
                <w:rFonts w:ascii="Verdana" w:hAnsi="Verdana"/>
                <w:sz w:val="16"/>
                <w:szCs w:val="16"/>
              </w:rPr>
              <w:t xml:space="preserve">, </w:t>
            </w:r>
            <w:proofErr w:type="spellStart"/>
            <w:r w:rsidRPr="00531A1C">
              <w:rPr>
                <w:rFonts w:ascii="Verdana" w:hAnsi="Verdana"/>
                <w:sz w:val="16"/>
                <w:szCs w:val="16"/>
              </w:rPr>
              <w:t>специализанти</w:t>
            </w:r>
            <w:proofErr w:type="spellEnd"/>
            <w:r w:rsidRPr="00531A1C">
              <w:rPr>
                <w:rFonts w:ascii="Verdana" w:hAnsi="Verdana"/>
                <w:sz w:val="16"/>
                <w:szCs w:val="16"/>
              </w:rPr>
              <w:t xml:space="preserve">, </w:t>
            </w:r>
            <w:proofErr w:type="spellStart"/>
            <w:r w:rsidRPr="00531A1C">
              <w:rPr>
                <w:rFonts w:ascii="Verdana" w:hAnsi="Verdana"/>
                <w:sz w:val="16"/>
                <w:szCs w:val="16"/>
              </w:rPr>
              <w:t>преподаватели</w:t>
            </w:r>
            <w:proofErr w:type="spellEnd"/>
            <w:r w:rsidRPr="00531A1C">
              <w:rPr>
                <w:rFonts w:ascii="Verdana" w:hAnsi="Verdana"/>
                <w:sz w:val="16"/>
                <w:szCs w:val="16"/>
              </w:rPr>
              <w:t xml:space="preserve"> </w:t>
            </w:r>
            <w:proofErr w:type="spellStart"/>
            <w:r w:rsidRPr="00531A1C">
              <w:rPr>
                <w:rFonts w:ascii="Verdana" w:hAnsi="Verdana"/>
                <w:sz w:val="16"/>
                <w:szCs w:val="16"/>
              </w:rPr>
              <w:t>във</w:t>
            </w:r>
            <w:proofErr w:type="spellEnd"/>
            <w:r w:rsidRPr="00531A1C">
              <w:rPr>
                <w:rFonts w:ascii="Verdana" w:hAnsi="Verdana"/>
                <w:sz w:val="16"/>
                <w:szCs w:val="16"/>
              </w:rPr>
              <w:t xml:space="preserve"> </w:t>
            </w:r>
            <w:proofErr w:type="spellStart"/>
            <w:r w:rsidRPr="00531A1C">
              <w:rPr>
                <w:rFonts w:ascii="Verdana" w:hAnsi="Verdana"/>
                <w:sz w:val="16"/>
                <w:szCs w:val="16"/>
              </w:rPr>
              <w:t>висшите</w:t>
            </w:r>
            <w:proofErr w:type="spellEnd"/>
            <w:r w:rsidRPr="00531A1C">
              <w:rPr>
                <w:rFonts w:ascii="Verdana" w:hAnsi="Verdana"/>
                <w:sz w:val="16"/>
                <w:szCs w:val="16"/>
              </w:rPr>
              <w:t xml:space="preserve"> </w:t>
            </w:r>
            <w:proofErr w:type="spellStart"/>
            <w:r w:rsidRPr="00531A1C">
              <w:rPr>
                <w:rFonts w:ascii="Verdana" w:hAnsi="Verdana"/>
                <w:sz w:val="16"/>
                <w:szCs w:val="16"/>
              </w:rPr>
              <w:t>училища</w:t>
            </w:r>
            <w:proofErr w:type="spellEnd"/>
            <w:r w:rsidRPr="00531A1C">
              <w:rPr>
                <w:rFonts w:ascii="Verdana" w:hAnsi="Verdana"/>
                <w:sz w:val="16"/>
                <w:szCs w:val="16"/>
              </w:rPr>
              <w:t xml:space="preserve"> и </w:t>
            </w:r>
            <w:proofErr w:type="spellStart"/>
            <w:r w:rsidRPr="00531A1C">
              <w:rPr>
                <w:rFonts w:ascii="Verdana" w:hAnsi="Verdana"/>
                <w:sz w:val="16"/>
                <w:szCs w:val="16"/>
              </w:rPr>
              <w:t>изследователи</w:t>
            </w:r>
            <w:proofErr w:type="spellEnd"/>
            <w:r w:rsidRPr="00531A1C">
              <w:rPr>
                <w:rFonts w:ascii="Verdana" w:hAnsi="Verdana"/>
                <w:sz w:val="16"/>
                <w:szCs w:val="16"/>
              </w:rPr>
              <w:t xml:space="preserve"> </w:t>
            </w:r>
            <w:proofErr w:type="spellStart"/>
            <w:r w:rsidRPr="00531A1C">
              <w:rPr>
                <w:rFonts w:ascii="Verdana" w:hAnsi="Verdana"/>
                <w:sz w:val="16"/>
                <w:szCs w:val="16"/>
              </w:rPr>
              <w:t>от</w:t>
            </w:r>
            <w:proofErr w:type="spellEnd"/>
            <w:r w:rsidRPr="00531A1C">
              <w:rPr>
                <w:rFonts w:ascii="Verdana" w:hAnsi="Verdana"/>
                <w:sz w:val="16"/>
                <w:szCs w:val="16"/>
              </w:rPr>
              <w:t xml:space="preserve"> </w:t>
            </w:r>
            <w:proofErr w:type="spellStart"/>
            <w:r w:rsidRPr="00531A1C">
              <w:rPr>
                <w:rFonts w:ascii="Verdana" w:hAnsi="Verdana"/>
                <w:sz w:val="16"/>
                <w:szCs w:val="16"/>
              </w:rPr>
              <w:t>чуждестранни</w:t>
            </w:r>
            <w:proofErr w:type="spellEnd"/>
            <w:r w:rsidRPr="00531A1C">
              <w:rPr>
                <w:rFonts w:ascii="Verdana" w:hAnsi="Verdana"/>
                <w:sz w:val="16"/>
                <w:szCs w:val="16"/>
              </w:rPr>
              <w:t xml:space="preserve"> </w:t>
            </w:r>
            <w:proofErr w:type="spellStart"/>
            <w:r w:rsidRPr="00531A1C">
              <w:rPr>
                <w:rFonts w:ascii="Verdana" w:hAnsi="Verdana"/>
                <w:sz w:val="16"/>
                <w:szCs w:val="16"/>
              </w:rPr>
              <w:t>европейски</w:t>
            </w:r>
            <w:proofErr w:type="spellEnd"/>
            <w:r w:rsidRPr="00531A1C">
              <w:rPr>
                <w:rFonts w:ascii="Verdana" w:hAnsi="Verdana"/>
                <w:sz w:val="16"/>
                <w:szCs w:val="16"/>
              </w:rPr>
              <w:t xml:space="preserve"> </w:t>
            </w:r>
            <w:proofErr w:type="spellStart"/>
            <w:r w:rsidRPr="00531A1C">
              <w:rPr>
                <w:rFonts w:ascii="Verdana" w:hAnsi="Verdana"/>
                <w:sz w:val="16"/>
                <w:szCs w:val="16"/>
              </w:rPr>
              <w:t>университети</w:t>
            </w:r>
            <w:proofErr w:type="spellEnd"/>
            <w:r w:rsidRPr="00531A1C">
              <w:rPr>
                <w:rFonts w:ascii="Verdana" w:hAnsi="Verdana"/>
                <w:sz w:val="16"/>
                <w:szCs w:val="16"/>
              </w:rPr>
              <w:t xml:space="preserve"> и </w:t>
            </w:r>
            <w:proofErr w:type="spellStart"/>
            <w:r w:rsidRPr="00531A1C">
              <w:rPr>
                <w:rFonts w:ascii="Verdana" w:hAnsi="Verdana"/>
                <w:sz w:val="16"/>
                <w:szCs w:val="16"/>
              </w:rPr>
              <w:t>изследователски</w:t>
            </w:r>
            <w:proofErr w:type="spellEnd"/>
            <w:r w:rsidRPr="00531A1C">
              <w:rPr>
                <w:rFonts w:ascii="Verdana" w:hAnsi="Verdana"/>
                <w:sz w:val="16"/>
                <w:szCs w:val="16"/>
              </w:rPr>
              <w:t xml:space="preserve"> </w:t>
            </w:r>
            <w:proofErr w:type="spellStart"/>
            <w:r w:rsidRPr="00531A1C">
              <w:rPr>
                <w:rFonts w:ascii="Verdana" w:hAnsi="Verdana"/>
                <w:sz w:val="16"/>
                <w:szCs w:val="16"/>
              </w:rPr>
              <w:t>центрове</w:t>
            </w:r>
            <w:proofErr w:type="spellEnd"/>
            <w:r w:rsidRPr="00531A1C">
              <w:rPr>
                <w:rFonts w:ascii="Verdana" w:hAnsi="Verdana"/>
                <w:sz w:val="16"/>
                <w:szCs w:val="16"/>
              </w:rPr>
              <w:t xml:space="preserve"> в </w:t>
            </w:r>
            <w:proofErr w:type="spellStart"/>
            <w:r w:rsidRPr="00531A1C">
              <w:rPr>
                <w:rFonts w:ascii="Verdana" w:hAnsi="Verdana"/>
                <w:sz w:val="16"/>
                <w:szCs w:val="16"/>
              </w:rPr>
              <w:t>България</w:t>
            </w:r>
            <w:proofErr w:type="spellEnd"/>
            <w:r>
              <w:rPr>
                <w:rFonts w:ascii="Verdana" w:hAnsi="Verdana"/>
                <w:sz w:val="16"/>
                <w:szCs w:val="16"/>
                <w:lang w:val="bg-BG"/>
              </w:rPr>
              <w:t>,</w:t>
            </w:r>
            <w:r w:rsidRPr="00531A1C">
              <w:rPr>
                <w:rFonts w:ascii="Verdana" w:hAnsi="Verdana"/>
                <w:sz w:val="16"/>
                <w:szCs w:val="16"/>
              </w:rPr>
              <w:t xml:space="preserve"> </w:t>
            </w:r>
            <w:proofErr w:type="spellStart"/>
            <w:r w:rsidRPr="00531A1C">
              <w:rPr>
                <w:rFonts w:ascii="Verdana" w:hAnsi="Verdana"/>
                <w:sz w:val="16"/>
                <w:szCs w:val="16"/>
              </w:rPr>
              <w:t>включени</w:t>
            </w:r>
            <w:proofErr w:type="spellEnd"/>
            <w:r w:rsidRPr="00531A1C">
              <w:rPr>
                <w:rFonts w:ascii="Verdana" w:hAnsi="Verdana"/>
                <w:sz w:val="16"/>
                <w:szCs w:val="16"/>
              </w:rPr>
              <w:t xml:space="preserve"> в </w:t>
            </w:r>
            <w:proofErr w:type="spellStart"/>
            <w:r w:rsidRPr="00531A1C">
              <w:rPr>
                <w:rFonts w:ascii="Verdana" w:hAnsi="Verdana"/>
                <w:sz w:val="16"/>
                <w:szCs w:val="16"/>
              </w:rPr>
              <w:t>програми</w:t>
            </w:r>
            <w:proofErr w:type="spellEnd"/>
            <w:r w:rsidRPr="00531A1C">
              <w:rPr>
                <w:rFonts w:ascii="Verdana" w:hAnsi="Verdana"/>
                <w:sz w:val="16"/>
                <w:szCs w:val="16"/>
              </w:rPr>
              <w:t xml:space="preserve"> </w:t>
            </w:r>
            <w:proofErr w:type="spellStart"/>
            <w:r w:rsidRPr="00531A1C">
              <w:rPr>
                <w:rFonts w:ascii="Verdana" w:hAnsi="Verdana"/>
                <w:sz w:val="16"/>
                <w:szCs w:val="16"/>
              </w:rPr>
              <w:t>за</w:t>
            </w:r>
            <w:proofErr w:type="spellEnd"/>
            <w:r w:rsidRPr="00531A1C">
              <w:rPr>
                <w:rFonts w:ascii="Verdana" w:hAnsi="Verdana"/>
                <w:sz w:val="16"/>
                <w:szCs w:val="16"/>
              </w:rPr>
              <w:t xml:space="preserve"> </w:t>
            </w:r>
            <w:proofErr w:type="spellStart"/>
            <w:r w:rsidRPr="00531A1C">
              <w:rPr>
                <w:rFonts w:ascii="Verdana" w:hAnsi="Verdana"/>
                <w:sz w:val="16"/>
                <w:szCs w:val="16"/>
              </w:rPr>
              <w:t>мобилност</w:t>
            </w:r>
            <w:proofErr w:type="spellEnd"/>
          </w:p>
        </w:tc>
        <w:tc>
          <w:tcPr>
            <w:tcW w:w="1414"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е уместен</w:t>
            </w:r>
          </w:p>
        </w:tc>
        <w:tc>
          <w:tcPr>
            <w:tcW w:w="1845" w:type="dxa"/>
            <w:gridSpan w:val="3"/>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Не е ясно кои точно изследователи от чуждестранни европейски университети ще се броят</w:t>
            </w:r>
          </w:p>
        </w:tc>
        <w:tc>
          <w:tcPr>
            <w:tcW w:w="992"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Брой</w:t>
            </w:r>
          </w:p>
        </w:tc>
        <w:tc>
          <w:tcPr>
            <w:tcW w:w="867" w:type="dxa"/>
            <w:vAlign w:val="center"/>
          </w:tcPr>
          <w:p w:rsidR="005A01D9" w:rsidRPr="00B45B4F" w:rsidRDefault="005A01D9" w:rsidP="00B122A1">
            <w:pPr>
              <w:widowControl w:val="0"/>
              <w:tabs>
                <w:tab w:val="left" w:pos="0"/>
                <w:tab w:val="right" w:pos="9214"/>
              </w:tabs>
              <w:spacing w:after="0" w:line="240" w:lineRule="auto"/>
              <w:rPr>
                <w:rFonts w:ascii="Verdana" w:hAnsi="Verdana"/>
                <w:sz w:val="16"/>
                <w:szCs w:val="16"/>
                <w:lang w:val="bg-BG"/>
              </w:rPr>
            </w:pPr>
            <w:r w:rsidRPr="00DF020C">
              <w:rPr>
                <w:rFonts w:ascii="Verdana" w:hAnsi="Verdana"/>
                <w:bCs/>
                <w:color w:val="000000"/>
                <w:sz w:val="16"/>
                <w:szCs w:val="16"/>
                <w:lang w:val="bg-BG"/>
              </w:rPr>
              <w:t>4 643</w:t>
            </w:r>
          </w:p>
        </w:tc>
        <w:tc>
          <w:tcPr>
            <w:tcW w:w="1260"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7 000</w:t>
            </w:r>
          </w:p>
        </w:tc>
        <w:tc>
          <w:tcPr>
            <w:tcW w:w="991"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13 000</w:t>
            </w:r>
          </w:p>
        </w:tc>
        <w:tc>
          <w:tcPr>
            <w:tcW w:w="3092"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Не е ясна методологията, по която са изчислени стойностите на индикатора. Предвид на предвидената подкрепа, заложените стойности изглеждат реалистични.</w:t>
            </w:r>
          </w:p>
        </w:tc>
      </w:tr>
      <w:tr w:rsidR="005A01D9" w:rsidRPr="00B45B4F" w:rsidTr="00B122A1">
        <w:trPr>
          <w:trHeight w:val="405"/>
        </w:trPr>
        <w:tc>
          <w:tcPr>
            <w:tcW w:w="2382" w:type="dxa"/>
            <w:vMerge/>
          </w:tcPr>
          <w:p w:rsidR="005A01D9" w:rsidRPr="00B45B4F" w:rsidRDefault="005A01D9" w:rsidP="00B122A1">
            <w:pPr>
              <w:autoSpaceDE w:val="0"/>
              <w:autoSpaceDN w:val="0"/>
              <w:adjustRightInd w:val="0"/>
              <w:spacing w:after="0" w:line="240" w:lineRule="auto"/>
              <w:jc w:val="both"/>
              <w:rPr>
                <w:rFonts w:ascii="Verdana" w:hAnsi="Verdana"/>
                <w:sz w:val="16"/>
                <w:szCs w:val="16"/>
                <w:lang w:val="bg-BG"/>
              </w:rPr>
            </w:pPr>
          </w:p>
        </w:tc>
        <w:tc>
          <w:tcPr>
            <w:tcW w:w="2041" w:type="dxa"/>
            <w:vAlign w:val="center"/>
          </w:tcPr>
          <w:p w:rsidR="005A01D9" w:rsidRPr="00531A1C" w:rsidRDefault="005A01D9" w:rsidP="00B122A1">
            <w:pPr>
              <w:spacing w:after="0" w:line="240" w:lineRule="auto"/>
              <w:rPr>
                <w:rFonts w:ascii="Verdana" w:hAnsi="Verdana"/>
                <w:sz w:val="16"/>
                <w:szCs w:val="16"/>
              </w:rPr>
            </w:pPr>
            <w:proofErr w:type="spellStart"/>
            <w:r w:rsidRPr="00531A1C">
              <w:rPr>
                <w:rFonts w:ascii="Verdana" w:hAnsi="Verdana"/>
                <w:sz w:val="16"/>
                <w:szCs w:val="16"/>
              </w:rPr>
              <w:t>Ученици</w:t>
            </w:r>
            <w:proofErr w:type="spellEnd"/>
            <w:r>
              <w:rPr>
                <w:rFonts w:ascii="Verdana" w:hAnsi="Verdana"/>
                <w:sz w:val="16"/>
                <w:szCs w:val="16"/>
                <w:lang w:val="bg-BG"/>
              </w:rPr>
              <w:t>,</w:t>
            </w:r>
            <w:r w:rsidRPr="00531A1C">
              <w:rPr>
                <w:rFonts w:ascii="Verdana" w:hAnsi="Verdana"/>
                <w:sz w:val="16"/>
                <w:szCs w:val="16"/>
              </w:rPr>
              <w:t xml:space="preserve"> </w:t>
            </w:r>
            <w:proofErr w:type="spellStart"/>
            <w:r w:rsidRPr="00531A1C">
              <w:rPr>
                <w:rFonts w:ascii="Verdana" w:hAnsi="Verdana"/>
                <w:sz w:val="16"/>
                <w:szCs w:val="16"/>
              </w:rPr>
              <w:t>обхванати</w:t>
            </w:r>
            <w:proofErr w:type="spellEnd"/>
            <w:r w:rsidRPr="00531A1C">
              <w:rPr>
                <w:rFonts w:ascii="Verdana" w:hAnsi="Verdana"/>
                <w:sz w:val="16"/>
                <w:szCs w:val="16"/>
              </w:rPr>
              <w:t xml:space="preserve"> </w:t>
            </w:r>
            <w:proofErr w:type="spellStart"/>
            <w:r w:rsidRPr="00531A1C">
              <w:rPr>
                <w:rFonts w:ascii="Verdana" w:hAnsi="Verdana"/>
                <w:sz w:val="16"/>
                <w:szCs w:val="16"/>
              </w:rPr>
              <w:t>от</w:t>
            </w:r>
            <w:proofErr w:type="spellEnd"/>
            <w:r w:rsidRPr="00531A1C">
              <w:rPr>
                <w:rFonts w:ascii="Verdana" w:hAnsi="Verdana"/>
                <w:sz w:val="16"/>
                <w:szCs w:val="16"/>
              </w:rPr>
              <w:t xml:space="preserve"> </w:t>
            </w:r>
            <w:proofErr w:type="spellStart"/>
            <w:r w:rsidRPr="00531A1C">
              <w:rPr>
                <w:rFonts w:ascii="Verdana" w:hAnsi="Verdana"/>
                <w:sz w:val="16"/>
                <w:szCs w:val="16"/>
              </w:rPr>
              <w:t>системата</w:t>
            </w:r>
            <w:proofErr w:type="spellEnd"/>
            <w:r w:rsidRPr="00531A1C">
              <w:rPr>
                <w:rFonts w:ascii="Verdana" w:hAnsi="Verdana"/>
                <w:sz w:val="16"/>
                <w:szCs w:val="16"/>
              </w:rPr>
              <w:t xml:space="preserve"> </w:t>
            </w:r>
            <w:proofErr w:type="spellStart"/>
            <w:r w:rsidRPr="00531A1C">
              <w:rPr>
                <w:rFonts w:ascii="Verdana" w:hAnsi="Verdana"/>
                <w:sz w:val="16"/>
                <w:szCs w:val="16"/>
              </w:rPr>
              <w:t>за</w:t>
            </w:r>
            <w:proofErr w:type="spellEnd"/>
            <w:r w:rsidRPr="00531A1C">
              <w:rPr>
                <w:rFonts w:ascii="Verdana" w:hAnsi="Verdana"/>
                <w:sz w:val="16"/>
                <w:szCs w:val="16"/>
              </w:rPr>
              <w:t xml:space="preserve"> </w:t>
            </w:r>
            <w:proofErr w:type="spellStart"/>
            <w:r w:rsidRPr="00531A1C">
              <w:rPr>
                <w:rFonts w:ascii="Verdana" w:hAnsi="Verdana"/>
                <w:sz w:val="16"/>
                <w:szCs w:val="16"/>
              </w:rPr>
              <w:t>кариерно</w:t>
            </w:r>
            <w:proofErr w:type="spellEnd"/>
            <w:r w:rsidRPr="00531A1C">
              <w:rPr>
                <w:rFonts w:ascii="Verdana" w:hAnsi="Verdana"/>
                <w:sz w:val="16"/>
                <w:szCs w:val="16"/>
              </w:rPr>
              <w:t xml:space="preserve"> </w:t>
            </w:r>
            <w:proofErr w:type="spellStart"/>
            <w:r w:rsidRPr="00531A1C">
              <w:rPr>
                <w:rFonts w:ascii="Verdana" w:hAnsi="Verdana"/>
                <w:sz w:val="16"/>
                <w:szCs w:val="16"/>
              </w:rPr>
              <w:t>ориентиране</w:t>
            </w:r>
            <w:proofErr w:type="spellEnd"/>
            <w:r w:rsidRPr="00531A1C">
              <w:rPr>
                <w:rFonts w:ascii="Verdana" w:hAnsi="Verdana"/>
                <w:sz w:val="16"/>
                <w:szCs w:val="16"/>
              </w:rPr>
              <w:t>.</w:t>
            </w:r>
          </w:p>
        </w:tc>
        <w:tc>
          <w:tcPr>
            <w:tcW w:w="1414"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е уместен</w:t>
            </w:r>
          </w:p>
        </w:tc>
        <w:tc>
          <w:tcPr>
            <w:tcW w:w="1845" w:type="dxa"/>
            <w:gridSpan w:val="3"/>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е ясен</w:t>
            </w:r>
          </w:p>
        </w:tc>
        <w:tc>
          <w:tcPr>
            <w:tcW w:w="992"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w:t>
            </w:r>
          </w:p>
        </w:tc>
        <w:tc>
          <w:tcPr>
            <w:tcW w:w="867" w:type="dxa"/>
            <w:vAlign w:val="center"/>
          </w:tcPr>
          <w:p w:rsidR="005A01D9" w:rsidRPr="00DF020C"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DF020C">
              <w:rPr>
                <w:rFonts w:ascii="Verdana" w:hAnsi="Verdana"/>
                <w:bCs/>
                <w:color w:val="000000"/>
                <w:sz w:val="16"/>
                <w:szCs w:val="16"/>
                <w:lang w:val="bg-BG"/>
              </w:rPr>
              <w:t>25</w:t>
            </w:r>
          </w:p>
        </w:tc>
        <w:tc>
          <w:tcPr>
            <w:tcW w:w="1260"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40</w:t>
            </w:r>
          </w:p>
        </w:tc>
        <w:tc>
          <w:tcPr>
            <w:tcW w:w="991"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50</w:t>
            </w:r>
          </w:p>
        </w:tc>
        <w:tc>
          <w:tcPr>
            <w:tcW w:w="3092"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Не е ясна методологията, по която са изчислени стойностите на индикатора. Предвид на предвидената подкрепа, заложените стойности изглеждат реалистични.</w:t>
            </w:r>
          </w:p>
        </w:tc>
      </w:tr>
      <w:tr w:rsidR="005A01D9" w:rsidRPr="00B45B4F" w:rsidTr="00B122A1">
        <w:tc>
          <w:tcPr>
            <w:tcW w:w="14884" w:type="dxa"/>
            <w:gridSpan w:val="11"/>
            <w:shd w:val="clear" w:color="auto" w:fill="F2DBDB" w:themeFill="accent2" w:themeFillTint="33"/>
          </w:tcPr>
          <w:p w:rsidR="005A01D9" w:rsidRPr="006E5A29" w:rsidRDefault="005A01D9" w:rsidP="00B122A1">
            <w:pPr>
              <w:widowControl w:val="0"/>
              <w:tabs>
                <w:tab w:val="left" w:pos="0"/>
                <w:tab w:val="right" w:pos="9214"/>
              </w:tabs>
              <w:spacing w:after="0" w:line="240" w:lineRule="auto"/>
              <w:jc w:val="both"/>
              <w:rPr>
                <w:rFonts w:ascii="Verdana" w:hAnsi="Verdana"/>
                <w:bCs/>
                <w:color w:val="000000"/>
                <w:sz w:val="16"/>
                <w:szCs w:val="16"/>
                <w:lang w:val="bg-BG"/>
              </w:rPr>
            </w:pPr>
            <w:r w:rsidRPr="006E5A29">
              <w:rPr>
                <w:rFonts w:ascii="Verdana" w:hAnsi="Verdana"/>
                <w:b/>
                <w:sz w:val="16"/>
                <w:szCs w:val="16"/>
                <w:lang w:val="bg-BG"/>
              </w:rPr>
              <w:lastRenderedPageBreak/>
              <w:t>ИП4.</w:t>
            </w:r>
            <w:r w:rsidRPr="006E5A29">
              <w:rPr>
                <w:rFonts w:ascii="Verdana" w:hAnsi="Verdana"/>
                <w:sz w:val="16"/>
                <w:szCs w:val="16"/>
                <w:lang w:val="bg-BG"/>
              </w:rPr>
              <w:t xml:space="preserve"> </w:t>
            </w:r>
            <w:r w:rsidRPr="006E5A29">
              <w:rPr>
                <w:rFonts w:ascii="Verdana" w:hAnsi="Verdana" w:cs="Arial Narrow"/>
                <w:i/>
                <w:color w:val="000000"/>
                <w:sz w:val="16"/>
                <w:szCs w:val="16"/>
                <w:lang w:val="bg-BG"/>
              </w:rPr>
              <w:t>Подобряване на адекватността на системите за образование и обучение спрямо пазара на труда, улесняване на прехода от образование към работа и укрепване на професионалното образование и системите на обучение, както и тяхното качество, включително чрез механизми за предвиждане на уменията, адаптиране на учебните програми и създаване и развитие на основаващи се на работата системи за учене, включително двойни системи на учене и схеми за чиракуване.</w:t>
            </w:r>
          </w:p>
        </w:tc>
      </w:tr>
      <w:tr w:rsidR="005A01D9" w:rsidRPr="00B45B4F" w:rsidTr="00B122A1">
        <w:tc>
          <w:tcPr>
            <w:tcW w:w="2382" w:type="dxa"/>
            <w:vMerge w:val="restart"/>
            <w:shd w:val="clear" w:color="auto" w:fill="auto"/>
            <w:vAlign w:val="center"/>
          </w:tcPr>
          <w:p w:rsidR="005A01D9" w:rsidRDefault="005A01D9" w:rsidP="00B122A1">
            <w:pPr>
              <w:autoSpaceDE w:val="0"/>
              <w:autoSpaceDN w:val="0"/>
              <w:adjustRightInd w:val="0"/>
              <w:spacing w:after="0" w:line="240" w:lineRule="auto"/>
              <w:rPr>
                <w:rFonts w:ascii="Verdana" w:hAnsi="Verdana"/>
                <w:sz w:val="16"/>
                <w:szCs w:val="16"/>
                <w:lang w:val="bg-BG"/>
              </w:rPr>
            </w:pPr>
            <w:r>
              <w:rPr>
                <w:rFonts w:ascii="Verdana" w:hAnsi="Verdana"/>
                <w:sz w:val="16"/>
                <w:szCs w:val="16"/>
                <w:lang w:val="bg-BG"/>
              </w:rPr>
              <w:t>СЦ1.</w:t>
            </w:r>
            <w:r w:rsidRPr="00B45B4F">
              <w:rPr>
                <w:rFonts w:ascii="Verdana" w:hAnsi="Verdana"/>
                <w:sz w:val="16"/>
                <w:szCs w:val="16"/>
                <w:lang w:val="bg-BG"/>
              </w:rPr>
              <w:t>Повишаване на привлекателността и подобряване на качеството на професионалното образование и обучение</w:t>
            </w:r>
          </w:p>
          <w:p w:rsidR="005A01D9" w:rsidRDefault="005A01D9" w:rsidP="00B122A1">
            <w:pPr>
              <w:autoSpaceDE w:val="0"/>
              <w:autoSpaceDN w:val="0"/>
              <w:adjustRightInd w:val="0"/>
              <w:spacing w:after="0" w:line="240" w:lineRule="auto"/>
              <w:rPr>
                <w:rFonts w:ascii="Verdana" w:hAnsi="Verdana"/>
                <w:sz w:val="16"/>
                <w:szCs w:val="16"/>
                <w:lang w:val="bg-BG"/>
              </w:rPr>
            </w:pPr>
          </w:p>
          <w:p w:rsidR="005A01D9" w:rsidRDefault="005A01D9" w:rsidP="00B122A1">
            <w:pPr>
              <w:autoSpaceDE w:val="0"/>
              <w:autoSpaceDN w:val="0"/>
              <w:adjustRightInd w:val="0"/>
              <w:spacing w:after="0" w:line="240" w:lineRule="auto"/>
              <w:rPr>
                <w:rFonts w:ascii="Verdana" w:hAnsi="Verdana"/>
                <w:sz w:val="16"/>
                <w:szCs w:val="16"/>
                <w:lang w:val="bg-BG"/>
              </w:rPr>
            </w:pPr>
          </w:p>
          <w:p w:rsidR="005A01D9" w:rsidRDefault="005A01D9" w:rsidP="00B122A1">
            <w:pPr>
              <w:autoSpaceDE w:val="0"/>
              <w:autoSpaceDN w:val="0"/>
              <w:adjustRightInd w:val="0"/>
              <w:spacing w:after="0" w:line="240" w:lineRule="auto"/>
              <w:rPr>
                <w:rFonts w:ascii="Verdana" w:hAnsi="Verdana"/>
                <w:sz w:val="16"/>
                <w:szCs w:val="16"/>
                <w:lang w:val="bg-BG"/>
              </w:rPr>
            </w:pPr>
          </w:p>
          <w:p w:rsidR="005A01D9" w:rsidRDefault="005A01D9" w:rsidP="00B122A1">
            <w:pPr>
              <w:autoSpaceDE w:val="0"/>
              <w:autoSpaceDN w:val="0"/>
              <w:adjustRightInd w:val="0"/>
              <w:spacing w:after="0" w:line="240" w:lineRule="auto"/>
              <w:rPr>
                <w:rFonts w:ascii="Verdana" w:hAnsi="Verdana"/>
                <w:sz w:val="16"/>
                <w:szCs w:val="16"/>
                <w:lang w:val="bg-BG"/>
              </w:rPr>
            </w:pPr>
          </w:p>
          <w:p w:rsidR="005A01D9" w:rsidRPr="00B45B4F" w:rsidRDefault="005A01D9" w:rsidP="00B122A1">
            <w:pPr>
              <w:autoSpaceDE w:val="0"/>
              <w:autoSpaceDN w:val="0"/>
              <w:adjustRightInd w:val="0"/>
              <w:spacing w:after="0" w:line="240" w:lineRule="auto"/>
              <w:rPr>
                <w:rFonts w:ascii="Verdana" w:hAnsi="Verdana"/>
                <w:sz w:val="16"/>
                <w:szCs w:val="16"/>
                <w:lang w:val="bg-BG"/>
              </w:rPr>
            </w:pPr>
          </w:p>
          <w:p w:rsidR="005A01D9" w:rsidRDefault="005A01D9" w:rsidP="00B122A1">
            <w:pPr>
              <w:autoSpaceDE w:val="0"/>
              <w:autoSpaceDN w:val="0"/>
              <w:adjustRightInd w:val="0"/>
              <w:spacing w:after="0" w:line="240" w:lineRule="auto"/>
              <w:rPr>
                <w:rFonts w:ascii="Verdana" w:hAnsi="Verdana"/>
                <w:sz w:val="16"/>
                <w:szCs w:val="16"/>
                <w:lang w:val="bg-BG"/>
              </w:rPr>
            </w:pPr>
            <w:r>
              <w:rPr>
                <w:rFonts w:ascii="Verdana" w:hAnsi="Verdana"/>
                <w:sz w:val="16"/>
                <w:szCs w:val="16"/>
                <w:lang w:val="bg-BG"/>
              </w:rPr>
              <w:t>СЦ2.</w:t>
            </w:r>
            <w:r w:rsidRPr="00B45B4F">
              <w:rPr>
                <w:rFonts w:ascii="Verdana" w:hAnsi="Verdana"/>
                <w:sz w:val="16"/>
                <w:szCs w:val="16"/>
                <w:lang w:val="bg-BG"/>
              </w:rPr>
              <w:t>Насърчаване на връзките между професионалното образование и обучение, висшето образование, науката и бизнеса</w:t>
            </w:r>
          </w:p>
          <w:p w:rsidR="005A01D9" w:rsidRPr="00B45B4F" w:rsidRDefault="005A01D9" w:rsidP="00B122A1">
            <w:pPr>
              <w:autoSpaceDE w:val="0"/>
              <w:autoSpaceDN w:val="0"/>
              <w:adjustRightInd w:val="0"/>
              <w:spacing w:after="0" w:line="240" w:lineRule="auto"/>
              <w:rPr>
                <w:rFonts w:ascii="Verdana" w:hAnsi="Verdana"/>
                <w:sz w:val="16"/>
                <w:szCs w:val="16"/>
                <w:lang w:val="bg-BG"/>
              </w:rPr>
            </w:pPr>
          </w:p>
        </w:tc>
        <w:tc>
          <w:tcPr>
            <w:tcW w:w="2041" w:type="dxa"/>
            <w:shd w:val="clear" w:color="auto" w:fill="auto"/>
            <w:vAlign w:val="center"/>
          </w:tcPr>
          <w:p w:rsidR="005A01D9" w:rsidRPr="00B45B4F" w:rsidRDefault="005A01D9" w:rsidP="00B122A1">
            <w:pPr>
              <w:pStyle w:val="Default"/>
              <w:rPr>
                <w:rFonts w:ascii="Verdana" w:hAnsi="Verdana"/>
                <w:color w:val="auto"/>
                <w:sz w:val="16"/>
                <w:szCs w:val="16"/>
                <w:lang w:val="bg-BG"/>
              </w:rPr>
            </w:pPr>
            <w:r>
              <w:rPr>
                <w:rFonts w:ascii="Verdana" w:hAnsi="Verdana"/>
                <w:color w:val="auto"/>
                <w:sz w:val="16"/>
                <w:szCs w:val="16"/>
                <w:lang w:val="bg-BG"/>
              </w:rPr>
              <w:t>Ученици, участващи в различни форми на обучение в професионалното образование (модулно и обучение чрез работа)</w:t>
            </w:r>
          </w:p>
        </w:tc>
        <w:tc>
          <w:tcPr>
            <w:tcW w:w="1414" w:type="dxa"/>
            <w:shd w:val="clear" w:color="auto" w:fill="auto"/>
            <w:vAlign w:val="center"/>
          </w:tcPr>
          <w:p w:rsidR="005A01D9" w:rsidRPr="00665C27"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 xml:space="preserve">Индикаторът е уместен </w:t>
            </w:r>
          </w:p>
        </w:tc>
        <w:tc>
          <w:tcPr>
            <w:tcW w:w="1830" w:type="dxa"/>
            <w:gridSpan w:val="2"/>
            <w:shd w:val="clear" w:color="auto" w:fill="auto"/>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е ясен</w:t>
            </w:r>
          </w:p>
        </w:tc>
        <w:tc>
          <w:tcPr>
            <w:tcW w:w="1007" w:type="dxa"/>
            <w:gridSpan w:val="2"/>
            <w:shd w:val="clear" w:color="auto" w:fill="auto"/>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Брой</w:t>
            </w:r>
          </w:p>
        </w:tc>
        <w:tc>
          <w:tcPr>
            <w:tcW w:w="867" w:type="dxa"/>
            <w:shd w:val="clear" w:color="auto" w:fill="auto"/>
            <w:vAlign w:val="center"/>
          </w:tcPr>
          <w:p w:rsidR="005A01D9" w:rsidRPr="00DF020C"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DF020C">
              <w:rPr>
                <w:rFonts w:ascii="Verdana" w:hAnsi="Verdana"/>
                <w:bCs/>
                <w:color w:val="000000"/>
                <w:sz w:val="16"/>
                <w:szCs w:val="16"/>
                <w:lang w:val="bg-BG"/>
              </w:rPr>
              <w:t>липсва</w:t>
            </w:r>
          </w:p>
        </w:tc>
        <w:tc>
          <w:tcPr>
            <w:tcW w:w="1260" w:type="dxa"/>
            <w:shd w:val="clear" w:color="auto" w:fill="auto"/>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липсва</w:t>
            </w:r>
          </w:p>
        </w:tc>
        <w:tc>
          <w:tcPr>
            <w:tcW w:w="991" w:type="dxa"/>
            <w:shd w:val="clear" w:color="auto" w:fill="auto"/>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липсва</w:t>
            </w:r>
          </w:p>
        </w:tc>
        <w:tc>
          <w:tcPr>
            <w:tcW w:w="3092" w:type="dxa"/>
            <w:shd w:val="clear" w:color="auto" w:fill="auto"/>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B34C5C">
              <w:rPr>
                <w:rFonts w:ascii="Verdana" w:hAnsi="Verdana"/>
                <w:bCs/>
                <w:color w:val="000000"/>
                <w:sz w:val="16"/>
                <w:szCs w:val="16"/>
                <w:lang w:val="bg-BG"/>
              </w:rPr>
              <w:t>Не се заложени стойности</w:t>
            </w:r>
          </w:p>
        </w:tc>
      </w:tr>
      <w:tr w:rsidR="005A01D9" w:rsidRPr="00B45B4F" w:rsidTr="00B122A1">
        <w:trPr>
          <w:trHeight w:val="519"/>
        </w:trPr>
        <w:tc>
          <w:tcPr>
            <w:tcW w:w="2382" w:type="dxa"/>
            <w:vMerge/>
          </w:tcPr>
          <w:p w:rsidR="005A01D9" w:rsidRPr="00B45B4F" w:rsidRDefault="005A01D9" w:rsidP="00B122A1">
            <w:pPr>
              <w:autoSpaceDE w:val="0"/>
              <w:autoSpaceDN w:val="0"/>
              <w:adjustRightInd w:val="0"/>
              <w:spacing w:after="0" w:line="240" w:lineRule="auto"/>
              <w:jc w:val="both"/>
              <w:rPr>
                <w:rFonts w:ascii="Verdana" w:hAnsi="Verdana"/>
                <w:sz w:val="16"/>
                <w:szCs w:val="16"/>
                <w:lang w:val="bg-BG"/>
              </w:rPr>
            </w:pPr>
          </w:p>
        </w:tc>
        <w:tc>
          <w:tcPr>
            <w:tcW w:w="2041" w:type="dxa"/>
            <w:vAlign w:val="center"/>
          </w:tcPr>
          <w:p w:rsidR="005A01D9" w:rsidRPr="00B45B4F" w:rsidRDefault="005A01D9" w:rsidP="00B122A1">
            <w:pPr>
              <w:pStyle w:val="Default"/>
              <w:rPr>
                <w:rFonts w:ascii="Verdana" w:hAnsi="Verdana"/>
                <w:color w:val="auto"/>
                <w:sz w:val="16"/>
                <w:szCs w:val="16"/>
                <w:lang w:val="bg-BG"/>
              </w:rPr>
            </w:pPr>
            <w:r>
              <w:rPr>
                <w:rFonts w:ascii="Verdana" w:hAnsi="Verdana"/>
                <w:color w:val="auto"/>
                <w:sz w:val="16"/>
                <w:szCs w:val="16"/>
                <w:lang w:val="bg-BG"/>
              </w:rPr>
              <w:t>Ученици, обучаващи се в професионалните направление от приоритетните области на икономиката, определени в Стратегията за интелигентна специализация</w:t>
            </w:r>
          </w:p>
        </w:tc>
        <w:tc>
          <w:tcPr>
            <w:tcW w:w="1414"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 xml:space="preserve">Индикаторът е уместен </w:t>
            </w:r>
          </w:p>
        </w:tc>
        <w:tc>
          <w:tcPr>
            <w:tcW w:w="1830" w:type="dxa"/>
            <w:gridSpan w:val="2"/>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Необходимо е изрично ад се посочат кои са тези области</w:t>
            </w:r>
          </w:p>
        </w:tc>
        <w:tc>
          <w:tcPr>
            <w:tcW w:w="1007" w:type="dxa"/>
            <w:gridSpan w:val="2"/>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w:t>
            </w:r>
          </w:p>
        </w:tc>
        <w:tc>
          <w:tcPr>
            <w:tcW w:w="867" w:type="dxa"/>
            <w:vAlign w:val="center"/>
          </w:tcPr>
          <w:p w:rsidR="005A01D9" w:rsidRPr="00DF020C"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DF020C">
              <w:rPr>
                <w:rFonts w:ascii="Verdana" w:hAnsi="Verdana"/>
                <w:bCs/>
                <w:color w:val="000000"/>
                <w:sz w:val="16"/>
                <w:szCs w:val="16"/>
                <w:lang w:val="bg-BG"/>
              </w:rPr>
              <w:t>63</w:t>
            </w:r>
          </w:p>
        </w:tc>
        <w:tc>
          <w:tcPr>
            <w:tcW w:w="1260"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65</w:t>
            </w:r>
          </w:p>
        </w:tc>
        <w:tc>
          <w:tcPr>
            <w:tcW w:w="991"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68</w:t>
            </w:r>
          </w:p>
        </w:tc>
        <w:tc>
          <w:tcPr>
            <w:tcW w:w="3092" w:type="dxa"/>
          </w:tcPr>
          <w:p w:rsidR="005A01D9" w:rsidRDefault="005A01D9" w:rsidP="00B122A1">
            <w:r w:rsidRPr="00F7048E">
              <w:rPr>
                <w:rFonts w:ascii="Verdana" w:hAnsi="Verdana"/>
                <w:bCs/>
                <w:color w:val="000000"/>
                <w:sz w:val="16"/>
                <w:szCs w:val="16"/>
                <w:lang w:val="bg-BG"/>
              </w:rPr>
              <w:t>Не е ясна методологията, по която са изчислени стойностите на индикатора. Предвид на предвидената подкрепа, заложените стойности изглеждат реалистични.</w:t>
            </w:r>
          </w:p>
        </w:tc>
      </w:tr>
      <w:tr w:rsidR="005A01D9" w:rsidRPr="00B45B4F" w:rsidTr="00B122A1">
        <w:trPr>
          <w:trHeight w:val="930"/>
        </w:trPr>
        <w:tc>
          <w:tcPr>
            <w:tcW w:w="2382" w:type="dxa"/>
            <w:vMerge/>
          </w:tcPr>
          <w:p w:rsidR="005A01D9" w:rsidRPr="00B45B4F" w:rsidRDefault="005A01D9" w:rsidP="00B122A1">
            <w:pPr>
              <w:autoSpaceDE w:val="0"/>
              <w:autoSpaceDN w:val="0"/>
              <w:adjustRightInd w:val="0"/>
              <w:spacing w:after="0" w:line="240" w:lineRule="auto"/>
              <w:jc w:val="both"/>
              <w:rPr>
                <w:rFonts w:ascii="Verdana" w:hAnsi="Verdana"/>
                <w:sz w:val="16"/>
                <w:szCs w:val="16"/>
                <w:lang w:val="bg-BG"/>
              </w:rPr>
            </w:pPr>
          </w:p>
        </w:tc>
        <w:tc>
          <w:tcPr>
            <w:tcW w:w="2041" w:type="dxa"/>
            <w:vAlign w:val="center"/>
          </w:tcPr>
          <w:p w:rsidR="005A01D9" w:rsidRDefault="005A01D9" w:rsidP="00B122A1">
            <w:pPr>
              <w:pStyle w:val="Default"/>
              <w:rPr>
                <w:rFonts w:ascii="Verdana" w:hAnsi="Verdana"/>
                <w:color w:val="auto"/>
                <w:sz w:val="16"/>
                <w:szCs w:val="16"/>
                <w:lang w:val="bg-BG"/>
              </w:rPr>
            </w:pPr>
            <w:r>
              <w:rPr>
                <w:rFonts w:ascii="Verdana" w:hAnsi="Verdana"/>
                <w:color w:val="auto"/>
                <w:sz w:val="16"/>
                <w:szCs w:val="16"/>
                <w:lang w:val="bg-BG"/>
              </w:rPr>
              <w:t>Студенти, обучаващи се в област на висше образование „технически науки“</w:t>
            </w:r>
          </w:p>
        </w:tc>
        <w:tc>
          <w:tcPr>
            <w:tcW w:w="1414"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е уместен</w:t>
            </w:r>
          </w:p>
        </w:tc>
        <w:tc>
          <w:tcPr>
            <w:tcW w:w="1830" w:type="dxa"/>
            <w:gridSpan w:val="2"/>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е ясен</w:t>
            </w:r>
          </w:p>
        </w:tc>
        <w:tc>
          <w:tcPr>
            <w:tcW w:w="1007" w:type="dxa"/>
            <w:gridSpan w:val="2"/>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w:t>
            </w:r>
          </w:p>
        </w:tc>
        <w:tc>
          <w:tcPr>
            <w:tcW w:w="867" w:type="dxa"/>
            <w:vAlign w:val="center"/>
          </w:tcPr>
          <w:p w:rsidR="005A01D9" w:rsidRPr="00DF020C"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19,2</w:t>
            </w:r>
          </w:p>
        </w:tc>
        <w:tc>
          <w:tcPr>
            <w:tcW w:w="1260"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sz w:val="16"/>
                <w:szCs w:val="16"/>
                <w:lang w:val="bg-BG"/>
              </w:rPr>
              <w:t>22</w:t>
            </w:r>
          </w:p>
        </w:tc>
        <w:tc>
          <w:tcPr>
            <w:tcW w:w="991"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25</w:t>
            </w:r>
          </w:p>
        </w:tc>
        <w:tc>
          <w:tcPr>
            <w:tcW w:w="3092" w:type="dxa"/>
          </w:tcPr>
          <w:p w:rsidR="005A01D9" w:rsidRDefault="005A01D9" w:rsidP="00B122A1">
            <w:r w:rsidRPr="00F7048E">
              <w:rPr>
                <w:rFonts w:ascii="Verdana" w:hAnsi="Verdana"/>
                <w:bCs/>
                <w:color w:val="000000"/>
                <w:sz w:val="16"/>
                <w:szCs w:val="16"/>
                <w:lang w:val="bg-BG"/>
              </w:rPr>
              <w:t>Не е ясна методологията, по която са изчислени стойностите на индикатора. Предвид на предвидената подкрепа, заложените стойности изглеждат реалистични.</w:t>
            </w:r>
          </w:p>
        </w:tc>
      </w:tr>
      <w:tr w:rsidR="005A01D9" w:rsidRPr="00B45B4F" w:rsidTr="00B122A1">
        <w:tc>
          <w:tcPr>
            <w:tcW w:w="14884" w:type="dxa"/>
            <w:gridSpan w:val="11"/>
            <w:shd w:val="clear" w:color="auto" w:fill="B8CCE4" w:themeFill="accent1" w:themeFillTint="66"/>
          </w:tcPr>
          <w:p w:rsidR="005A01D9" w:rsidRPr="00B45B4F" w:rsidRDefault="005A01D9" w:rsidP="00637FBD">
            <w:pPr>
              <w:keepNext/>
              <w:tabs>
                <w:tab w:val="left" w:pos="0"/>
                <w:tab w:val="right" w:pos="9214"/>
              </w:tabs>
              <w:spacing w:after="0" w:line="240" w:lineRule="auto"/>
              <w:jc w:val="both"/>
              <w:rPr>
                <w:rFonts w:ascii="Verdana" w:hAnsi="Verdana"/>
                <w:b/>
                <w:bCs/>
                <w:color w:val="000000"/>
                <w:sz w:val="16"/>
                <w:szCs w:val="16"/>
                <w:lang w:val="bg-BG"/>
              </w:rPr>
            </w:pPr>
            <w:r w:rsidRPr="00B45B4F">
              <w:rPr>
                <w:rFonts w:ascii="Verdana" w:hAnsi="Verdana"/>
                <w:b/>
                <w:sz w:val="16"/>
                <w:szCs w:val="16"/>
                <w:lang w:val="bg-BG"/>
              </w:rPr>
              <w:lastRenderedPageBreak/>
              <w:t>3. Образователна среда за активно социално приобщаване</w:t>
            </w:r>
          </w:p>
        </w:tc>
      </w:tr>
      <w:tr w:rsidR="005A01D9" w:rsidRPr="00B45B4F" w:rsidTr="00B122A1">
        <w:tc>
          <w:tcPr>
            <w:tcW w:w="14884" w:type="dxa"/>
            <w:gridSpan w:val="11"/>
            <w:shd w:val="clear" w:color="auto" w:fill="F2DBDB" w:themeFill="accent2" w:themeFillTint="33"/>
          </w:tcPr>
          <w:p w:rsidR="005A01D9" w:rsidRPr="00983D02" w:rsidRDefault="005A01D9" w:rsidP="00637FBD">
            <w:pPr>
              <w:keepNext/>
              <w:tabs>
                <w:tab w:val="left" w:pos="0"/>
                <w:tab w:val="right" w:pos="9214"/>
              </w:tabs>
              <w:spacing w:after="0" w:line="240" w:lineRule="auto"/>
              <w:jc w:val="both"/>
              <w:rPr>
                <w:rFonts w:ascii="Verdana" w:hAnsi="Verdana"/>
                <w:b/>
                <w:sz w:val="16"/>
                <w:szCs w:val="16"/>
                <w:lang w:val="bg-BG"/>
              </w:rPr>
            </w:pPr>
            <w:r w:rsidRPr="00983D02">
              <w:rPr>
                <w:rFonts w:ascii="Verdana" w:hAnsi="Verdana"/>
                <w:b/>
                <w:sz w:val="16"/>
                <w:szCs w:val="16"/>
                <w:lang w:val="bg-BG"/>
              </w:rPr>
              <w:t xml:space="preserve">ИП1. </w:t>
            </w:r>
            <w:r w:rsidRPr="00983D02">
              <w:rPr>
                <w:rFonts w:ascii="Verdana" w:hAnsi="Verdana" w:cs="Arial Narrow"/>
                <w:i/>
                <w:color w:val="000000"/>
                <w:sz w:val="16"/>
                <w:szCs w:val="16"/>
                <w:lang w:val="bg-BG"/>
              </w:rPr>
              <w:t>Активно приобщаване, включително с оглед на насърчаване на равните възможности и активното участие и по-добрата пригодност за заетост.</w:t>
            </w:r>
          </w:p>
        </w:tc>
      </w:tr>
      <w:tr w:rsidR="005A01D9" w:rsidRPr="00B45B4F" w:rsidTr="00B122A1">
        <w:trPr>
          <w:trHeight w:val="3306"/>
        </w:trPr>
        <w:tc>
          <w:tcPr>
            <w:tcW w:w="2382" w:type="dxa"/>
          </w:tcPr>
          <w:p w:rsidR="005A01D9" w:rsidRDefault="005A01D9" w:rsidP="00B122A1">
            <w:pPr>
              <w:autoSpaceDE w:val="0"/>
              <w:autoSpaceDN w:val="0"/>
              <w:adjustRightInd w:val="0"/>
              <w:spacing w:after="0" w:line="240" w:lineRule="auto"/>
              <w:jc w:val="both"/>
              <w:rPr>
                <w:rFonts w:ascii="Verdana" w:hAnsi="Verdana"/>
                <w:sz w:val="16"/>
                <w:szCs w:val="16"/>
                <w:lang w:val="bg-BG"/>
              </w:rPr>
            </w:pPr>
            <w:r>
              <w:rPr>
                <w:rFonts w:ascii="Verdana" w:hAnsi="Verdana"/>
                <w:sz w:val="16"/>
                <w:szCs w:val="16"/>
                <w:lang w:val="bg-BG"/>
              </w:rPr>
              <w:t>СЦ1.</w:t>
            </w:r>
            <w:r w:rsidRPr="00B45B4F">
              <w:rPr>
                <w:rFonts w:ascii="Verdana" w:hAnsi="Verdana"/>
                <w:sz w:val="16"/>
                <w:szCs w:val="16"/>
                <w:lang w:val="bg-BG"/>
              </w:rPr>
              <w:t>Повишаване на качеството и подобряване на достъпа до образование чрез създаване на подкрепяща среда за включващо образование</w:t>
            </w:r>
          </w:p>
          <w:p w:rsidR="005A01D9" w:rsidRPr="00B45B4F" w:rsidRDefault="005A01D9" w:rsidP="00B122A1">
            <w:pPr>
              <w:autoSpaceDE w:val="0"/>
              <w:autoSpaceDN w:val="0"/>
              <w:adjustRightInd w:val="0"/>
              <w:spacing w:after="0" w:line="240" w:lineRule="auto"/>
              <w:jc w:val="both"/>
              <w:rPr>
                <w:rFonts w:ascii="Verdana" w:hAnsi="Verdana"/>
                <w:sz w:val="16"/>
                <w:szCs w:val="16"/>
                <w:lang w:val="bg-BG"/>
              </w:rPr>
            </w:pPr>
          </w:p>
          <w:p w:rsidR="005A01D9" w:rsidRPr="00B45B4F" w:rsidRDefault="005A01D9" w:rsidP="00B122A1">
            <w:pPr>
              <w:autoSpaceDE w:val="0"/>
              <w:autoSpaceDN w:val="0"/>
              <w:adjustRightInd w:val="0"/>
              <w:spacing w:after="0" w:line="240" w:lineRule="auto"/>
              <w:jc w:val="both"/>
              <w:rPr>
                <w:rFonts w:ascii="Verdana" w:hAnsi="Verdana"/>
                <w:sz w:val="16"/>
                <w:szCs w:val="16"/>
                <w:lang w:val="bg-BG"/>
              </w:rPr>
            </w:pPr>
            <w:r>
              <w:rPr>
                <w:rFonts w:ascii="Verdana" w:hAnsi="Verdana"/>
                <w:sz w:val="16"/>
                <w:szCs w:val="16"/>
                <w:lang w:val="bg-BG"/>
              </w:rPr>
              <w:t>СЦ2.</w:t>
            </w:r>
            <w:r w:rsidRPr="00B45B4F">
              <w:rPr>
                <w:rFonts w:ascii="Verdana" w:hAnsi="Verdana"/>
                <w:sz w:val="16"/>
                <w:szCs w:val="16"/>
                <w:lang w:val="bg-BG"/>
              </w:rPr>
              <w:t>Изграждане на образователна среда, насърчаваща разгръщането на потенциала на всяко дете и ученик за личностно развитие, успешна реализация и  социализация</w:t>
            </w:r>
          </w:p>
        </w:tc>
        <w:tc>
          <w:tcPr>
            <w:tcW w:w="2041" w:type="dxa"/>
            <w:vAlign w:val="center"/>
          </w:tcPr>
          <w:p w:rsidR="005A01D9" w:rsidRPr="00B45B4F" w:rsidRDefault="005A01D9" w:rsidP="00B122A1">
            <w:pPr>
              <w:pStyle w:val="Default"/>
              <w:rPr>
                <w:rFonts w:ascii="Verdana" w:hAnsi="Verdana"/>
                <w:bCs/>
                <w:color w:val="auto"/>
                <w:sz w:val="16"/>
                <w:szCs w:val="16"/>
                <w:lang w:val="bg-BG"/>
              </w:rPr>
            </w:pPr>
            <w:r w:rsidRPr="00B45B4F">
              <w:rPr>
                <w:rFonts w:ascii="Verdana" w:hAnsi="Verdana"/>
                <w:iCs/>
                <w:color w:val="auto"/>
                <w:sz w:val="16"/>
                <w:szCs w:val="16"/>
                <w:lang w:val="bg-BG"/>
              </w:rPr>
              <w:t>Деца и ученици със специални образователни потребности, обхванати в системата на образованието чрез включващо обучение</w:t>
            </w:r>
          </w:p>
        </w:tc>
        <w:tc>
          <w:tcPr>
            <w:tcW w:w="1414" w:type="dxa"/>
            <w:vAlign w:val="center"/>
          </w:tcPr>
          <w:p w:rsidR="005A01D9" w:rsidRPr="00B66B3E"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B66B3E">
              <w:rPr>
                <w:rFonts w:ascii="Verdana" w:hAnsi="Verdana"/>
                <w:bCs/>
                <w:color w:val="000000"/>
                <w:sz w:val="16"/>
                <w:szCs w:val="16"/>
                <w:lang w:val="bg-BG"/>
              </w:rPr>
              <w:t>Индикаторът е уместен</w:t>
            </w:r>
          </w:p>
        </w:tc>
        <w:tc>
          <w:tcPr>
            <w:tcW w:w="1845" w:type="dxa"/>
            <w:gridSpan w:val="3"/>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В индикаторните фишове, следва да се уточни какво се има предвид под „включващо обучение“</w:t>
            </w:r>
          </w:p>
        </w:tc>
        <w:tc>
          <w:tcPr>
            <w:tcW w:w="992"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Брой</w:t>
            </w:r>
          </w:p>
        </w:tc>
        <w:tc>
          <w:tcPr>
            <w:tcW w:w="867" w:type="dxa"/>
            <w:vAlign w:val="center"/>
          </w:tcPr>
          <w:p w:rsidR="005A01D9" w:rsidRPr="00B45B4F" w:rsidRDefault="005A01D9" w:rsidP="00B122A1">
            <w:pPr>
              <w:widowControl w:val="0"/>
              <w:tabs>
                <w:tab w:val="left" w:pos="0"/>
                <w:tab w:val="right" w:pos="9214"/>
              </w:tabs>
              <w:spacing w:after="0" w:line="240" w:lineRule="auto"/>
              <w:rPr>
                <w:rFonts w:ascii="Verdana" w:hAnsi="Verdana"/>
                <w:sz w:val="16"/>
                <w:szCs w:val="16"/>
                <w:lang w:val="bg-BG"/>
              </w:rPr>
            </w:pPr>
            <w:r w:rsidRPr="00AB4B10">
              <w:rPr>
                <w:rFonts w:ascii="Verdana" w:hAnsi="Verdana"/>
                <w:bCs/>
                <w:color w:val="000000"/>
                <w:sz w:val="16"/>
                <w:szCs w:val="16"/>
                <w:lang w:val="bg-BG"/>
              </w:rPr>
              <w:t>1600</w:t>
            </w:r>
          </w:p>
        </w:tc>
        <w:tc>
          <w:tcPr>
            <w:tcW w:w="1260"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1800</w:t>
            </w:r>
          </w:p>
        </w:tc>
        <w:tc>
          <w:tcPr>
            <w:tcW w:w="991"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2000</w:t>
            </w:r>
          </w:p>
        </w:tc>
        <w:tc>
          <w:tcPr>
            <w:tcW w:w="3092"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F7048E">
              <w:rPr>
                <w:rFonts w:ascii="Verdana" w:hAnsi="Verdana"/>
                <w:bCs/>
                <w:color w:val="000000"/>
                <w:sz w:val="16"/>
                <w:szCs w:val="16"/>
                <w:lang w:val="bg-BG"/>
              </w:rPr>
              <w:t>Не е ясна методологията, по която са изчислени стойностите на индикатора. Предвид на предвидената подкрепа, заложените стойности изглеждат реалистични.</w:t>
            </w:r>
          </w:p>
        </w:tc>
      </w:tr>
      <w:tr w:rsidR="005A01D9" w:rsidRPr="00983D02" w:rsidTr="00B122A1">
        <w:tc>
          <w:tcPr>
            <w:tcW w:w="14884" w:type="dxa"/>
            <w:gridSpan w:val="11"/>
            <w:shd w:val="clear" w:color="auto" w:fill="F2DBDB" w:themeFill="accent2" w:themeFillTint="33"/>
          </w:tcPr>
          <w:p w:rsidR="005A01D9" w:rsidRPr="00983D02" w:rsidRDefault="005A01D9" w:rsidP="00B122A1">
            <w:pPr>
              <w:widowControl w:val="0"/>
              <w:tabs>
                <w:tab w:val="left" w:pos="0"/>
                <w:tab w:val="right" w:pos="9214"/>
              </w:tabs>
              <w:spacing w:after="0" w:line="240" w:lineRule="auto"/>
              <w:jc w:val="both"/>
              <w:rPr>
                <w:rFonts w:ascii="Verdana" w:hAnsi="Verdana"/>
                <w:bCs/>
                <w:color w:val="000000"/>
                <w:sz w:val="16"/>
                <w:szCs w:val="16"/>
                <w:lang w:val="bg-BG"/>
              </w:rPr>
            </w:pPr>
            <w:r w:rsidRPr="00983D02">
              <w:rPr>
                <w:rFonts w:ascii="Verdana" w:hAnsi="Verdana"/>
                <w:b/>
                <w:bCs/>
                <w:color w:val="000000"/>
                <w:sz w:val="16"/>
                <w:szCs w:val="16"/>
                <w:lang w:val="bg-BG"/>
              </w:rPr>
              <w:t>ИП2.</w:t>
            </w:r>
            <w:r w:rsidRPr="00983D02">
              <w:rPr>
                <w:rFonts w:ascii="Verdana" w:hAnsi="Verdana"/>
                <w:bCs/>
                <w:color w:val="000000"/>
                <w:sz w:val="16"/>
                <w:szCs w:val="16"/>
                <w:lang w:val="bg-BG"/>
              </w:rPr>
              <w:t xml:space="preserve"> </w:t>
            </w:r>
            <w:r w:rsidRPr="00983D02">
              <w:rPr>
                <w:rFonts w:ascii="Verdana" w:hAnsi="Verdana" w:cs="Arial Narrow"/>
                <w:i/>
                <w:color w:val="000000"/>
                <w:sz w:val="16"/>
                <w:szCs w:val="16"/>
                <w:lang w:val="bg-BG"/>
              </w:rPr>
              <w:t xml:space="preserve">Социално-икономическо интегриране на </w:t>
            </w:r>
            <w:proofErr w:type="spellStart"/>
            <w:r w:rsidRPr="00983D02">
              <w:rPr>
                <w:rFonts w:ascii="Verdana" w:hAnsi="Verdana" w:cs="Arial Narrow"/>
                <w:i/>
                <w:color w:val="000000"/>
                <w:sz w:val="16"/>
                <w:szCs w:val="16"/>
                <w:lang w:val="bg-BG"/>
              </w:rPr>
              <w:t>маргинализираните</w:t>
            </w:r>
            <w:proofErr w:type="spellEnd"/>
            <w:r w:rsidRPr="00983D02">
              <w:rPr>
                <w:rFonts w:ascii="Verdana" w:hAnsi="Verdana" w:cs="Arial Narrow"/>
                <w:i/>
                <w:color w:val="000000"/>
                <w:sz w:val="16"/>
                <w:szCs w:val="16"/>
                <w:lang w:val="bg-BG"/>
              </w:rPr>
              <w:t xml:space="preserve"> общности, като например ромите</w:t>
            </w:r>
          </w:p>
        </w:tc>
      </w:tr>
      <w:tr w:rsidR="005A01D9" w:rsidRPr="00B45B4F" w:rsidTr="00B122A1">
        <w:tc>
          <w:tcPr>
            <w:tcW w:w="2382" w:type="dxa"/>
          </w:tcPr>
          <w:p w:rsidR="005A01D9" w:rsidRPr="00B45B4F" w:rsidRDefault="005A01D9" w:rsidP="00B122A1">
            <w:pPr>
              <w:autoSpaceDE w:val="0"/>
              <w:autoSpaceDN w:val="0"/>
              <w:adjustRightInd w:val="0"/>
              <w:spacing w:after="0" w:line="240" w:lineRule="auto"/>
              <w:jc w:val="both"/>
              <w:rPr>
                <w:rFonts w:ascii="Verdana" w:hAnsi="Verdana"/>
                <w:sz w:val="16"/>
                <w:szCs w:val="16"/>
                <w:lang w:val="bg-BG"/>
              </w:rPr>
            </w:pPr>
            <w:r>
              <w:rPr>
                <w:rFonts w:ascii="Verdana" w:hAnsi="Verdana"/>
                <w:sz w:val="16"/>
                <w:szCs w:val="16"/>
                <w:lang w:val="bg-BG"/>
              </w:rPr>
              <w:t>СЦ1.</w:t>
            </w:r>
            <w:r w:rsidRPr="00B45B4F">
              <w:rPr>
                <w:rFonts w:ascii="Verdana" w:hAnsi="Verdana"/>
                <w:sz w:val="16"/>
                <w:szCs w:val="16"/>
                <w:lang w:val="bg-BG"/>
              </w:rPr>
              <w:t>Ефективна интеграция в образователната система на деца, ученици и младежи от етническите малцинства и от други уязвими групи</w:t>
            </w:r>
          </w:p>
        </w:tc>
        <w:tc>
          <w:tcPr>
            <w:tcW w:w="2041" w:type="dxa"/>
          </w:tcPr>
          <w:p w:rsidR="005A01D9" w:rsidRPr="00983D02" w:rsidRDefault="005A01D9" w:rsidP="00B122A1">
            <w:pPr>
              <w:pStyle w:val="Default"/>
              <w:jc w:val="both"/>
              <w:rPr>
                <w:rFonts w:ascii="Verdana" w:hAnsi="Verdana"/>
                <w:iCs/>
                <w:color w:val="auto"/>
                <w:sz w:val="16"/>
                <w:szCs w:val="16"/>
                <w:lang w:val="bg-BG"/>
              </w:rPr>
            </w:pPr>
            <w:r w:rsidRPr="00983D02">
              <w:rPr>
                <w:rFonts w:ascii="Verdana" w:hAnsi="Verdana"/>
                <w:iCs/>
                <w:color w:val="auto"/>
                <w:sz w:val="16"/>
                <w:szCs w:val="16"/>
                <w:lang w:val="bg-BG"/>
              </w:rPr>
              <w:t>Деца, ученици, младежи от ромски произход, включени в мерки за образователна интеграция и реинтеграция</w:t>
            </w:r>
          </w:p>
        </w:tc>
        <w:tc>
          <w:tcPr>
            <w:tcW w:w="1414" w:type="dxa"/>
            <w:vAlign w:val="center"/>
          </w:tcPr>
          <w:p w:rsidR="005A01D9" w:rsidRPr="0097294B"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97294B">
              <w:rPr>
                <w:rFonts w:ascii="Verdana" w:hAnsi="Verdana"/>
                <w:bCs/>
                <w:color w:val="000000"/>
                <w:sz w:val="16"/>
                <w:szCs w:val="16"/>
                <w:lang w:val="bg-BG"/>
              </w:rPr>
              <w:t>Индикаторът е уме</w:t>
            </w:r>
            <w:r>
              <w:rPr>
                <w:rFonts w:ascii="Verdana" w:hAnsi="Verdana"/>
                <w:bCs/>
                <w:color w:val="000000"/>
                <w:sz w:val="16"/>
                <w:szCs w:val="16"/>
                <w:lang w:val="bg-BG"/>
              </w:rPr>
              <w:t>стен.</w:t>
            </w:r>
          </w:p>
        </w:tc>
        <w:tc>
          <w:tcPr>
            <w:tcW w:w="1845" w:type="dxa"/>
            <w:gridSpan w:val="3"/>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е ясен</w:t>
            </w:r>
          </w:p>
        </w:tc>
        <w:tc>
          <w:tcPr>
            <w:tcW w:w="992"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 xml:space="preserve">Брой </w:t>
            </w:r>
          </w:p>
        </w:tc>
        <w:tc>
          <w:tcPr>
            <w:tcW w:w="867" w:type="dxa"/>
            <w:vAlign w:val="center"/>
          </w:tcPr>
          <w:p w:rsidR="005A01D9" w:rsidRPr="00983D02" w:rsidRDefault="005A01D9" w:rsidP="00B122A1">
            <w:pPr>
              <w:rPr>
                <w:rFonts w:ascii="Verdana" w:hAnsi="Verdana"/>
                <w:sz w:val="16"/>
                <w:szCs w:val="16"/>
                <w:lang w:val="bg-BG"/>
              </w:rPr>
            </w:pPr>
            <w:r w:rsidRPr="00983D02">
              <w:rPr>
                <w:rFonts w:ascii="Verdana" w:hAnsi="Verdana"/>
                <w:sz w:val="16"/>
                <w:szCs w:val="16"/>
                <w:lang w:val="bg-BG"/>
              </w:rPr>
              <w:t>166 456</w:t>
            </w:r>
          </w:p>
        </w:tc>
        <w:tc>
          <w:tcPr>
            <w:tcW w:w="1260" w:type="dxa"/>
            <w:vAlign w:val="center"/>
          </w:tcPr>
          <w:p w:rsidR="005A01D9" w:rsidRPr="00983D02" w:rsidRDefault="005A01D9" w:rsidP="00B122A1">
            <w:pPr>
              <w:rPr>
                <w:rFonts w:ascii="Verdana" w:hAnsi="Verdana"/>
                <w:sz w:val="16"/>
                <w:szCs w:val="16"/>
                <w:lang w:val="bg-BG"/>
              </w:rPr>
            </w:pPr>
            <w:r w:rsidRPr="00983D02">
              <w:rPr>
                <w:rFonts w:ascii="Verdana" w:hAnsi="Verdana"/>
                <w:sz w:val="16"/>
                <w:szCs w:val="16"/>
                <w:lang w:val="bg-BG"/>
              </w:rPr>
              <w:t>200 000</w:t>
            </w:r>
          </w:p>
        </w:tc>
        <w:tc>
          <w:tcPr>
            <w:tcW w:w="991" w:type="dxa"/>
            <w:vAlign w:val="center"/>
          </w:tcPr>
          <w:p w:rsidR="005A01D9" w:rsidRPr="00983D02" w:rsidRDefault="005A01D9" w:rsidP="00B122A1">
            <w:pPr>
              <w:rPr>
                <w:rFonts w:ascii="Verdana" w:hAnsi="Verdana"/>
                <w:sz w:val="16"/>
                <w:szCs w:val="16"/>
                <w:lang w:val="bg-BG"/>
              </w:rPr>
            </w:pPr>
            <w:r w:rsidRPr="00983D02">
              <w:rPr>
                <w:rFonts w:ascii="Verdana" w:hAnsi="Verdana"/>
                <w:sz w:val="16"/>
                <w:szCs w:val="16"/>
                <w:lang w:val="bg-BG"/>
              </w:rPr>
              <w:t>320 000</w:t>
            </w:r>
          </w:p>
        </w:tc>
        <w:tc>
          <w:tcPr>
            <w:tcW w:w="3092"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F7048E">
              <w:rPr>
                <w:rFonts w:ascii="Verdana" w:hAnsi="Verdana"/>
                <w:bCs/>
                <w:color w:val="000000"/>
                <w:sz w:val="16"/>
                <w:szCs w:val="16"/>
                <w:lang w:val="bg-BG"/>
              </w:rPr>
              <w:t>Не е ясна методологията, по която са изчислени стойностите на индикатора. Предвид на предвидената подкрепа, заложените стойности изглеждат реалистични.</w:t>
            </w:r>
          </w:p>
        </w:tc>
      </w:tr>
    </w:tbl>
    <w:p w:rsidR="005A01D9" w:rsidRDefault="005A01D9" w:rsidP="005A01D9"/>
    <w:p w:rsidR="00390DD1" w:rsidRDefault="00390DD1" w:rsidP="005A01D9"/>
    <w:p w:rsidR="00390DD1" w:rsidRDefault="00390DD1" w:rsidP="005A01D9"/>
    <w:p w:rsidR="00390DD1" w:rsidRDefault="00390DD1" w:rsidP="005A01D9"/>
    <w:p w:rsidR="00390DD1" w:rsidRDefault="00390DD1" w:rsidP="005A01D9"/>
    <w:p w:rsidR="00270CD6" w:rsidRPr="00B45B4F" w:rsidRDefault="00270CD6" w:rsidP="00270CD6">
      <w:pPr>
        <w:pStyle w:val="Caption"/>
        <w:keepNext/>
        <w:spacing w:after="120"/>
        <w:rPr>
          <w:rFonts w:ascii="Verdana" w:hAnsi="Verdana"/>
          <w:color w:val="548DD4" w:themeColor="text2" w:themeTint="99"/>
        </w:rPr>
      </w:pPr>
      <w:bookmarkStart w:id="129" w:name="_Toc395612593"/>
      <w:r w:rsidRPr="002F203A">
        <w:rPr>
          <w:rFonts w:ascii="Verdana" w:hAnsi="Verdana"/>
          <w:color w:val="548DD4" w:themeColor="text2" w:themeTint="99"/>
        </w:rPr>
        <w:t xml:space="preserve">Таблица </w:t>
      </w:r>
      <w:r w:rsidRPr="002F203A">
        <w:rPr>
          <w:rFonts w:ascii="Verdana" w:hAnsi="Verdana"/>
          <w:color w:val="548DD4" w:themeColor="text2" w:themeTint="99"/>
        </w:rPr>
        <w:fldChar w:fldCharType="begin"/>
      </w:r>
      <w:r w:rsidRPr="002F203A">
        <w:rPr>
          <w:rFonts w:ascii="Verdana" w:hAnsi="Verdana"/>
          <w:color w:val="548DD4" w:themeColor="text2" w:themeTint="99"/>
        </w:rPr>
        <w:instrText xml:space="preserve"> SEQ таблица \* ARABIC </w:instrText>
      </w:r>
      <w:r w:rsidRPr="002F203A">
        <w:rPr>
          <w:rFonts w:ascii="Verdana" w:hAnsi="Verdana"/>
          <w:color w:val="548DD4" w:themeColor="text2" w:themeTint="99"/>
        </w:rPr>
        <w:fldChar w:fldCharType="separate"/>
      </w:r>
      <w:r w:rsidR="001361E0">
        <w:rPr>
          <w:rFonts w:ascii="Verdana" w:hAnsi="Verdana"/>
          <w:noProof/>
          <w:color w:val="548DD4" w:themeColor="text2" w:themeTint="99"/>
        </w:rPr>
        <w:t>37</w:t>
      </w:r>
      <w:r w:rsidRPr="002F203A">
        <w:rPr>
          <w:rFonts w:ascii="Verdana" w:hAnsi="Verdana"/>
          <w:color w:val="548DD4" w:themeColor="text2" w:themeTint="99"/>
        </w:rPr>
        <w:fldChar w:fldCharType="end"/>
      </w:r>
      <w:r w:rsidRPr="002F203A">
        <w:rPr>
          <w:rFonts w:ascii="Verdana" w:hAnsi="Verdana"/>
          <w:color w:val="548DD4" w:themeColor="text2" w:themeTint="99"/>
        </w:rPr>
        <w:t>.</w:t>
      </w:r>
      <w:r>
        <w:rPr>
          <w:rFonts w:ascii="Verdana" w:hAnsi="Verdana"/>
          <w:color w:val="548DD4" w:themeColor="text2" w:themeTint="99"/>
        </w:rPr>
        <w:t>Коментар по предложената нова система от индикатори за резултат</w:t>
      </w:r>
      <w:bookmarkEnd w:id="129"/>
    </w:p>
    <w:tbl>
      <w:tblPr>
        <w:tblStyle w:val="TableGrid"/>
        <w:tblW w:w="14884" w:type="dxa"/>
        <w:tblInd w:w="-459" w:type="dxa"/>
        <w:tblLayout w:type="fixed"/>
        <w:tblLook w:val="04A0" w:firstRow="1" w:lastRow="0" w:firstColumn="1" w:lastColumn="0" w:noHBand="0" w:noVBand="1"/>
      </w:tblPr>
      <w:tblGrid>
        <w:gridCol w:w="2581"/>
        <w:gridCol w:w="1842"/>
        <w:gridCol w:w="1418"/>
        <w:gridCol w:w="1559"/>
        <w:gridCol w:w="851"/>
        <w:gridCol w:w="992"/>
        <w:gridCol w:w="850"/>
        <w:gridCol w:w="993"/>
        <w:gridCol w:w="3798"/>
      </w:tblGrid>
      <w:tr w:rsidR="005A01D9" w:rsidRPr="00B45B4F" w:rsidTr="00B122A1">
        <w:trPr>
          <w:tblHeader/>
        </w:trPr>
        <w:tc>
          <w:tcPr>
            <w:tcW w:w="2581" w:type="dxa"/>
            <w:vMerge w:val="restart"/>
            <w:shd w:val="clear" w:color="auto" w:fill="1F497D" w:themeFill="text2"/>
          </w:tcPr>
          <w:p w:rsidR="005A01D9" w:rsidRPr="00B45B4F" w:rsidRDefault="005A01D9" w:rsidP="00B122A1">
            <w:pPr>
              <w:widowControl w:val="0"/>
              <w:tabs>
                <w:tab w:val="left" w:pos="0"/>
                <w:tab w:val="right" w:pos="9214"/>
              </w:tabs>
              <w:spacing w:after="0" w:line="240" w:lineRule="auto"/>
              <w:jc w:val="center"/>
              <w:rPr>
                <w:rFonts w:ascii="Verdana" w:hAnsi="Verdana"/>
                <w:b/>
                <w:bCs/>
                <w:color w:val="FFFFFF" w:themeColor="background1"/>
                <w:sz w:val="16"/>
                <w:szCs w:val="16"/>
                <w:lang w:val="bg-BG"/>
              </w:rPr>
            </w:pPr>
            <w:r w:rsidRPr="00B45B4F">
              <w:rPr>
                <w:rFonts w:ascii="Verdana" w:hAnsi="Verdana"/>
                <w:b/>
                <w:bCs/>
                <w:color w:val="FFFFFF" w:themeColor="background1"/>
                <w:sz w:val="16"/>
                <w:szCs w:val="16"/>
                <w:lang w:val="bg-BG"/>
              </w:rPr>
              <w:t>Специфична цел</w:t>
            </w:r>
          </w:p>
        </w:tc>
        <w:tc>
          <w:tcPr>
            <w:tcW w:w="1842" w:type="dxa"/>
            <w:vMerge w:val="restart"/>
            <w:shd w:val="clear" w:color="auto" w:fill="1F497D" w:themeFill="text2"/>
          </w:tcPr>
          <w:p w:rsidR="005A01D9" w:rsidRPr="00931391" w:rsidRDefault="005A01D9" w:rsidP="00B122A1">
            <w:pPr>
              <w:widowControl w:val="0"/>
              <w:tabs>
                <w:tab w:val="left" w:pos="0"/>
                <w:tab w:val="right" w:pos="9214"/>
              </w:tabs>
              <w:spacing w:after="0" w:line="240" w:lineRule="auto"/>
              <w:jc w:val="center"/>
              <w:rPr>
                <w:rFonts w:ascii="Verdana" w:hAnsi="Verdana"/>
                <w:b/>
                <w:bCs/>
                <w:color w:val="FFFFFF" w:themeColor="background1"/>
                <w:sz w:val="16"/>
                <w:szCs w:val="16"/>
                <w:lang w:val="bg-BG"/>
              </w:rPr>
            </w:pPr>
            <w:r w:rsidRPr="00B45B4F">
              <w:rPr>
                <w:rFonts w:ascii="Verdana" w:hAnsi="Verdana"/>
                <w:b/>
                <w:bCs/>
                <w:color w:val="FFFFFF" w:themeColor="background1"/>
                <w:sz w:val="16"/>
                <w:szCs w:val="16"/>
                <w:lang w:val="bg-BG"/>
              </w:rPr>
              <w:t xml:space="preserve">Индикатор за </w:t>
            </w:r>
            <w:r>
              <w:rPr>
                <w:rFonts w:ascii="Verdana" w:hAnsi="Verdana"/>
                <w:b/>
                <w:bCs/>
                <w:color w:val="FFFFFF" w:themeColor="background1"/>
                <w:sz w:val="16"/>
                <w:szCs w:val="16"/>
                <w:lang w:val="bg-BG"/>
              </w:rPr>
              <w:t>резултат</w:t>
            </w:r>
          </w:p>
        </w:tc>
        <w:tc>
          <w:tcPr>
            <w:tcW w:w="1418" w:type="dxa"/>
            <w:vMerge w:val="restart"/>
            <w:shd w:val="clear" w:color="auto" w:fill="1F497D" w:themeFill="text2"/>
          </w:tcPr>
          <w:p w:rsidR="005A01D9" w:rsidRPr="00B45B4F" w:rsidRDefault="005A01D9" w:rsidP="00B122A1">
            <w:pPr>
              <w:widowControl w:val="0"/>
              <w:tabs>
                <w:tab w:val="left" w:pos="0"/>
                <w:tab w:val="right" w:pos="9214"/>
              </w:tabs>
              <w:spacing w:after="0" w:line="240" w:lineRule="auto"/>
              <w:jc w:val="center"/>
              <w:rPr>
                <w:rFonts w:ascii="Verdana" w:hAnsi="Verdana"/>
                <w:b/>
                <w:bCs/>
                <w:color w:val="FFFFFF" w:themeColor="background1"/>
                <w:sz w:val="16"/>
                <w:szCs w:val="16"/>
                <w:lang w:val="bg-BG"/>
              </w:rPr>
            </w:pPr>
            <w:r w:rsidRPr="00B45B4F">
              <w:rPr>
                <w:rFonts w:ascii="Verdana" w:hAnsi="Verdana"/>
                <w:b/>
                <w:bCs/>
                <w:color w:val="FFFFFF" w:themeColor="background1"/>
                <w:sz w:val="16"/>
                <w:szCs w:val="16"/>
                <w:lang w:val="bg-BG"/>
              </w:rPr>
              <w:t>Уместност</w:t>
            </w:r>
          </w:p>
        </w:tc>
        <w:tc>
          <w:tcPr>
            <w:tcW w:w="1559" w:type="dxa"/>
            <w:vMerge w:val="restart"/>
            <w:shd w:val="clear" w:color="auto" w:fill="1F497D" w:themeFill="text2"/>
          </w:tcPr>
          <w:p w:rsidR="005A01D9" w:rsidRPr="00B45B4F" w:rsidRDefault="005A01D9" w:rsidP="00B122A1">
            <w:pPr>
              <w:widowControl w:val="0"/>
              <w:tabs>
                <w:tab w:val="left" w:pos="0"/>
                <w:tab w:val="right" w:pos="9214"/>
              </w:tabs>
              <w:spacing w:after="0" w:line="240" w:lineRule="auto"/>
              <w:jc w:val="center"/>
              <w:rPr>
                <w:rFonts w:ascii="Verdana" w:hAnsi="Verdana"/>
                <w:b/>
                <w:bCs/>
                <w:color w:val="FFFFFF" w:themeColor="background1"/>
                <w:sz w:val="16"/>
                <w:szCs w:val="16"/>
                <w:lang w:val="bg-BG"/>
              </w:rPr>
            </w:pPr>
            <w:r w:rsidRPr="00B45B4F">
              <w:rPr>
                <w:rFonts w:ascii="Verdana" w:hAnsi="Verdana"/>
                <w:b/>
                <w:bCs/>
                <w:color w:val="FFFFFF" w:themeColor="background1"/>
                <w:sz w:val="16"/>
                <w:szCs w:val="16"/>
                <w:lang w:val="bg-BG"/>
              </w:rPr>
              <w:t>Яснота</w:t>
            </w:r>
          </w:p>
        </w:tc>
        <w:tc>
          <w:tcPr>
            <w:tcW w:w="851" w:type="dxa"/>
            <w:vMerge w:val="restart"/>
            <w:shd w:val="clear" w:color="auto" w:fill="1F497D" w:themeFill="text2"/>
          </w:tcPr>
          <w:p w:rsidR="005A01D9" w:rsidRPr="00B45B4F" w:rsidRDefault="005A01D9" w:rsidP="00B122A1">
            <w:pPr>
              <w:widowControl w:val="0"/>
              <w:tabs>
                <w:tab w:val="left" w:pos="0"/>
                <w:tab w:val="right" w:pos="9214"/>
              </w:tabs>
              <w:spacing w:after="0" w:line="240" w:lineRule="auto"/>
              <w:jc w:val="center"/>
              <w:rPr>
                <w:rFonts w:ascii="Verdana" w:hAnsi="Verdana"/>
                <w:b/>
                <w:bCs/>
                <w:color w:val="FFFFFF" w:themeColor="background1"/>
                <w:sz w:val="16"/>
                <w:szCs w:val="16"/>
                <w:lang w:val="bg-BG"/>
              </w:rPr>
            </w:pPr>
            <w:r>
              <w:rPr>
                <w:rFonts w:ascii="Verdana" w:hAnsi="Verdana"/>
                <w:b/>
                <w:bCs/>
                <w:color w:val="FFFFFF" w:themeColor="background1"/>
                <w:sz w:val="16"/>
                <w:szCs w:val="16"/>
                <w:lang w:val="bg-BG"/>
              </w:rPr>
              <w:t>Мерна единица</w:t>
            </w:r>
          </w:p>
        </w:tc>
        <w:tc>
          <w:tcPr>
            <w:tcW w:w="2835" w:type="dxa"/>
            <w:gridSpan w:val="3"/>
            <w:shd w:val="clear" w:color="auto" w:fill="1F497D" w:themeFill="text2"/>
          </w:tcPr>
          <w:p w:rsidR="005A01D9" w:rsidRDefault="005A01D9" w:rsidP="00B122A1">
            <w:pPr>
              <w:widowControl w:val="0"/>
              <w:tabs>
                <w:tab w:val="left" w:pos="0"/>
                <w:tab w:val="right" w:pos="9214"/>
              </w:tabs>
              <w:spacing w:after="0" w:line="240" w:lineRule="auto"/>
              <w:jc w:val="center"/>
              <w:rPr>
                <w:rFonts w:ascii="Verdana" w:hAnsi="Verdana"/>
                <w:b/>
                <w:bCs/>
                <w:color w:val="FFFFFF" w:themeColor="background1"/>
                <w:sz w:val="16"/>
                <w:szCs w:val="16"/>
                <w:lang w:val="bg-BG"/>
              </w:rPr>
            </w:pPr>
            <w:r>
              <w:rPr>
                <w:rFonts w:ascii="Verdana" w:hAnsi="Verdana"/>
                <w:b/>
                <w:bCs/>
                <w:color w:val="FFFFFF" w:themeColor="background1"/>
                <w:sz w:val="16"/>
                <w:szCs w:val="16"/>
                <w:lang w:val="bg-BG"/>
              </w:rPr>
              <w:t>Стойност</w:t>
            </w:r>
          </w:p>
        </w:tc>
        <w:tc>
          <w:tcPr>
            <w:tcW w:w="3798" w:type="dxa"/>
            <w:vMerge w:val="restart"/>
            <w:shd w:val="clear" w:color="auto" w:fill="1F497D" w:themeFill="text2"/>
          </w:tcPr>
          <w:p w:rsidR="005A01D9" w:rsidRDefault="005A01D9" w:rsidP="00B122A1">
            <w:pPr>
              <w:widowControl w:val="0"/>
              <w:tabs>
                <w:tab w:val="left" w:pos="0"/>
                <w:tab w:val="right" w:pos="9214"/>
              </w:tabs>
              <w:spacing w:after="0" w:line="240" w:lineRule="auto"/>
              <w:jc w:val="center"/>
              <w:rPr>
                <w:rFonts w:ascii="Verdana" w:hAnsi="Verdana"/>
                <w:b/>
                <w:bCs/>
                <w:color w:val="FFFFFF" w:themeColor="background1"/>
                <w:sz w:val="16"/>
                <w:szCs w:val="16"/>
                <w:lang w:val="bg-BG"/>
              </w:rPr>
            </w:pPr>
            <w:r>
              <w:rPr>
                <w:rFonts w:ascii="Verdana" w:hAnsi="Verdana"/>
                <w:b/>
                <w:bCs/>
                <w:color w:val="FFFFFF" w:themeColor="background1"/>
                <w:sz w:val="16"/>
                <w:szCs w:val="16"/>
                <w:lang w:val="bg-BG"/>
              </w:rPr>
              <w:t>Коментар</w:t>
            </w:r>
          </w:p>
        </w:tc>
      </w:tr>
      <w:tr w:rsidR="005A01D9" w:rsidRPr="00B45B4F" w:rsidTr="00B122A1">
        <w:trPr>
          <w:tblHeader/>
        </w:trPr>
        <w:tc>
          <w:tcPr>
            <w:tcW w:w="2581" w:type="dxa"/>
            <w:vMerge/>
            <w:shd w:val="clear" w:color="auto" w:fill="1F497D" w:themeFill="text2"/>
          </w:tcPr>
          <w:p w:rsidR="005A01D9" w:rsidRPr="00B45B4F" w:rsidRDefault="005A01D9" w:rsidP="00B122A1">
            <w:pPr>
              <w:widowControl w:val="0"/>
              <w:tabs>
                <w:tab w:val="left" w:pos="0"/>
                <w:tab w:val="right" w:pos="9214"/>
              </w:tabs>
              <w:spacing w:after="0" w:line="240" w:lineRule="auto"/>
              <w:jc w:val="center"/>
              <w:rPr>
                <w:rFonts w:ascii="Verdana" w:hAnsi="Verdana"/>
                <w:b/>
                <w:bCs/>
                <w:color w:val="FFFFFF" w:themeColor="background1"/>
                <w:sz w:val="16"/>
                <w:szCs w:val="16"/>
                <w:lang w:val="bg-BG"/>
              </w:rPr>
            </w:pPr>
          </w:p>
        </w:tc>
        <w:tc>
          <w:tcPr>
            <w:tcW w:w="1842" w:type="dxa"/>
            <w:vMerge/>
            <w:shd w:val="clear" w:color="auto" w:fill="1F497D" w:themeFill="text2"/>
          </w:tcPr>
          <w:p w:rsidR="005A01D9" w:rsidRPr="00B45B4F" w:rsidRDefault="005A01D9" w:rsidP="00B122A1">
            <w:pPr>
              <w:widowControl w:val="0"/>
              <w:tabs>
                <w:tab w:val="left" w:pos="0"/>
                <w:tab w:val="right" w:pos="9214"/>
              </w:tabs>
              <w:spacing w:after="0" w:line="240" w:lineRule="auto"/>
              <w:jc w:val="center"/>
              <w:rPr>
                <w:rFonts w:ascii="Verdana" w:hAnsi="Verdana"/>
                <w:b/>
                <w:bCs/>
                <w:color w:val="FFFFFF" w:themeColor="background1"/>
                <w:sz w:val="16"/>
                <w:szCs w:val="16"/>
                <w:lang w:val="bg-BG"/>
              </w:rPr>
            </w:pPr>
          </w:p>
        </w:tc>
        <w:tc>
          <w:tcPr>
            <w:tcW w:w="1418" w:type="dxa"/>
            <w:vMerge/>
            <w:shd w:val="clear" w:color="auto" w:fill="1F497D" w:themeFill="text2"/>
          </w:tcPr>
          <w:p w:rsidR="005A01D9" w:rsidRPr="00B45B4F" w:rsidRDefault="005A01D9" w:rsidP="00B122A1">
            <w:pPr>
              <w:widowControl w:val="0"/>
              <w:tabs>
                <w:tab w:val="left" w:pos="0"/>
                <w:tab w:val="right" w:pos="9214"/>
              </w:tabs>
              <w:spacing w:after="0" w:line="240" w:lineRule="auto"/>
              <w:jc w:val="center"/>
              <w:rPr>
                <w:rFonts w:ascii="Verdana" w:hAnsi="Verdana"/>
                <w:b/>
                <w:bCs/>
                <w:color w:val="FFFFFF" w:themeColor="background1"/>
                <w:sz w:val="16"/>
                <w:szCs w:val="16"/>
                <w:lang w:val="bg-BG"/>
              </w:rPr>
            </w:pPr>
          </w:p>
        </w:tc>
        <w:tc>
          <w:tcPr>
            <w:tcW w:w="1559" w:type="dxa"/>
            <w:vMerge/>
            <w:shd w:val="clear" w:color="auto" w:fill="1F497D" w:themeFill="text2"/>
          </w:tcPr>
          <w:p w:rsidR="005A01D9" w:rsidRPr="00B45B4F" w:rsidRDefault="005A01D9" w:rsidP="00B122A1">
            <w:pPr>
              <w:widowControl w:val="0"/>
              <w:tabs>
                <w:tab w:val="left" w:pos="0"/>
                <w:tab w:val="right" w:pos="9214"/>
              </w:tabs>
              <w:spacing w:after="0" w:line="240" w:lineRule="auto"/>
              <w:jc w:val="center"/>
              <w:rPr>
                <w:rFonts w:ascii="Verdana" w:hAnsi="Verdana"/>
                <w:b/>
                <w:bCs/>
                <w:color w:val="FFFFFF" w:themeColor="background1"/>
                <w:sz w:val="16"/>
                <w:szCs w:val="16"/>
                <w:lang w:val="bg-BG"/>
              </w:rPr>
            </w:pPr>
          </w:p>
        </w:tc>
        <w:tc>
          <w:tcPr>
            <w:tcW w:w="851" w:type="dxa"/>
            <w:vMerge/>
            <w:shd w:val="clear" w:color="auto" w:fill="1F497D" w:themeFill="text2"/>
          </w:tcPr>
          <w:p w:rsidR="005A01D9" w:rsidRPr="00B45B4F" w:rsidRDefault="005A01D9" w:rsidP="00B122A1">
            <w:pPr>
              <w:widowControl w:val="0"/>
              <w:tabs>
                <w:tab w:val="left" w:pos="0"/>
                <w:tab w:val="right" w:pos="9214"/>
              </w:tabs>
              <w:spacing w:after="0" w:line="240" w:lineRule="auto"/>
              <w:jc w:val="center"/>
              <w:rPr>
                <w:rFonts w:ascii="Verdana" w:hAnsi="Verdana"/>
                <w:b/>
                <w:bCs/>
                <w:color w:val="FFFFFF" w:themeColor="background1"/>
                <w:sz w:val="16"/>
                <w:szCs w:val="16"/>
                <w:lang w:val="bg-BG"/>
              </w:rPr>
            </w:pPr>
          </w:p>
        </w:tc>
        <w:tc>
          <w:tcPr>
            <w:tcW w:w="992" w:type="dxa"/>
            <w:shd w:val="clear" w:color="auto" w:fill="1F497D" w:themeFill="text2"/>
          </w:tcPr>
          <w:p w:rsidR="005A01D9" w:rsidRPr="00B45B4F" w:rsidRDefault="005A01D9" w:rsidP="00B122A1">
            <w:pPr>
              <w:widowControl w:val="0"/>
              <w:tabs>
                <w:tab w:val="left" w:pos="0"/>
                <w:tab w:val="right" w:pos="9214"/>
              </w:tabs>
              <w:spacing w:after="0" w:line="240" w:lineRule="auto"/>
              <w:jc w:val="center"/>
              <w:rPr>
                <w:rFonts w:ascii="Verdana" w:hAnsi="Verdana"/>
                <w:b/>
                <w:bCs/>
                <w:color w:val="FFFFFF" w:themeColor="background1"/>
                <w:sz w:val="16"/>
                <w:szCs w:val="16"/>
                <w:lang w:val="bg-BG"/>
              </w:rPr>
            </w:pPr>
            <w:r>
              <w:rPr>
                <w:rFonts w:ascii="Verdana" w:hAnsi="Verdana"/>
                <w:b/>
                <w:bCs/>
                <w:color w:val="FFFFFF" w:themeColor="background1"/>
                <w:sz w:val="16"/>
                <w:szCs w:val="16"/>
                <w:lang w:val="bg-BG"/>
              </w:rPr>
              <w:t xml:space="preserve">Базова </w:t>
            </w:r>
          </w:p>
        </w:tc>
        <w:tc>
          <w:tcPr>
            <w:tcW w:w="850" w:type="dxa"/>
            <w:shd w:val="clear" w:color="auto" w:fill="1F497D" w:themeFill="text2"/>
          </w:tcPr>
          <w:p w:rsidR="005A01D9" w:rsidRPr="00B45B4F" w:rsidRDefault="005A01D9" w:rsidP="00B122A1">
            <w:pPr>
              <w:widowControl w:val="0"/>
              <w:tabs>
                <w:tab w:val="left" w:pos="0"/>
                <w:tab w:val="right" w:pos="9214"/>
              </w:tabs>
              <w:spacing w:after="0" w:line="240" w:lineRule="auto"/>
              <w:jc w:val="center"/>
              <w:rPr>
                <w:rFonts w:ascii="Verdana" w:hAnsi="Verdana"/>
                <w:b/>
                <w:bCs/>
                <w:color w:val="FFFFFF" w:themeColor="background1"/>
                <w:sz w:val="16"/>
                <w:szCs w:val="16"/>
                <w:lang w:val="bg-BG"/>
              </w:rPr>
            </w:pPr>
            <w:r>
              <w:rPr>
                <w:rFonts w:ascii="Verdana" w:hAnsi="Verdana"/>
                <w:b/>
                <w:bCs/>
                <w:color w:val="FFFFFF" w:themeColor="background1"/>
                <w:sz w:val="16"/>
                <w:szCs w:val="16"/>
                <w:lang w:val="bg-BG"/>
              </w:rPr>
              <w:t xml:space="preserve">2018 </w:t>
            </w:r>
          </w:p>
        </w:tc>
        <w:tc>
          <w:tcPr>
            <w:tcW w:w="993" w:type="dxa"/>
            <w:shd w:val="clear" w:color="auto" w:fill="1F497D" w:themeFill="text2"/>
          </w:tcPr>
          <w:p w:rsidR="005A01D9" w:rsidRDefault="005A01D9" w:rsidP="00B122A1">
            <w:pPr>
              <w:widowControl w:val="0"/>
              <w:tabs>
                <w:tab w:val="left" w:pos="0"/>
                <w:tab w:val="right" w:pos="9214"/>
              </w:tabs>
              <w:spacing w:after="0" w:line="240" w:lineRule="auto"/>
              <w:jc w:val="center"/>
              <w:rPr>
                <w:rFonts w:ascii="Verdana" w:hAnsi="Verdana"/>
                <w:b/>
                <w:bCs/>
                <w:color w:val="FFFFFF" w:themeColor="background1"/>
                <w:sz w:val="16"/>
                <w:szCs w:val="16"/>
                <w:lang w:val="bg-BG"/>
              </w:rPr>
            </w:pPr>
            <w:r>
              <w:rPr>
                <w:rFonts w:ascii="Verdana" w:hAnsi="Verdana"/>
                <w:b/>
                <w:bCs/>
                <w:color w:val="FFFFFF" w:themeColor="background1"/>
                <w:sz w:val="16"/>
                <w:szCs w:val="16"/>
                <w:lang w:val="bg-BG"/>
              </w:rPr>
              <w:t>Целева</w:t>
            </w:r>
          </w:p>
          <w:p w:rsidR="005A01D9" w:rsidRPr="00B45B4F" w:rsidRDefault="005A01D9" w:rsidP="00B122A1">
            <w:pPr>
              <w:widowControl w:val="0"/>
              <w:tabs>
                <w:tab w:val="left" w:pos="0"/>
                <w:tab w:val="right" w:pos="9214"/>
              </w:tabs>
              <w:spacing w:after="0" w:line="240" w:lineRule="auto"/>
              <w:jc w:val="center"/>
              <w:rPr>
                <w:rFonts w:ascii="Verdana" w:hAnsi="Verdana"/>
                <w:b/>
                <w:bCs/>
                <w:color w:val="FFFFFF" w:themeColor="background1"/>
                <w:sz w:val="16"/>
                <w:szCs w:val="16"/>
                <w:lang w:val="bg-BG"/>
              </w:rPr>
            </w:pPr>
            <w:r>
              <w:rPr>
                <w:rFonts w:ascii="Verdana" w:hAnsi="Verdana"/>
                <w:b/>
                <w:bCs/>
                <w:color w:val="FFFFFF" w:themeColor="background1"/>
                <w:sz w:val="16"/>
                <w:szCs w:val="16"/>
                <w:lang w:val="bg-BG"/>
              </w:rPr>
              <w:t xml:space="preserve">2023 </w:t>
            </w:r>
          </w:p>
        </w:tc>
        <w:tc>
          <w:tcPr>
            <w:tcW w:w="3798" w:type="dxa"/>
            <w:vMerge/>
            <w:shd w:val="clear" w:color="auto" w:fill="1F497D" w:themeFill="text2"/>
          </w:tcPr>
          <w:p w:rsidR="005A01D9" w:rsidRPr="00B45B4F" w:rsidRDefault="005A01D9" w:rsidP="00B122A1">
            <w:pPr>
              <w:widowControl w:val="0"/>
              <w:tabs>
                <w:tab w:val="left" w:pos="0"/>
                <w:tab w:val="right" w:pos="9214"/>
              </w:tabs>
              <w:spacing w:after="0" w:line="240" w:lineRule="auto"/>
              <w:jc w:val="center"/>
              <w:rPr>
                <w:rFonts w:ascii="Verdana" w:hAnsi="Verdana"/>
                <w:b/>
                <w:bCs/>
                <w:color w:val="FFFFFF" w:themeColor="background1"/>
                <w:sz w:val="16"/>
                <w:szCs w:val="16"/>
                <w:lang w:val="bg-BG"/>
              </w:rPr>
            </w:pPr>
          </w:p>
        </w:tc>
      </w:tr>
      <w:tr w:rsidR="005A01D9" w:rsidRPr="00B45B4F" w:rsidTr="00B122A1">
        <w:tc>
          <w:tcPr>
            <w:tcW w:w="14884" w:type="dxa"/>
            <w:gridSpan w:val="9"/>
            <w:shd w:val="clear" w:color="auto" w:fill="95B3D7" w:themeFill="accent1" w:themeFillTint="99"/>
          </w:tcPr>
          <w:p w:rsidR="005A01D9" w:rsidRPr="00B45B4F" w:rsidRDefault="005A01D9" w:rsidP="00B122A1">
            <w:pPr>
              <w:widowControl w:val="0"/>
              <w:tabs>
                <w:tab w:val="left" w:pos="0"/>
                <w:tab w:val="right" w:pos="9214"/>
              </w:tabs>
              <w:spacing w:before="120" w:after="120" w:line="240" w:lineRule="auto"/>
              <w:jc w:val="both"/>
              <w:rPr>
                <w:rFonts w:ascii="Verdana" w:hAnsi="Verdana"/>
                <w:b/>
                <w:bCs/>
                <w:color w:val="000000"/>
                <w:sz w:val="16"/>
                <w:szCs w:val="16"/>
                <w:lang w:val="bg-BG"/>
              </w:rPr>
            </w:pPr>
            <w:r>
              <w:rPr>
                <w:rFonts w:ascii="Verdana" w:hAnsi="Verdana"/>
                <w:b/>
                <w:sz w:val="16"/>
                <w:szCs w:val="16"/>
                <w:lang w:val="bg-BG"/>
              </w:rPr>
              <w:t xml:space="preserve">ПО 1 - </w:t>
            </w:r>
            <w:r w:rsidRPr="00B45B4F">
              <w:rPr>
                <w:rFonts w:ascii="Verdana" w:hAnsi="Verdana"/>
                <w:b/>
                <w:sz w:val="16"/>
                <w:szCs w:val="16"/>
                <w:lang w:val="bg-BG"/>
              </w:rPr>
              <w:t>Научни изследвания и технологично развитие</w:t>
            </w:r>
          </w:p>
        </w:tc>
      </w:tr>
      <w:tr w:rsidR="005A01D9" w:rsidRPr="00B45B4F" w:rsidTr="00B122A1">
        <w:tc>
          <w:tcPr>
            <w:tcW w:w="14884" w:type="dxa"/>
            <w:gridSpan w:val="9"/>
            <w:shd w:val="clear" w:color="auto" w:fill="F2DBDB" w:themeFill="accent2" w:themeFillTint="33"/>
          </w:tcPr>
          <w:p w:rsidR="005A01D9" w:rsidRDefault="005A01D9" w:rsidP="00B122A1">
            <w:pPr>
              <w:widowControl w:val="0"/>
              <w:tabs>
                <w:tab w:val="left" w:pos="0"/>
                <w:tab w:val="right" w:pos="9214"/>
              </w:tabs>
              <w:spacing w:before="120" w:after="120" w:line="240" w:lineRule="auto"/>
              <w:jc w:val="both"/>
              <w:rPr>
                <w:rFonts w:ascii="Verdana" w:hAnsi="Verdana"/>
                <w:b/>
                <w:sz w:val="16"/>
                <w:szCs w:val="16"/>
                <w:lang w:val="bg-BG"/>
              </w:rPr>
            </w:pPr>
            <w:r>
              <w:rPr>
                <w:rFonts w:ascii="Verdana" w:hAnsi="Verdana"/>
                <w:b/>
                <w:sz w:val="16"/>
                <w:szCs w:val="16"/>
                <w:lang w:val="bg-BG"/>
              </w:rPr>
              <w:t xml:space="preserve">ИП1. </w:t>
            </w:r>
            <w:r w:rsidRPr="00D248A9">
              <w:rPr>
                <w:rFonts w:ascii="Verdana" w:hAnsi="Verdana" w:cs="Arial Narrow"/>
                <w:i/>
                <w:color w:val="000000"/>
                <w:sz w:val="16"/>
                <w:szCs w:val="16"/>
                <w:lang w:val="bg-BG"/>
              </w:rPr>
              <w:t>Укрепване на инфраструктурата, необходима за научноизследователска и иновационна дейност (НИД) и на капацитета за реализиране на достижения в областта на научноизследователската и иновационната дейност и насърчаване на центрове на компетентност, по-специално центрове, които са от интерес за Европа.</w:t>
            </w:r>
          </w:p>
        </w:tc>
      </w:tr>
      <w:tr w:rsidR="005A01D9" w:rsidRPr="00B45B4F" w:rsidTr="00637FBD">
        <w:tc>
          <w:tcPr>
            <w:tcW w:w="2581" w:type="dxa"/>
            <w:vMerge w:val="restart"/>
          </w:tcPr>
          <w:p w:rsidR="005A01D9" w:rsidRDefault="005A01D9" w:rsidP="00B122A1">
            <w:pPr>
              <w:widowControl w:val="0"/>
              <w:tabs>
                <w:tab w:val="left" w:pos="0"/>
                <w:tab w:val="right" w:pos="9214"/>
              </w:tabs>
              <w:spacing w:after="0" w:line="240" w:lineRule="auto"/>
              <w:jc w:val="both"/>
              <w:rPr>
                <w:rFonts w:ascii="Verdana" w:hAnsi="Verdana"/>
                <w:sz w:val="16"/>
                <w:szCs w:val="16"/>
                <w:lang w:val="bg-BG"/>
              </w:rPr>
            </w:pPr>
            <w:r>
              <w:rPr>
                <w:rFonts w:ascii="Verdana" w:hAnsi="Verdana"/>
                <w:sz w:val="16"/>
                <w:szCs w:val="16"/>
                <w:lang w:val="bg-BG"/>
              </w:rPr>
              <w:t xml:space="preserve">СЦ1. </w:t>
            </w:r>
            <w:r w:rsidRPr="00545605">
              <w:rPr>
                <w:rFonts w:ascii="Verdana" w:hAnsi="Verdana"/>
                <w:sz w:val="16"/>
                <w:szCs w:val="16"/>
                <w:lang w:val="bg-BG"/>
              </w:rPr>
              <w:t>Модернизиране на съществуващи центрове за върхови постижения и центрове за компетентност и целенасочено създаване на нови такива структури въз основа на техния потенциал за принос към базата знания и иновационния капацитет в концентрирани ПО.</w:t>
            </w:r>
          </w:p>
          <w:p w:rsidR="005A01D9" w:rsidRPr="00545605" w:rsidRDefault="005A01D9" w:rsidP="00B122A1">
            <w:pPr>
              <w:widowControl w:val="0"/>
              <w:tabs>
                <w:tab w:val="left" w:pos="0"/>
                <w:tab w:val="right" w:pos="9214"/>
              </w:tabs>
              <w:spacing w:after="0" w:line="240" w:lineRule="auto"/>
              <w:jc w:val="both"/>
              <w:rPr>
                <w:rFonts w:ascii="Verdana" w:hAnsi="Verdana"/>
                <w:sz w:val="16"/>
                <w:szCs w:val="16"/>
                <w:lang w:val="bg-BG"/>
              </w:rPr>
            </w:pPr>
          </w:p>
          <w:p w:rsidR="005A01D9" w:rsidRPr="00545605" w:rsidRDefault="005A01D9" w:rsidP="00B122A1">
            <w:pPr>
              <w:widowControl w:val="0"/>
              <w:tabs>
                <w:tab w:val="left" w:pos="0"/>
                <w:tab w:val="right" w:pos="9214"/>
              </w:tabs>
              <w:spacing w:after="0" w:line="240" w:lineRule="auto"/>
              <w:jc w:val="both"/>
              <w:rPr>
                <w:rFonts w:ascii="Verdana" w:hAnsi="Verdana"/>
                <w:sz w:val="16"/>
                <w:szCs w:val="16"/>
                <w:lang w:val="bg-BG"/>
              </w:rPr>
            </w:pPr>
            <w:r>
              <w:rPr>
                <w:rFonts w:ascii="Verdana" w:hAnsi="Verdana"/>
                <w:sz w:val="16"/>
                <w:szCs w:val="16"/>
                <w:lang w:val="bg-BG"/>
              </w:rPr>
              <w:t xml:space="preserve">СЦ2. </w:t>
            </w:r>
            <w:r w:rsidRPr="00545605">
              <w:rPr>
                <w:rFonts w:ascii="Verdana" w:hAnsi="Verdana"/>
                <w:sz w:val="16"/>
                <w:szCs w:val="16"/>
                <w:lang w:val="bg-BG"/>
              </w:rPr>
              <w:t xml:space="preserve">Поддържане и развитие на научноизследователската инфраструктура с цел утвърждаване на университетите и научните организации като регионални фондове на знанието и технологиите и/ или изпълняване на функции на разпределителни възли в подкрепа на реализацията и устойчивостта на паневропейските научноизследователски </w:t>
            </w:r>
            <w:r w:rsidRPr="00545605">
              <w:rPr>
                <w:rFonts w:ascii="Verdana" w:hAnsi="Verdana"/>
                <w:sz w:val="16"/>
                <w:szCs w:val="16"/>
                <w:lang w:val="bg-BG"/>
              </w:rPr>
              <w:lastRenderedPageBreak/>
              <w:t>съоръжения.</w:t>
            </w:r>
          </w:p>
        </w:tc>
        <w:tc>
          <w:tcPr>
            <w:tcW w:w="1842" w:type="dxa"/>
            <w:vAlign w:val="center"/>
          </w:tcPr>
          <w:p w:rsidR="005A01D9" w:rsidRPr="00931391" w:rsidRDefault="005A01D9" w:rsidP="00B122A1">
            <w:pPr>
              <w:widowControl w:val="0"/>
              <w:tabs>
                <w:tab w:val="left" w:pos="0"/>
                <w:tab w:val="right" w:pos="9214"/>
              </w:tabs>
              <w:spacing w:after="0" w:line="240" w:lineRule="auto"/>
              <w:rPr>
                <w:rFonts w:ascii="Verdana" w:hAnsi="Verdana"/>
                <w:bCs/>
                <w:color w:val="000000"/>
                <w:sz w:val="16"/>
                <w:szCs w:val="16"/>
                <w:lang w:val="bg-BG"/>
              </w:rPr>
            </w:pPr>
            <w:proofErr w:type="spellStart"/>
            <w:r w:rsidRPr="00931391">
              <w:rPr>
                <w:rFonts w:ascii="Verdana" w:hAnsi="Verdana"/>
                <w:sz w:val="16"/>
                <w:szCs w:val="16"/>
              </w:rPr>
              <w:lastRenderedPageBreak/>
              <w:t>Подкрепени</w:t>
            </w:r>
            <w:proofErr w:type="spellEnd"/>
            <w:r w:rsidRPr="00931391">
              <w:rPr>
                <w:rFonts w:ascii="Verdana" w:hAnsi="Verdana"/>
                <w:sz w:val="16"/>
                <w:szCs w:val="16"/>
              </w:rPr>
              <w:t xml:space="preserve"> </w:t>
            </w:r>
            <w:proofErr w:type="spellStart"/>
            <w:r w:rsidRPr="00931391">
              <w:rPr>
                <w:rFonts w:ascii="Verdana" w:hAnsi="Verdana"/>
                <w:sz w:val="16"/>
                <w:szCs w:val="16"/>
              </w:rPr>
              <w:t>центрове</w:t>
            </w:r>
            <w:proofErr w:type="spellEnd"/>
            <w:r w:rsidRPr="00931391">
              <w:rPr>
                <w:rFonts w:ascii="Verdana" w:hAnsi="Verdana"/>
                <w:sz w:val="16"/>
                <w:szCs w:val="16"/>
              </w:rPr>
              <w:t xml:space="preserve"> </w:t>
            </w:r>
            <w:proofErr w:type="spellStart"/>
            <w:r w:rsidRPr="00931391">
              <w:rPr>
                <w:rFonts w:ascii="Verdana" w:hAnsi="Verdana"/>
                <w:sz w:val="16"/>
                <w:szCs w:val="16"/>
              </w:rPr>
              <w:t>за</w:t>
            </w:r>
            <w:proofErr w:type="spellEnd"/>
            <w:r w:rsidRPr="00931391">
              <w:rPr>
                <w:rFonts w:ascii="Verdana" w:hAnsi="Verdana"/>
                <w:sz w:val="16"/>
                <w:szCs w:val="16"/>
              </w:rPr>
              <w:t xml:space="preserve"> </w:t>
            </w:r>
            <w:proofErr w:type="spellStart"/>
            <w:r w:rsidRPr="00931391">
              <w:rPr>
                <w:rFonts w:ascii="Verdana" w:hAnsi="Verdana"/>
                <w:sz w:val="16"/>
                <w:szCs w:val="16"/>
              </w:rPr>
              <w:t>върхови</w:t>
            </w:r>
            <w:proofErr w:type="spellEnd"/>
            <w:r w:rsidRPr="00931391">
              <w:rPr>
                <w:rFonts w:ascii="Verdana" w:hAnsi="Verdana"/>
                <w:sz w:val="16"/>
                <w:szCs w:val="16"/>
              </w:rPr>
              <w:t xml:space="preserve"> </w:t>
            </w:r>
            <w:proofErr w:type="spellStart"/>
            <w:r w:rsidRPr="00931391">
              <w:rPr>
                <w:rFonts w:ascii="Verdana" w:hAnsi="Verdana"/>
                <w:sz w:val="16"/>
                <w:szCs w:val="16"/>
              </w:rPr>
              <w:t>постижения</w:t>
            </w:r>
            <w:proofErr w:type="spellEnd"/>
            <w:r w:rsidRPr="00931391">
              <w:rPr>
                <w:rFonts w:ascii="Verdana" w:hAnsi="Verdana"/>
                <w:sz w:val="16"/>
                <w:szCs w:val="16"/>
              </w:rPr>
              <w:t xml:space="preserve"> и </w:t>
            </w:r>
            <w:proofErr w:type="spellStart"/>
            <w:r w:rsidRPr="00931391">
              <w:rPr>
                <w:rFonts w:ascii="Verdana" w:hAnsi="Verdana"/>
                <w:sz w:val="16"/>
                <w:szCs w:val="16"/>
              </w:rPr>
              <w:t>центрове</w:t>
            </w:r>
            <w:proofErr w:type="spellEnd"/>
            <w:r w:rsidRPr="00931391">
              <w:rPr>
                <w:rFonts w:ascii="Verdana" w:hAnsi="Verdana"/>
                <w:sz w:val="16"/>
                <w:szCs w:val="16"/>
              </w:rPr>
              <w:t xml:space="preserve"> </w:t>
            </w:r>
            <w:proofErr w:type="spellStart"/>
            <w:r w:rsidRPr="00931391">
              <w:rPr>
                <w:rFonts w:ascii="Verdana" w:hAnsi="Verdana"/>
                <w:sz w:val="16"/>
                <w:szCs w:val="16"/>
              </w:rPr>
              <w:t>за</w:t>
            </w:r>
            <w:proofErr w:type="spellEnd"/>
            <w:r w:rsidRPr="00931391">
              <w:rPr>
                <w:rFonts w:ascii="Verdana" w:hAnsi="Verdana"/>
                <w:sz w:val="16"/>
                <w:szCs w:val="16"/>
              </w:rPr>
              <w:t xml:space="preserve"> </w:t>
            </w:r>
            <w:proofErr w:type="spellStart"/>
            <w:r w:rsidRPr="00931391">
              <w:rPr>
                <w:rFonts w:ascii="Verdana" w:hAnsi="Verdana"/>
                <w:sz w:val="16"/>
                <w:szCs w:val="16"/>
              </w:rPr>
              <w:t>компетентност</w:t>
            </w:r>
            <w:proofErr w:type="spellEnd"/>
          </w:p>
        </w:tc>
        <w:tc>
          <w:tcPr>
            <w:tcW w:w="1418" w:type="dxa"/>
            <w:vAlign w:val="center"/>
          </w:tcPr>
          <w:p w:rsidR="005A01D9" w:rsidRPr="00B45B4F" w:rsidRDefault="005A01D9" w:rsidP="00B122A1">
            <w:pPr>
              <w:rPr>
                <w:rFonts w:ascii="Verdana" w:hAnsi="Verdana"/>
                <w:bCs/>
                <w:color w:val="000000"/>
                <w:sz w:val="16"/>
                <w:szCs w:val="16"/>
                <w:lang w:val="bg-BG"/>
              </w:rPr>
            </w:pPr>
            <w:r>
              <w:rPr>
                <w:rFonts w:ascii="Verdana" w:hAnsi="Verdana"/>
                <w:bCs/>
                <w:color w:val="000000"/>
                <w:sz w:val="16"/>
                <w:szCs w:val="16"/>
                <w:lang w:val="bg-BG"/>
              </w:rPr>
              <w:t>Индикаторът е уместен</w:t>
            </w:r>
          </w:p>
        </w:tc>
        <w:tc>
          <w:tcPr>
            <w:tcW w:w="1559" w:type="dxa"/>
            <w:vAlign w:val="center"/>
          </w:tcPr>
          <w:p w:rsidR="005A01D9" w:rsidRPr="00B45B4F" w:rsidRDefault="005A01D9" w:rsidP="00B122A1">
            <w:pPr>
              <w:rPr>
                <w:rFonts w:ascii="Verdana" w:hAnsi="Verdana"/>
                <w:bCs/>
                <w:color w:val="000000"/>
                <w:sz w:val="16"/>
                <w:szCs w:val="16"/>
                <w:lang w:val="bg-BG"/>
              </w:rPr>
            </w:pPr>
            <w:r>
              <w:rPr>
                <w:rFonts w:ascii="Verdana" w:hAnsi="Verdana"/>
                <w:bCs/>
                <w:color w:val="000000"/>
                <w:sz w:val="16"/>
                <w:szCs w:val="16"/>
                <w:lang w:val="bg-BG"/>
              </w:rPr>
              <w:t>Индикаторът е ясен</w:t>
            </w:r>
          </w:p>
        </w:tc>
        <w:tc>
          <w:tcPr>
            <w:tcW w:w="851" w:type="dxa"/>
            <w:vAlign w:val="center"/>
          </w:tcPr>
          <w:p w:rsidR="005A01D9" w:rsidRPr="00E22D21" w:rsidRDefault="005A01D9" w:rsidP="00B122A1">
            <w:pPr>
              <w:spacing w:after="0" w:line="240" w:lineRule="auto"/>
              <w:rPr>
                <w:rFonts w:ascii="Verdana" w:hAnsi="Verdana"/>
                <w:sz w:val="16"/>
                <w:szCs w:val="16"/>
              </w:rPr>
            </w:pPr>
            <w:proofErr w:type="spellStart"/>
            <w:r w:rsidRPr="00E22D21">
              <w:rPr>
                <w:rFonts w:ascii="Verdana" w:hAnsi="Verdana"/>
                <w:sz w:val="16"/>
                <w:szCs w:val="16"/>
              </w:rPr>
              <w:t>Брой</w:t>
            </w:r>
            <w:proofErr w:type="spellEnd"/>
          </w:p>
        </w:tc>
        <w:tc>
          <w:tcPr>
            <w:tcW w:w="992" w:type="dxa"/>
            <w:vAlign w:val="center"/>
          </w:tcPr>
          <w:p w:rsidR="005A01D9" w:rsidRPr="00E22D21" w:rsidRDefault="005A01D9" w:rsidP="00B122A1">
            <w:pPr>
              <w:spacing w:after="0" w:line="240" w:lineRule="auto"/>
              <w:rPr>
                <w:rFonts w:ascii="Verdana" w:hAnsi="Verdana"/>
                <w:sz w:val="16"/>
                <w:szCs w:val="16"/>
              </w:rPr>
            </w:pPr>
            <w:r w:rsidRPr="00E22D21">
              <w:rPr>
                <w:rFonts w:ascii="Verdana" w:hAnsi="Verdana"/>
                <w:sz w:val="16"/>
                <w:szCs w:val="16"/>
              </w:rPr>
              <w:t>0</w:t>
            </w:r>
          </w:p>
        </w:tc>
        <w:tc>
          <w:tcPr>
            <w:tcW w:w="850" w:type="dxa"/>
            <w:vAlign w:val="center"/>
          </w:tcPr>
          <w:p w:rsidR="005A01D9" w:rsidRPr="00E22D21" w:rsidRDefault="005A01D9" w:rsidP="00B122A1">
            <w:pPr>
              <w:spacing w:after="0" w:line="240" w:lineRule="auto"/>
              <w:rPr>
                <w:rFonts w:ascii="Verdana" w:hAnsi="Verdana"/>
                <w:sz w:val="16"/>
                <w:szCs w:val="16"/>
              </w:rPr>
            </w:pPr>
            <w:r w:rsidRPr="00E22D21">
              <w:rPr>
                <w:rFonts w:ascii="Verdana" w:hAnsi="Verdana"/>
                <w:sz w:val="16"/>
                <w:szCs w:val="16"/>
              </w:rPr>
              <w:t>0</w:t>
            </w:r>
          </w:p>
        </w:tc>
        <w:tc>
          <w:tcPr>
            <w:tcW w:w="993" w:type="dxa"/>
            <w:vAlign w:val="center"/>
          </w:tcPr>
          <w:p w:rsidR="005A01D9" w:rsidRPr="00E22D21" w:rsidRDefault="005A01D9" w:rsidP="00B122A1">
            <w:pPr>
              <w:spacing w:after="0" w:line="240" w:lineRule="auto"/>
              <w:rPr>
                <w:rFonts w:ascii="Verdana" w:hAnsi="Verdana"/>
                <w:sz w:val="16"/>
                <w:szCs w:val="16"/>
              </w:rPr>
            </w:pPr>
            <w:r w:rsidRPr="00E22D21">
              <w:rPr>
                <w:rFonts w:ascii="Verdana" w:hAnsi="Verdana"/>
                <w:sz w:val="16"/>
                <w:szCs w:val="16"/>
              </w:rPr>
              <w:t>8</w:t>
            </w:r>
          </w:p>
        </w:tc>
        <w:tc>
          <w:tcPr>
            <w:tcW w:w="3798" w:type="dxa"/>
            <w:vAlign w:val="center"/>
          </w:tcPr>
          <w:p w:rsidR="005A01D9" w:rsidRPr="00B45B4F" w:rsidRDefault="005A01D9" w:rsidP="00B122A1">
            <w:pPr>
              <w:rPr>
                <w:rFonts w:ascii="Verdana" w:hAnsi="Verdana"/>
                <w:bCs/>
                <w:color w:val="000000"/>
                <w:sz w:val="16"/>
                <w:szCs w:val="16"/>
                <w:lang w:val="bg-BG"/>
              </w:rPr>
            </w:pPr>
            <w:r>
              <w:rPr>
                <w:rFonts w:ascii="Verdana" w:hAnsi="Verdana"/>
                <w:bCs/>
                <w:color w:val="000000"/>
                <w:sz w:val="16"/>
                <w:szCs w:val="16"/>
                <w:lang w:val="bg-BG"/>
              </w:rPr>
              <w:t>Оперативната програма идентифицира 6 приоритетни области за финансиране на центрове за върхови постижения. Предвид на това целевата стойност изглежда реалистична. Няма специфициране или ограничение по отношение на това, какво точно ще бъде модернизирано, поради това не може да се обвърже планираното финансиране с броя на центровете, които ще бъдат подкрепени. Разумно е да не се планира междинна стойност, предвид на факта , че това са големи проекти, които ще изискват време за подготовка и осъществяване.</w:t>
            </w:r>
          </w:p>
        </w:tc>
      </w:tr>
      <w:tr w:rsidR="005A01D9" w:rsidRPr="00B45B4F" w:rsidTr="00637FBD">
        <w:tc>
          <w:tcPr>
            <w:tcW w:w="2581" w:type="dxa"/>
            <w:vMerge/>
          </w:tcPr>
          <w:p w:rsidR="005A01D9" w:rsidRDefault="005A01D9" w:rsidP="00B122A1">
            <w:pPr>
              <w:widowControl w:val="0"/>
              <w:tabs>
                <w:tab w:val="left" w:pos="0"/>
                <w:tab w:val="right" w:pos="9214"/>
              </w:tabs>
              <w:spacing w:after="0" w:line="240" w:lineRule="auto"/>
              <w:jc w:val="both"/>
              <w:rPr>
                <w:rFonts w:ascii="Verdana" w:hAnsi="Verdana"/>
                <w:sz w:val="16"/>
                <w:szCs w:val="16"/>
                <w:lang w:val="bg-BG"/>
              </w:rPr>
            </w:pPr>
          </w:p>
        </w:tc>
        <w:tc>
          <w:tcPr>
            <w:tcW w:w="1842" w:type="dxa"/>
            <w:vAlign w:val="center"/>
          </w:tcPr>
          <w:p w:rsidR="005A01D9" w:rsidRPr="00931391" w:rsidRDefault="005A01D9" w:rsidP="00B122A1">
            <w:pPr>
              <w:widowControl w:val="0"/>
              <w:tabs>
                <w:tab w:val="left" w:pos="0"/>
                <w:tab w:val="right" w:pos="9214"/>
              </w:tabs>
              <w:spacing w:after="0" w:line="240" w:lineRule="auto"/>
              <w:rPr>
                <w:rFonts w:ascii="Verdana" w:hAnsi="Verdana"/>
                <w:sz w:val="16"/>
                <w:szCs w:val="16"/>
              </w:rPr>
            </w:pPr>
            <w:proofErr w:type="spellStart"/>
            <w:r w:rsidRPr="00931391">
              <w:rPr>
                <w:rFonts w:ascii="Verdana" w:hAnsi="Verdana"/>
                <w:sz w:val="16"/>
                <w:szCs w:val="16"/>
              </w:rPr>
              <w:t>Изградени</w:t>
            </w:r>
            <w:proofErr w:type="spellEnd"/>
            <w:r w:rsidRPr="00931391">
              <w:rPr>
                <w:rFonts w:ascii="Verdana" w:hAnsi="Verdana"/>
                <w:sz w:val="16"/>
                <w:szCs w:val="16"/>
              </w:rPr>
              <w:t xml:space="preserve"> </w:t>
            </w:r>
            <w:proofErr w:type="spellStart"/>
            <w:r w:rsidRPr="00931391">
              <w:rPr>
                <w:rFonts w:ascii="Verdana" w:hAnsi="Verdana"/>
                <w:sz w:val="16"/>
                <w:szCs w:val="16"/>
              </w:rPr>
              <w:t>научни</w:t>
            </w:r>
            <w:proofErr w:type="spellEnd"/>
            <w:r w:rsidRPr="00931391">
              <w:rPr>
                <w:rFonts w:ascii="Verdana" w:hAnsi="Verdana"/>
                <w:sz w:val="16"/>
                <w:szCs w:val="16"/>
              </w:rPr>
              <w:t xml:space="preserve"> </w:t>
            </w:r>
            <w:proofErr w:type="spellStart"/>
            <w:r w:rsidRPr="00931391">
              <w:rPr>
                <w:rFonts w:ascii="Verdana" w:hAnsi="Verdana"/>
                <w:sz w:val="16"/>
                <w:szCs w:val="16"/>
              </w:rPr>
              <w:t>инфраструктури</w:t>
            </w:r>
            <w:proofErr w:type="spellEnd"/>
          </w:p>
        </w:tc>
        <w:tc>
          <w:tcPr>
            <w:tcW w:w="1418" w:type="dxa"/>
            <w:vAlign w:val="center"/>
          </w:tcPr>
          <w:p w:rsidR="005A01D9" w:rsidRPr="00B45B4F" w:rsidRDefault="005A01D9" w:rsidP="00B122A1">
            <w:pPr>
              <w:rPr>
                <w:rFonts w:ascii="Verdana" w:hAnsi="Verdana"/>
                <w:bCs/>
                <w:color w:val="000000"/>
                <w:sz w:val="16"/>
                <w:szCs w:val="16"/>
                <w:lang w:val="bg-BG"/>
              </w:rPr>
            </w:pPr>
            <w:r>
              <w:rPr>
                <w:rFonts w:ascii="Verdana" w:hAnsi="Verdana"/>
                <w:bCs/>
                <w:color w:val="000000"/>
                <w:sz w:val="16"/>
                <w:szCs w:val="16"/>
                <w:lang w:val="bg-BG"/>
              </w:rPr>
              <w:t xml:space="preserve">Индикаторът е уместен. </w:t>
            </w:r>
          </w:p>
        </w:tc>
        <w:tc>
          <w:tcPr>
            <w:tcW w:w="1559" w:type="dxa"/>
            <w:vAlign w:val="center"/>
          </w:tcPr>
          <w:p w:rsidR="005A01D9" w:rsidRPr="00B45B4F" w:rsidRDefault="005A01D9" w:rsidP="00B122A1">
            <w:pPr>
              <w:rPr>
                <w:rFonts w:ascii="Verdana" w:hAnsi="Verdana"/>
                <w:bCs/>
                <w:color w:val="000000"/>
                <w:sz w:val="16"/>
                <w:szCs w:val="16"/>
                <w:lang w:val="bg-BG"/>
              </w:rPr>
            </w:pPr>
            <w:r>
              <w:rPr>
                <w:rFonts w:ascii="Verdana" w:hAnsi="Verdana"/>
                <w:bCs/>
                <w:color w:val="000000"/>
                <w:sz w:val="16"/>
                <w:szCs w:val="16"/>
                <w:lang w:val="bg-BG"/>
              </w:rPr>
              <w:t>Индикаторът е ясен</w:t>
            </w:r>
          </w:p>
        </w:tc>
        <w:tc>
          <w:tcPr>
            <w:tcW w:w="851" w:type="dxa"/>
            <w:vAlign w:val="center"/>
          </w:tcPr>
          <w:p w:rsidR="005A01D9" w:rsidRPr="00E22D21" w:rsidRDefault="005A01D9" w:rsidP="00B122A1">
            <w:pPr>
              <w:spacing w:after="0" w:line="240" w:lineRule="auto"/>
              <w:rPr>
                <w:rFonts w:ascii="Verdana" w:hAnsi="Verdana"/>
                <w:sz w:val="16"/>
                <w:szCs w:val="16"/>
              </w:rPr>
            </w:pPr>
            <w:proofErr w:type="spellStart"/>
            <w:r>
              <w:rPr>
                <w:rFonts w:ascii="Verdana" w:hAnsi="Verdana"/>
                <w:sz w:val="16"/>
                <w:szCs w:val="16"/>
              </w:rPr>
              <w:t>Брой</w:t>
            </w:r>
            <w:proofErr w:type="spellEnd"/>
          </w:p>
        </w:tc>
        <w:tc>
          <w:tcPr>
            <w:tcW w:w="992" w:type="dxa"/>
            <w:vAlign w:val="center"/>
          </w:tcPr>
          <w:p w:rsidR="005A01D9" w:rsidRPr="00E22D21" w:rsidRDefault="005A01D9" w:rsidP="00B122A1">
            <w:pPr>
              <w:spacing w:after="0" w:line="240" w:lineRule="auto"/>
              <w:rPr>
                <w:rFonts w:ascii="Verdana" w:hAnsi="Verdana"/>
                <w:sz w:val="16"/>
                <w:szCs w:val="16"/>
                <w:lang w:val="bg-BG"/>
              </w:rPr>
            </w:pPr>
            <w:r>
              <w:rPr>
                <w:rFonts w:ascii="Verdana" w:hAnsi="Verdana"/>
                <w:sz w:val="16"/>
                <w:szCs w:val="16"/>
                <w:lang w:val="bg-BG"/>
              </w:rPr>
              <w:t>0</w:t>
            </w:r>
          </w:p>
        </w:tc>
        <w:tc>
          <w:tcPr>
            <w:tcW w:w="850" w:type="dxa"/>
            <w:vAlign w:val="center"/>
          </w:tcPr>
          <w:p w:rsidR="005A01D9" w:rsidRPr="00E22D21" w:rsidRDefault="005A01D9" w:rsidP="00B122A1">
            <w:pPr>
              <w:spacing w:after="0" w:line="240" w:lineRule="auto"/>
              <w:rPr>
                <w:rFonts w:ascii="Verdana" w:hAnsi="Verdana"/>
                <w:sz w:val="16"/>
                <w:szCs w:val="16"/>
              </w:rPr>
            </w:pPr>
            <w:r w:rsidRPr="00E22D21">
              <w:rPr>
                <w:rFonts w:ascii="Verdana" w:hAnsi="Verdana"/>
                <w:sz w:val="16"/>
                <w:szCs w:val="16"/>
              </w:rPr>
              <w:t>5</w:t>
            </w:r>
          </w:p>
        </w:tc>
        <w:tc>
          <w:tcPr>
            <w:tcW w:w="993" w:type="dxa"/>
            <w:vAlign w:val="center"/>
          </w:tcPr>
          <w:p w:rsidR="005A01D9" w:rsidRPr="00E22D21" w:rsidRDefault="005A01D9" w:rsidP="00B122A1">
            <w:pPr>
              <w:spacing w:after="0" w:line="240" w:lineRule="auto"/>
              <w:rPr>
                <w:rFonts w:ascii="Verdana" w:hAnsi="Verdana"/>
                <w:sz w:val="16"/>
                <w:szCs w:val="16"/>
              </w:rPr>
            </w:pPr>
            <w:r w:rsidRPr="00E22D21">
              <w:rPr>
                <w:rFonts w:ascii="Verdana" w:hAnsi="Verdana"/>
                <w:sz w:val="16"/>
                <w:szCs w:val="16"/>
              </w:rPr>
              <w:t>9</w:t>
            </w:r>
          </w:p>
        </w:tc>
        <w:tc>
          <w:tcPr>
            <w:tcW w:w="3798" w:type="dxa"/>
            <w:vAlign w:val="center"/>
          </w:tcPr>
          <w:p w:rsidR="005A01D9" w:rsidRPr="00B45B4F" w:rsidRDefault="005A01D9" w:rsidP="00B122A1">
            <w:pPr>
              <w:rPr>
                <w:rFonts w:ascii="Verdana" w:hAnsi="Verdana"/>
                <w:bCs/>
                <w:color w:val="000000"/>
                <w:sz w:val="16"/>
                <w:szCs w:val="16"/>
                <w:lang w:val="bg-BG"/>
              </w:rPr>
            </w:pPr>
            <w:r>
              <w:rPr>
                <w:rFonts w:ascii="Verdana" w:hAnsi="Verdana"/>
                <w:bCs/>
                <w:color w:val="000000"/>
                <w:sz w:val="16"/>
                <w:szCs w:val="16"/>
                <w:lang w:val="bg-BG"/>
              </w:rPr>
              <w:t xml:space="preserve">Оперативната програма не идентифицира определени потенциални научни инфраструктури. Очаква се подкрепата да бъде предоставена на конкурентен принцип. Залагането на междинна стойност носи риск от неизпълнение, предвид на това, че проектите са значително големи и подготовката и изпълнението им изисква време. МОН е </w:t>
            </w:r>
            <w:r>
              <w:rPr>
                <w:rFonts w:ascii="Verdana" w:hAnsi="Verdana"/>
                <w:bCs/>
                <w:color w:val="000000"/>
                <w:sz w:val="16"/>
                <w:szCs w:val="16"/>
                <w:lang w:val="bg-BG"/>
              </w:rPr>
              <w:lastRenderedPageBreak/>
              <w:t xml:space="preserve">стартирало процедура за предварителна селекция на проекти идеи и все пак, е препоръчително да се преразгледа – най-малко намали междинната стойност на индикатора за 2018 г. </w:t>
            </w:r>
          </w:p>
        </w:tc>
      </w:tr>
      <w:tr w:rsidR="005A01D9" w:rsidRPr="00B45B4F" w:rsidTr="00637FBD">
        <w:tc>
          <w:tcPr>
            <w:tcW w:w="14884" w:type="dxa"/>
            <w:gridSpan w:val="9"/>
            <w:shd w:val="clear" w:color="auto" w:fill="F2DBDB" w:themeFill="accent2" w:themeFillTint="33"/>
          </w:tcPr>
          <w:p w:rsidR="005A01D9" w:rsidRPr="00D248A9" w:rsidRDefault="005A01D9" w:rsidP="00B122A1">
            <w:pPr>
              <w:keepNext/>
              <w:tabs>
                <w:tab w:val="left" w:pos="0"/>
                <w:tab w:val="right" w:pos="9214"/>
              </w:tabs>
              <w:spacing w:after="0" w:line="240" w:lineRule="auto"/>
              <w:jc w:val="both"/>
              <w:rPr>
                <w:rFonts w:ascii="Verdana" w:hAnsi="Verdana"/>
                <w:sz w:val="16"/>
                <w:szCs w:val="16"/>
                <w:lang w:val="bg-BG"/>
              </w:rPr>
            </w:pPr>
            <w:r w:rsidRPr="00D248A9">
              <w:rPr>
                <w:rFonts w:ascii="Verdana" w:hAnsi="Verdana"/>
                <w:b/>
                <w:bCs/>
                <w:color w:val="000000"/>
                <w:sz w:val="16"/>
                <w:szCs w:val="16"/>
                <w:lang w:val="bg-BG"/>
              </w:rPr>
              <w:lastRenderedPageBreak/>
              <w:t>ИП2.</w:t>
            </w:r>
            <w:r w:rsidRPr="00D248A9">
              <w:rPr>
                <w:rFonts w:ascii="Verdana" w:hAnsi="Verdana"/>
                <w:bCs/>
                <w:color w:val="000000"/>
                <w:sz w:val="16"/>
                <w:szCs w:val="16"/>
                <w:lang w:val="bg-BG"/>
              </w:rPr>
              <w:t xml:space="preserve"> </w:t>
            </w:r>
            <w:r w:rsidRPr="00D248A9">
              <w:rPr>
                <w:rFonts w:ascii="Verdana" w:hAnsi="Verdana" w:cs="Arial Narrow"/>
                <w:i/>
                <w:color w:val="000000"/>
                <w:sz w:val="16"/>
                <w:szCs w:val="16"/>
                <w:lang w:val="bg-BG"/>
              </w:rPr>
              <w:t xml:space="preserve">Насърчаване на инвестициите на предприятията в НИД, разработване на връзки и взаимодействие между предприятията, центровете за научноизследователска и развойна дейност и сектора на висшите учебни заведения, по-специално поощряване на инвестициите в разработването на продукти и услуги, на трансфера на технологии, на социалната иновация, </w:t>
            </w:r>
            <w:proofErr w:type="spellStart"/>
            <w:r w:rsidRPr="00D248A9">
              <w:rPr>
                <w:rFonts w:ascii="Verdana" w:hAnsi="Verdana" w:cs="Arial Narrow"/>
                <w:i/>
                <w:color w:val="000000"/>
                <w:sz w:val="16"/>
                <w:szCs w:val="16"/>
                <w:lang w:val="bg-BG"/>
              </w:rPr>
              <w:t>екоиновациите</w:t>
            </w:r>
            <w:proofErr w:type="spellEnd"/>
            <w:r w:rsidRPr="00D248A9">
              <w:rPr>
                <w:rFonts w:ascii="Verdana" w:hAnsi="Verdana" w:cs="Arial Narrow"/>
                <w:i/>
                <w:color w:val="000000"/>
                <w:sz w:val="16"/>
                <w:szCs w:val="16"/>
                <w:lang w:val="bg-BG"/>
              </w:rPr>
              <w:t xml:space="preserve"> и приложенията за публични услуги, на стимулирането на търсенето, на изграждането на мрежи, на клъстерите и на отворените иновации посредством интелигентна специализация и подпомагане на технологичните и приложните научни изследвания, пилотни линии, действия за одобрение на продуктите на начален етап, усъвършенствани производствени възможности и пилотно производство, по-специално в ключови базови технологии, както и разпространението на технологии с общо предназначение.</w:t>
            </w:r>
          </w:p>
        </w:tc>
      </w:tr>
      <w:tr w:rsidR="005A01D9" w:rsidRPr="00B45B4F" w:rsidTr="00637FBD">
        <w:tc>
          <w:tcPr>
            <w:tcW w:w="2581" w:type="dxa"/>
            <w:vMerge w:val="restart"/>
          </w:tcPr>
          <w:p w:rsidR="005A01D9" w:rsidRPr="00B45B4F" w:rsidRDefault="005A01D9" w:rsidP="00B122A1">
            <w:pPr>
              <w:autoSpaceDE w:val="0"/>
              <w:autoSpaceDN w:val="0"/>
              <w:adjustRightInd w:val="0"/>
              <w:spacing w:after="0" w:line="240" w:lineRule="auto"/>
              <w:jc w:val="both"/>
              <w:rPr>
                <w:rFonts w:ascii="Verdana" w:hAnsi="Verdana"/>
                <w:sz w:val="16"/>
                <w:szCs w:val="16"/>
                <w:lang w:val="bg-BG"/>
              </w:rPr>
            </w:pPr>
            <w:r>
              <w:rPr>
                <w:rFonts w:ascii="Verdana" w:hAnsi="Verdana"/>
                <w:sz w:val="16"/>
                <w:szCs w:val="16"/>
                <w:lang w:val="bg-BG"/>
              </w:rPr>
              <w:t xml:space="preserve">СЦ1. </w:t>
            </w:r>
            <w:r w:rsidRPr="00B45B4F">
              <w:rPr>
                <w:rFonts w:ascii="Verdana" w:hAnsi="Verdana"/>
                <w:sz w:val="16"/>
                <w:szCs w:val="16"/>
                <w:lang w:val="bg-BG"/>
              </w:rPr>
              <w:t>Подкрепа за приложни изследвания и експериментално развитие в приоритетни области, подпомагащи  развитието на икономиката</w:t>
            </w:r>
          </w:p>
        </w:tc>
        <w:tc>
          <w:tcPr>
            <w:tcW w:w="1842" w:type="dxa"/>
            <w:vAlign w:val="center"/>
          </w:tcPr>
          <w:p w:rsidR="005A01D9" w:rsidRPr="00931391" w:rsidRDefault="005A01D9" w:rsidP="00B122A1">
            <w:pPr>
              <w:widowControl w:val="0"/>
              <w:tabs>
                <w:tab w:val="left" w:pos="0"/>
                <w:tab w:val="right" w:pos="9214"/>
              </w:tabs>
              <w:spacing w:after="0" w:line="240" w:lineRule="auto"/>
              <w:rPr>
                <w:rFonts w:ascii="Verdana" w:hAnsi="Verdana"/>
                <w:b/>
                <w:bCs/>
                <w:sz w:val="16"/>
                <w:szCs w:val="16"/>
                <w:lang w:val="bg-BG"/>
              </w:rPr>
            </w:pPr>
            <w:proofErr w:type="spellStart"/>
            <w:r w:rsidRPr="00931391">
              <w:rPr>
                <w:rFonts w:ascii="Verdana" w:hAnsi="Verdana"/>
                <w:sz w:val="16"/>
                <w:szCs w:val="16"/>
              </w:rPr>
              <w:t>Ръст</w:t>
            </w:r>
            <w:proofErr w:type="spellEnd"/>
            <w:r w:rsidRPr="00931391">
              <w:rPr>
                <w:rFonts w:ascii="Verdana" w:hAnsi="Verdana"/>
                <w:sz w:val="16"/>
                <w:szCs w:val="16"/>
              </w:rPr>
              <w:t xml:space="preserve"> </w:t>
            </w:r>
            <w:proofErr w:type="spellStart"/>
            <w:r w:rsidRPr="00931391">
              <w:rPr>
                <w:rFonts w:ascii="Verdana" w:hAnsi="Verdana"/>
                <w:sz w:val="16"/>
                <w:szCs w:val="16"/>
              </w:rPr>
              <w:t>на</w:t>
            </w:r>
            <w:proofErr w:type="spellEnd"/>
            <w:r w:rsidRPr="00931391">
              <w:rPr>
                <w:rFonts w:ascii="Verdana" w:hAnsi="Verdana"/>
                <w:sz w:val="16"/>
                <w:szCs w:val="16"/>
              </w:rPr>
              <w:t xml:space="preserve"> </w:t>
            </w:r>
            <w:proofErr w:type="spellStart"/>
            <w:r w:rsidRPr="00931391">
              <w:rPr>
                <w:rFonts w:ascii="Verdana" w:hAnsi="Verdana"/>
                <w:sz w:val="16"/>
                <w:szCs w:val="16"/>
              </w:rPr>
              <w:t>частните</w:t>
            </w:r>
            <w:proofErr w:type="spellEnd"/>
            <w:r w:rsidRPr="00931391">
              <w:rPr>
                <w:rFonts w:ascii="Verdana" w:hAnsi="Verdana"/>
                <w:sz w:val="16"/>
                <w:szCs w:val="16"/>
              </w:rPr>
              <w:t xml:space="preserve"> </w:t>
            </w:r>
            <w:proofErr w:type="spellStart"/>
            <w:r w:rsidRPr="00931391">
              <w:rPr>
                <w:rFonts w:ascii="Verdana" w:hAnsi="Verdana"/>
                <w:sz w:val="16"/>
                <w:szCs w:val="16"/>
              </w:rPr>
              <w:t>инвестиции</w:t>
            </w:r>
            <w:proofErr w:type="spellEnd"/>
            <w:r w:rsidRPr="00931391">
              <w:rPr>
                <w:rFonts w:ascii="Verdana" w:hAnsi="Verdana"/>
                <w:sz w:val="16"/>
                <w:szCs w:val="16"/>
              </w:rPr>
              <w:t xml:space="preserve"> в НИРД, </w:t>
            </w:r>
            <w:proofErr w:type="spellStart"/>
            <w:r w:rsidRPr="00931391">
              <w:rPr>
                <w:rFonts w:ascii="Verdana" w:hAnsi="Verdana"/>
                <w:sz w:val="16"/>
                <w:szCs w:val="16"/>
              </w:rPr>
              <w:t>допълващи</w:t>
            </w:r>
            <w:proofErr w:type="spellEnd"/>
            <w:r w:rsidRPr="00931391">
              <w:rPr>
                <w:rFonts w:ascii="Verdana" w:hAnsi="Verdana"/>
                <w:sz w:val="16"/>
                <w:szCs w:val="16"/>
              </w:rPr>
              <w:t xml:space="preserve"> </w:t>
            </w:r>
            <w:proofErr w:type="spellStart"/>
            <w:r w:rsidRPr="00931391">
              <w:rPr>
                <w:rFonts w:ascii="Verdana" w:hAnsi="Verdana"/>
                <w:sz w:val="16"/>
                <w:szCs w:val="16"/>
              </w:rPr>
              <w:t>публичната</w:t>
            </w:r>
            <w:proofErr w:type="spellEnd"/>
            <w:r w:rsidRPr="00931391">
              <w:rPr>
                <w:rFonts w:ascii="Verdana" w:hAnsi="Verdana"/>
                <w:sz w:val="16"/>
                <w:szCs w:val="16"/>
              </w:rPr>
              <w:t xml:space="preserve"> </w:t>
            </w:r>
            <w:proofErr w:type="spellStart"/>
            <w:r w:rsidRPr="00931391">
              <w:rPr>
                <w:rFonts w:ascii="Verdana" w:hAnsi="Verdana"/>
                <w:sz w:val="16"/>
                <w:szCs w:val="16"/>
              </w:rPr>
              <w:t>подкрепа</w:t>
            </w:r>
            <w:proofErr w:type="spellEnd"/>
          </w:p>
        </w:tc>
        <w:tc>
          <w:tcPr>
            <w:tcW w:w="1418" w:type="dxa"/>
            <w:vAlign w:val="center"/>
          </w:tcPr>
          <w:p w:rsidR="005A01D9" w:rsidRPr="00931391"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е уместен, но е посочен като индикатор за продукт в Регламент 1301/2013</w:t>
            </w:r>
          </w:p>
        </w:tc>
        <w:tc>
          <w:tcPr>
            <w:tcW w:w="1559" w:type="dxa"/>
            <w:vAlign w:val="center"/>
          </w:tcPr>
          <w:p w:rsidR="005A01D9" w:rsidRPr="00931391"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е ясен</w:t>
            </w:r>
          </w:p>
        </w:tc>
        <w:tc>
          <w:tcPr>
            <w:tcW w:w="851" w:type="dxa"/>
            <w:vAlign w:val="center"/>
          </w:tcPr>
          <w:p w:rsidR="005A01D9" w:rsidRPr="00931391" w:rsidRDefault="005A01D9" w:rsidP="00B122A1">
            <w:pPr>
              <w:spacing w:after="0" w:line="240" w:lineRule="auto"/>
              <w:rPr>
                <w:rFonts w:ascii="Verdana" w:hAnsi="Verdana"/>
                <w:sz w:val="16"/>
                <w:szCs w:val="16"/>
              </w:rPr>
            </w:pPr>
            <w:r w:rsidRPr="00931391">
              <w:rPr>
                <w:rFonts w:ascii="Verdana" w:hAnsi="Verdana"/>
                <w:sz w:val="16"/>
                <w:szCs w:val="16"/>
              </w:rPr>
              <w:t>%</w:t>
            </w:r>
          </w:p>
        </w:tc>
        <w:tc>
          <w:tcPr>
            <w:tcW w:w="992" w:type="dxa"/>
            <w:vAlign w:val="center"/>
          </w:tcPr>
          <w:p w:rsidR="005A01D9" w:rsidRPr="00931391" w:rsidRDefault="005A01D9" w:rsidP="00B122A1">
            <w:pPr>
              <w:spacing w:after="0" w:line="240" w:lineRule="auto"/>
              <w:rPr>
                <w:rFonts w:ascii="Verdana" w:hAnsi="Verdana"/>
                <w:sz w:val="16"/>
                <w:szCs w:val="16"/>
              </w:rPr>
            </w:pPr>
            <w:r w:rsidRPr="00931391">
              <w:rPr>
                <w:rFonts w:ascii="Verdana" w:hAnsi="Verdana"/>
                <w:sz w:val="16"/>
                <w:szCs w:val="16"/>
              </w:rPr>
              <w:t>0</w:t>
            </w:r>
          </w:p>
        </w:tc>
        <w:tc>
          <w:tcPr>
            <w:tcW w:w="850" w:type="dxa"/>
            <w:vAlign w:val="center"/>
          </w:tcPr>
          <w:p w:rsidR="005A01D9" w:rsidRPr="00931391" w:rsidRDefault="005A01D9" w:rsidP="00B122A1">
            <w:pPr>
              <w:spacing w:after="0" w:line="240" w:lineRule="auto"/>
              <w:rPr>
                <w:rFonts w:ascii="Verdana" w:hAnsi="Verdana"/>
                <w:sz w:val="16"/>
                <w:szCs w:val="16"/>
              </w:rPr>
            </w:pPr>
            <w:r w:rsidRPr="00931391">
              <w:rPr>
                <w:rFonts w:ascii="Verdana" w:hAnsi="Verdana"/>
                <w:sz w:val="16"/>
                <w:szCs w:val="16"/>
              </w:rPr>
              <w:t>10</w:t>
            </w:r>
          </w:p>
        </w:tc>
        <w:tc>
          <w:tcPr>
            <w:tcW w:w="993" w:type="dxa"/>
            <w:vAlign w:val="center"/>
          </w:tcPr>
          <w:p w:rsidR="005A01D9" w:rsidRPr="00931391" w:rsidRDefault="005A01D9" w:rsidP="00B122A1">
            <w:pPr>
              <w:spacing w:after="0" w:line="240" w:lineRule="auto"/>
              <w:rPr>
                <w:rFonts w:ascii="Verdana" w:hAnsi="Verdana"/>
                <w:sz w:val="16"/>
                <w:szCs w:val="16"/>
              </w:rPr>
            </w:pPr>
            <w:r w:rsidRPr="00931391">
              <w:rPr>
                <w:rFonts w:ascii="Verdana" w:hAnsi="Verdana"/>
                <w:sz w:val="16"/>
                <w:szCs w:val="16"/>
              </w:rPr>
              <w:t>20</w:t>
            </w:r>
          </w:p>
        </w:tc>
        <w:tc>
          <w:tcPr>
            <w:tcW w:w="3798" w:type="dxa"/>
            <w:vAlign w:val="center"/>
          </w:tcPr>
          <w:p w:rsidR="005A01D9" w:rsidRPr="00931391"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Статистическите данни в периода 2005-2009 показват ръст на частните инвестиции в НИРД в България от над 20%, въпреки техния относително нисък дял (Национална стратегия за развитие на научните изследвания). В периода 2009-2012, обаче инвестициите на частния сектор в НИРД намаляват и към 2012 достигат нивата от преди кризата (НСИ). В тази връзка заложените целеви междина стойност изглеждат реалистични, предвид на очакваното бавно възстановяване на икономиката и подкрепата от програмата. Измерването на индикатора при всички случаи ще изисква базова стойност във вид на количествени единици – левове или евро за да се измери ръста на инвестициите. Поради това е по-уместно да се смени мерната единица за да бъде заложена базова стойност. Препоръчително също така, с цел опростяване на измерването да се мери дела на частните инвестиции от общите инвестиции, а не техният ръст.</w:t>
            </w:r>
          </w:p>
        </w:tc>
      </w:tr>
      <w:tr w:rsidR="005A01D9" w:rsidRPr="00B45B4F" w:rsidTr="00637FBD">
        <w:tc>
          <w:tcPr>
            <w:tcW w:w="2581" w:type="dxa"/>
            <w:vMerge/>
          </w:tcPr>
          <w:p w:rsidR="005A01D9" w:rsidRDefault="005A01D9" w:rsidP="00B122A1">
            <w:pPr>
              <w:autoSpaceDE w:val="0"/>
              <w:autoSpaceDN w:val="0"/>
              <w:adjustRightInd w:val="0"/>
              <w:spacing w:after="0" w:line="240" w:lineRule="auto"/>
              <w:jc w:val="both"/>
              <w:rPr>
                <w:rFonts w:ascii="Verdana" w:hAnsi="Verdana"/>
                <w:sz w:val="16"/>
                <w:szCs w:val="16"/>
                <w:lang w:val="bg-BG"/>
              </w:rPr>
            </w:pPr>
          </w:p>
        </w:tc>
        <w:tc>
          <w:tcPr>
            <w:tcW w:w="1842" w:type="dxa"/>
            <w:vAlign w:val="center"/>
          </w:tcPr>
          <w:p w:rsidR="005A01D9" w:rsidRPr="00931391" w:rsidRDefault="005A01D9" w:rsidP="00B122A1">
            <w:pPr>
              <w:spacing w:after="0" w:line="240" w:lineRule="auto"/>
              <w:rPr>
                <w:rFonts w:ascii="Verdana" w:hAnsi="Verdana"/>
                <w:sz w:val="16"/>
                <w:szCs w:val="16"/>
              </w:rPr>
            </w:pPr>
            <w:proofErr w:type="spellStart"/>
            <w:r w:rsidRPr="00931391">
              <w:rPr>
                <w:rFonts w:ascii="Verdana" w:hAnsi="Verdana"/>
                <w:sz w:val="16"/>
                <w:szCs w:val="16"/>
              </w:rPr>
              <w:t>Изпълнени</w:t>
            </w:r>
            <w:proofErr w:type="spellEnd"/>
            <w:r w:rsidRPr="00931391">
              <w:rPr>
                <w:rFonts w:ascii="Verdana" w:hAnsi="Verdana"/>
                <w:sz w:val="16"/>
                <w:szCs w:val="16"/>
              </w:rPr>
              <w:t xml:space="preserve"> </w:t>
            </w:r>
            <w:proofErr w:type="spellStart"/>
            <w:r w:rsidRPr="00931391">
              <w:rPr>
                <w:rFonts w:ascii="Verdana" w:hAnsi="Verdana"/>
                <w:sz w:val="16"/>
                <w:szCs w:val="16"/>
              </w:rPr>
              <w:t>заявки</w:t>
            </w:r>
            <w:proofErr w:type="spellEnd"/>
            <w:r w:rsidRPr="00931391">
              <w:rPr>
                <w:rFonts w:ascii="Verdana" w:hAnsi="Verdana"/>
                <w:sz w:val="16"/>
                <w:szCs w:val="16"/>
              </w:rPr>
              <w:t xml:space="preserve"> </w:t>
            </w:r>
            <w:proofErr w:type="spellStart"/>
            <w:r w:rsidRPr="00931391">
              <w:rPr>
                <w:rFonts w:ascii="Verdana" w:hAnsi="Verdana"/>
                <w:sz w:val="16"/>
                <w:szCs w:val="16"/>
              </w:rPr>
              <w:t>на</w:t>
            </w:r>
            <w:proofErr w:type="spellEnd"/>
            <w:r w:rsidRPr="00931391">
              <w:rPr>
                <w:rFonts w:ascii="Verdana" w:hAnsi="Verdana"/>
                <w:sz w:val="16"/>
                <w:szCs w:val="16"/>
              </w:rPr>
              <w:t xml:space="preserve"> </w:t>
            </w:r>
            <w:proofErr w:type="spellStart"/>
            <w:r w:rsidRPr="00931391">
              <w:rPr>
                <w:rFonts w:ascii="Verdana" w:hAnsi="Verdana"/>
                <w:sz w:val="16"/>
                <w:szCs w:val="16"/>
              </w:rPr>
              <w:t>бизнеса</w:t>
            </w:r>
            <w:proofErr w:type="spellEnd"/>
            <w:r w:rsidRPr="00931391">
              <w:rPr>
                <w:rFonts w:ascii="Verdana" w:hAnsi="Verdana"/>
                <w:sz w:val="16"/>
                <w:szCs w:val="16"/>
              </w:rPr>
              <w:t xml:space="preserve"> </w:t>
            </w:r>
            <w:proofErr w:type="spellStart"/>
            <w:r w:rsidRPr="00931391">
              <w:rPr>
                <w:rFonts w:ascii="Verdana" w:hAnsi="Verdana"/>
                <w:sz w:val="16"/>
                <w:szCs w:val="16"/>
              </w:rPr>
              <w:t>за</w:t>
            </w:r>
            <w:proofErr w:type="spellEnd"/>
            <w:r w:rsidRPr="00931391">
              <w:rPr>
                <w:rFonts w:ascii="Verdana" w:hAnsi="Verdana"/>
                <w:sz w:val="16"/>
                <w:szCs w:val="16"/>
              </w:rPr>
              <w:t xml:space="preserve"> </w:t>
            </w:r>
            <w:proofErr w:type="spellStart"/>
            <w:r w:rsidRPr="00931391">
              <w:rPr>
                <w:rFonts w:ascii="Verdana" w:hAnsi="Verdana"/>
                <w:sz w:val="16"/>
                <w:szCs w:val="16"/>
              </w:rPr>
              <w:lastRenderedPageBreak/>
              <w:t>научно-изследователски</w:t>
            </w:r>
            <w:proofErr w:type="spellEnd"/>
            <w:r w:rsidRPr="00931391">
              <w:rPr>
                <w:rFonts w:ascii="Verdana" w:hAnsi="Verdana"/>
                <w:sz w:val="16"/>
                <w:szCs w:val="16"/>
              </w:rPr>
              <w:t xml:space="preserve"> </w:t>
            </w:r>
            <w:proofErr w:type="spellStart"/>
            <w:r w:rsidRPr="00931391">
              <w:rPr>
                <w:rFonts w:ascii="Verdana" w:hAnsi="Verdana"/>
                <w:sz w:val="16"/>
                <w:szCs w:val="16"/>
              </w:rPr>
              <w:t>разработки</w:t>
            </w:r>
            <w:proofErr w:type="spellEnd"/>
            <w:r w:rsidRPr="00931391">
              <w:rPr>
                <w:rFonts w:ascii="Verdana" w:hAnsi="Verdana"/>
                <w:sz w:val="16"/>
                <w:szCs w:val="16"/>
              </w:rPr>
              <w:t xml:space="preserve"> </w:t>
            </w:r>
          </w:p>
        </w:tc>
        <w:tc>
          <w:tcPr>
            <w:tcW w:w="1418" w:type="dxa"/>
            <w:vAlign w:val="center"/>
          </w:tcPr>
          <w:p w:rsidR="005A01D9" w:rsidRPr="00931391"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lastRenderedPageBreak/>
              <w:t xml:space="preserve">Индикаторът е уместен, но </w:t>
            </w:r>
            <w:r>
              <w:rPr>
                <w:rFonts w:ascii="Verdana" w:hAnsi="Verdana"/>
                <w:bCs/>
                <w:color w:val="000000"/>
                <w:sz w:val="16"/>
                <w:szCs w:val="16"/>
                <w:lang w:val="bg-BG"/>
              </w:rPr>
              <w:lastRenderedPageBreak/>
              <w:t>не е изцяло в контрола на програмата</w:t>
            </w:r>
          </w:p>
        </w:tc>
        <w:tc>
          <w:tcPr>
            <w:tcW w:w="1559" w:type="dxa"/>
            <w:vAlign w:val="center"/>
          </w:tcPr>
          <w:p w:rsidR="005A01D9" w:rsidRPr="00931391"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lastRenderedPageBreak/>
              <w:t>Индикаторът е ясен</w:t>
            </w:r>
          </w:p>
        </w:tc>
        <w:tc>
          <w:tcPr>
            <w:tcW w:w="851" w:type="dxa"/>
            <w:vAlign w:val="center"/>
          </w:tcPr>
          <w:p w:rsidR="005A01D9" w:rsidRPr="00931391" w:rsidRDefault="005A01D9" w:rsidP="00B122A1">
            <w:pPr>
              <w:spacing w:after="0" w:line="240" w:lineRule="auto"/>
              <w:rPr>
                <w:rFonts w:ascii="Verdana" w:hAnsi="Verdana"/>
                <w:sz w:val="16"/>
                <w:szCs w:val="16"/>
                <w:lang w:val="bg-BG"/>
              </w:rPr>
            </w:pPr>
            <w:r>
              <w:rPr>
                <w:rFonts w:ascii="Verdana" w:hAnsi="Verdana"/>
                <w:sz w:val="16"/>
                <w:szCs w:val="16"/>
                <w:lang w:val="bg-BG"/>
              </w:rPr>
              <w:t>Брой</w:t>
            </w:r>
          </w:p>
        </w:tc>
        <w:tc>
          <w:tcPr>
            <w:tcW w:w="992" w:type="dxa"/>
            <w:vAlign w:val="center"/>
          </w:tcPr>
          <w:p w:rsidR="005A01D9" w:rsidRPr="00931391" w:rsidRDefault="005A01D9" w:rsidP="00B122A1">
            <w:pPr>
              <w:spacing w:after="0" w:line="240" w:lineRule="auto"/>
              <w:rPr>
                <w:rFonts w:ascii="Verdana" w:hAnsi="Verdana"/>
                <w:sz w:val="16"/>
                <w:szCs w:val="16"/>
              </w:rPr>
            </w:pPr>
            <w:r w:rsidRPr="00931391">
              <w:rPr>
                <w:rFonts w:ascii="Verdana" w:hAnsi="Verdana"/>
                <w:sz w:val="16"/>
                <w:szCs w:val="16"/>
              </w:rPr>
              <w:t>0</w:t>
            </w:r>
          </w:p>
        </w:tc>
        <w:tc>
          <w:tcPr>
            <w:tcW w:w="850" w:type="dxa"/>
            <w:vAlign w:val="center"/>
          </w:tcPr>
          <w:p w:rsidR="005A01D9" w:rsidRPr="00931391" w:rsidRDefault="005A01D9" w:rsidP="00B122A1">
            <w:pPr>
              <w:spacing w:after="0" w:line="240" w:lineRule="auto"/>
              <w:rPr>
                <w:rFonts w:ascii="Verdana" w:hAnsi="Verdana"/>
                <w:sz w:val="16"/>
                <w:szCs w:val="16"/>
              </w:rPr>
            </w:pPr>
            <w:r w:rsidRPr="00931391">
              <w:rPr>
                <w:rFonts w:ascii="Verdana" w:hAnsi="Verdana"/>
                <w:sz w:val="16"/>
                <w:szCs w:val="16"/>
              </w:rPr>
              <w:t>10</w:t>
            </w:r>
          </w:p>
        </w:tc>
        <w:tc>
          <w:tcPr>
            <w:tcW w:w="993" w:type="dxa"/>
            <w:vAlign w:val="center"/>
          </w:tcPr>
          <w:p w:rsidR="005A01D9" w:rsidRPr="00931391" w:rsidRDefault="005A01D9" w:rsidP="00B122A1">
            <w:pPr>
              <w:spacing w:after="0" w:line="240" w:lineRule="auto"/>
              <w:rPr>
                <w:rFonts w:ascii="Verdana" w:hAnsi="Verdana"/>
                <w:sz w:val="16"/>
                <w:szCs w:val="16"/>
              </w:rPr>
            </w:pPr>
            <w:r w:rsidRPr="00931391">
              <w:rPr>
                <w:rFonts w:ascii="Verdana" w:hAnsi="Verdana"/>
                <w:sz w:val="16"/>
                <w:szCs w:val="16"/>
              </w:rPr>
              <w:t>35</w:t>
            </w:r>
          </w:p>
        </w:tc>
        <w:tc>
          <w:tcPr>
            <w:tcW w:w="3798" w:type="dxa"/>
            <w:vAlign w:val="center"/>
          </w:tcPr>
          <w:p w:rsidR="005A01D9" w:rsidRPr="00931391"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 xml:space="preserve">Препоръчва се отпадане на индикатора, предвид на това че не е изцяло в </w:t>
            </w:r>
            <w:r>
              <w:rPr>
                <w:rFonts w:ascii="Verdana" w:hAnsi="Verdana"/>
                <w:bCs/>
                <w:color w:val="000000"/>
                <w:sz w:val="16"/>
                <w:szCs w:val="16"/>
                <w:lang w:val="bg-BG"/>
              </w:rPr>
              <w:lastRenderedPageBreak/>
              <w:t>контрола на програмата и предвид на това, че са заложени твърде голям брой индикатори за резултат. Не е възможно да се коментират заложените стойности, тъй като не е ясно на каква база са планирани.</w:t>
            </w:r>
          </w:p>
        </w:tc>
      </w:tr>
      <w:tr w:rsidR="005A01D9" w:rsidRPr="00B45B4F" w:rsidTr="00637FBD">
        <w:tc>
          <w:tcPr>
            <w:tcW w:w="2581" w:type="dxa"/>
            <w:vMerge/>
          </w:tcPr>
          <w:p w:rsidR="005A01D9" w:rsidRDefault="005A01D9" w:rsidP="00B122A1">
            <w:pPr>
              <w:autoSpaceDE w:val="0"/>
              <w:autoSpaceDN w:val="0"/>
              <w:adjustRightInd w:val="0"/>
              <w:spacing w:after="0" w:line="240" w:lineRule="auto"/>
              <w:jc w:val="both"/>
              <w:rPr>
                <w:rFonts w:ascii="Verdana" w:hAnsi="Verdana"/>
                <w:sz w:val="16"/>
                <w:szCs w:val="16"/>
                <w:lang w:val="bg-BG"/>
              </w:rPr>
            </w:pPr>
          </w:p>
        </w:tc>
        <w:tc>
          <w:tcPr>
            <w:tcW w:w="1842" w:type="dxa"/>
            <w:vAlign w:val="center"/>
          </w:tcPr>
          <w:p w:rsidR="005A01D9" w:rsidRPr="00931391" w:rsidRDefault="005A01D9" w:rsidP="00B122A1">
            <w:pPr>
              <w:spacing w:after="0" w:line="240" w:lineRule="auto"/>
              <w:rPr>
                <w:rFonts w:ascii="Verdana" w:hAnsi="Verdana"/>
                <w:sz w:val="16"/>
                <w:szCs w:val="16"/>
              </w:rPr>
            </w:pPr>
            <w:proofErr w:type="spellStart"/>
            <w:r w:rsidRPr="00931391">
              <w:rPr>
                <w:rFonts w:ascii="Verdana" w:hAnsi="Verdana"/>
                <w:sz w:val="16"/>
                <w:szCs w:val="16"/>
              </w:rPr>
              <w:t>Разработени</w:t>
            </w:r>
            <w:proofErr w:type="spellEnd"/>
            <w:r w:rsidRPr="00931391">
              <w:rPr>
                <w:rFonts w:ascii="Verdana" w:hAnsi="Verdana"/>
                <w:sz w:val="16"/>
                <w:szCs w:val="16"/>
              </w:rPr>
              <w:t xml:space="preserve"> </w:t>
            </w:r>
            <w:proofErr w:type="spellStart"/>
            <w:r w:rsidRPr="00931391">
              <w:rPr>
                <w:rFonts w:ascii="Verdana" w:hAnsi="Verdana"/>
                <w:sz w:val="16"/>
                <w:szCs w:val="16"/>
              </w:rPr>
              <w:t>нови</w:t>
            </w:r>
            <w:proofErr w:type="spellEnd"/>
            <w:r w:rsidRPr="00931391">
              <w:rPr>
                <w:rFonts w:ascii="Verdana" w:hAnsi="Verdana"/>
                <w:sz w:val="16"/>
                <w:szCs w:val="16"/>
              </w:rPr>
              <w:t xml:space="preserve">  </w:t>
            </w:r>
            <w:proofErr w:type="spellStart"/>
            <w:r w:rsidRPr="00931391">
              <w:rPr>
                <w:rFonts w:ascii="Verdana" w:hAnsi="Verdana"/>
                <w:sz w:val="16"/>
                <w:szCs w:val="16"/>
              </w:rPr>
              <w:t>научни</w:t>
            </w:r>
            <w:proofErr w:type="spellEnd"/>
            <w:r w:rsidRPr="00931391">
              <w:rPr>
                <w:rFonts w:ascii="Verdana" w:hAnsi="Verdana"/>
                <w:sz w:val="16"/>
                <w:szCs w:val="16"/>
              </w:rPr>
              <w:t xml:space="preserve"> </w:t>
            </w:r>
            <w:proofErr w:type="spellStart"/>
            <w:r w:rsidRPr="00931391">
              <w:rPr>
                <w:rFonts w:ascii="Verdana" w:hAnsi="Verdana"/>
                <w:sz w:val="16"/>
                <w:szCs w:val="16"/>
              </w:rPr>
              <w:t>продукти</w:t>
            </w:r>
            <w:proofErr w:type="spellEnd"/>
          </w:p>
        </w:tc>
        <w:tc>
          <w:tcPr>
            <w:tcW w:w="1418" w:type="dxa"/>
            <w:vAlign w:val="center"/>
          </w:tcPr>
          <w:p w:rsidR="005A01D9" w:rsidRPr="00931391"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не е изцяло уместен, защото визира общо научни продукти, а специфичната цел касае продукти от приложен характер</w:t>
            </w:r>
          </w:p>
        </w:tc>
        <w:tc>
          <w:tcPr>
            <w:tcW w:w="1559" w:type="dxa"/>
            <w:vAlign w:val="center"/>
          </w:tcPr>
          <w:p w:rsidR="005A01D9" w:rsidRPr="00931391"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е ясен</w:t>
            </w:r>
          </w:p>
        </w:tc>
        <w:tc>
          <w:tcPr>
            <w:tcW w:w="851" w:type="dxa"/>
            <w:vAlign w:val="center"/>
          </w:tcPr>
          <w:p w:rsidR="005A01D9" w:rsidRPr="00931391" w:rsidRDefault="005A01D9" w:rsidP="00B122A1">
            <w:pPr>
              <w:spacing w:after="0" w:line="240" w:lineRule="auto"/>
              <w:rPr>
                <w:rFonts w:ascii="Verdana" w:hAnsi="Verdana"/>
                <w:sz w:val="16"/>
                <w:szCs w:val="16"/>
                <w:lang w:val="bg-BG"/>
              </w:rPr>
            </w:pPr>
            <w:r>
              <w:rPr>
                <w:rFonts w:ascii="Verdana" w:hAnsi="Verdana"/>
                <w:sz w:val="16"/>
                <w:szCs w:val="16"/>
                <w:lang w:val="bg-BG"/>
              </w:rPr>
              <w:t>Брой</w:t>
            </w:r>
          </w:p>
        </w:tc>
        <w:tc>
          <w:tcPr>
            <w:tcW w:w="992" w:type="dxa"/>
            <w:vAlign w:val="center"/>
          </w:tcPr>
          <w:p w:rsidR="005A01D9" w:rsidRPr="00931391" w:rsidRDefault="005A01D9" w:rsidP="00B122A1">
            <w:pPr>
              <w:spacing w:after="0" w:line="240" w:lineRule="auto"/>
              <w:rPr>
                <w:rFonts w:ascii="Verdana" w:hAnsi="Verdana"/>
                <w:sz w:val="16"/>
                <w:szCs w:val="16"/>
              </w:rPr>
            </w:pPr>
            <w:r w:rsidRPr="00931391">
              <w:rPr>
                <w:rFonts w:ascii="Verdana" w:hAnsi="Verdana"/>
                <w:sz w:val="16"/>
                <w:szCs w:val="16"/>
              </w:rPr>
              <w:t>0</w:t>
            </w:r>
          </w:p>
        </w:tc>
        <w:tc>
          <w:tcPr>
            <w:tcW w:w="850" w:type="dxa"/>
            <w:vAlign w:val="center"/>
          </w:tcPr>
          <w:p w:rsidR="005A01D9" w:rsidRPr="00931391" w:rsidRDefault="005A01D9" w:rsidP="00B122A1">
            <w:pPr>
              <w:spacing w:after="0" w:line="240" w:lineRule="auto"/>
              <w:rPr>
                <w:rFonts w:ascii="Verdana" w:hAnsi="Verdana"/>
                <w:sz w:val="16"/>
                <w:szCs w:val="16"/>
              </w:rPr>
            </w:pPr>
            <w:r w:rsidRPr="00931391">
              <w:rPr>
                <w:rFonts w:ascii="Verdana" w:hAnsi="Verdana"/>
                <w:sz w:val="16"/>
                <w:szCs w:val="16"/>
              </w:rPr>
              <w:t>20</w:t>
            </w:r>
          </w:p>
        </w:tc>
        <w:tc>
          <w:tcPr>
            <w:tcW w:w="993" w:type="dxa"/>
            <w:vAlign w:val="center"/>
          </w:tcPr>
          <w:p w:rsidR="005A01D9" w:rsidRPr="00931391" w:rsidRDefault="005A01D9" w:rsidP="00B122A1">
            <w:pPr>
              <w:spacing w:after="0" w:line="240" w:lineRule="auto"/>
              <w:rPr>
                <w:rFonts w:ascii="Verdana" w:hAnsi="Verdana"/>
                <w:sz w:val="16"/>
                <w:szCs w:val="16"/>
              </w:rPr>
            </w:pPr>
            <w:r w:rsidRPr="00931391">
              <w:rPr>
                <w:rFonts w:ascii="Verdana" w:hAnsi="Verdana"/>
                <w:sz w:val="16"/>
                <w:szCs w:val="16"/>
              </w:rPr>
              <w:t>40</w:t>
            </w:r>
          </w:p>
        </w:tc>
        <w:tc>
          <w:tcPr>
            <w:tcW w:w="3798" w:type="dxa"/>
            <w:vAlign w:val="center"/>
          </w:tcPr>
          <w:p w:rsidR="005A01D9" w:rsidRPr="00931391"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Препоръчва се отпадане на индикатора, предвид на това че не е изцяло уместен и предвид на това, че са заложени твърде голям брой индикатори за резултат. Не е възможно да се коментират заложените стойности, тъй като не е ясно на каква база са планирани.</w:t>
            </w:r>
          </w:p>
        </w:tc>
      </w:tr>
      <w:tr w:rsidR="005A01D9" w:rsidRPr="00B45B4F" w:rsidTr="00637FBD">
        <w:tc>
          <w:tcPr>
            <w:tcW w:w="2581" w:type="dxa"/>
            <w:vMerge/>
          </w:tcPr>
          <w:p w:rsidR="005A01D9" w:rsidRDefault="005A01D9" w:rsidP="00B122A1">
            <w:pPr>
              <w:autoSpaceDE w:val="0"/>
              <w:autoSpaceDN w:val="0"/>
              <w:adjustRightInd w:val="0"/>
              <w:spacing w:after="0" w:line="240" w:lineRule="auto"/>
              <w:jc w:val="both"/>
              <w:rPr>
                <w:rFonts w:ascii="Verdana" w:hAnsi="Verdana"/>
                <w:sz w:val="16"/>
                <w:szCs w:val="16"/>
                <w:lang w:val="bg-BG"/>
              </w:rPr>
            </w:pPr>
          </w:p>
        </w:tc>
        <w:tc>
          <w:tcPr>
            <w:tcW w:w="1842" w:type="dxa"/>
            <w:vAlign w:val="center"/>
          </w:tcPr>
          <w:p w:rsidR="005A01D9" w:rsidRPr="00931391" w:rsidRDefault="005A01D9" w:rsidP="00B122A1">
            <w:pPr>
              <w:spacing w:after="0" w:line="240" w:lineRule="auto"/>
              <w:rPr>
                <w:rFonts w:ascii="Verdana" w:hAnsi="Verdana"/>
                <w:sz w:val="16"/>
                <w:szCs w:val="16"/>
              </w:rPr>
            </w:pPr>
            <w:proofErr w:type="spellStart"/>
            <w:r w:rsidRPr="00931391">
              <w:rPr>
                <w:rFonts w:ascii="Verdana" w:hAnsi="Verdana"/>
                <w:sz w:val="16"/>
                <w:szCs w:val="16"/>
              </w:rPr>
              <w:t>Повишен</w:t>
            </w:r>
            <w:proofErr w:type="spellEnd"/>
            <w:r w:rsidRPr="00931391">
              <w:rPr>
                <w:rFonts w:ascii="Verdana" w:hAnsi="Verdana"/>
                <w:sz w:val="16"/>
                <w:szCs w:val="16"/>
              </w:rPr>
              <w:t xml:space="preserve"> </w:t>
            </w:r>
            <w:proofErr w:type="spellStart"/>
            <w:r w:rsidRPr="00931391">
              <w:rPr>
                <w:rFonts w:ascii="Verdana" w:hAnsi="Verdana"/>
                <w:sz w:val="16"/>
                <w:szCs w:val="16"/>
              </w:rPr>
              <w:t>дял</w:t>
            </w:r>
            <w:proofErr w:type="spellEnd"/>
            <w:r w:rsidRPr="00931391">
              <w:rPr>
                <w:rFonts w:ascii="Verdana" w:hAnsi="Verdana"/>
                <w:sz w:val="16"/>
                <w:szCs w:val="16"/>
              </w:rPr>
              <w:t xml:space="preserve"> </w:t>
            </w:r>
            <w:proofErr w:type="spellStart"/>
            <w:r w:rsidRPr="00931391">
              <w:rPr>
                <w:rFonts w:ascii="Verdana" w:hAnsi="Verdana"/>
                <w:sz w:val="16"/>
                <w:szCs w:val="16"/>
              </w:rPr>
              <w:t>на</w:t>
            </w:r>
            <w:proofErr w:type="spellEnd"/>
            <w:r w:rsidRPr="00931391">
              <w:rPr>
                <w:rFonts w:ascii="Verdana" w:hAnsi="Verdana"/>
                <w:sz w:val="16"/>
                <w:szCs w:val="16"/>
              </w:rPr>
              <w:t xml:space="preserve"> </w:t>
            </w:r>
            <w:proofErr w:type="spellStart"/>
            <w:r w:rsidRPr="00931391">
              <w:rPr>
                <w:rFonts w:ascii="Verdana" w:hAnsi="Verdana"/>
                <w:sz w:val="16"/>
                <w:szCs w:val="16"/>
              </w:rPr>
              <w:t>придобитите</w:t>
            </w:r>
            <w:proofErr w:type="spellEnd"/>
            <w:r w:rsidRPr="00931391">
              <w:rPr>
                <w:rFonts w:ascii="Verdana" w:hAnsi="Verdana"/>
                <w:sz w:val="16"/>
                <w:szCs w:val="16"/>
              </w:rPr>
              <w:t xml:space="preserve"> </w:t>
            </w:r>
            <w:proofErr w:type="spellStart"/>
            <w:r w:rsidRPr="00931391">
              <w:rPr>
                <w:rFonts w:ascii="Verdana" w:hAnsi="Verdana"/>
                <w:sz w:val="16"/>
                <w:szCs w:val="16"/>
              </w:rPr>
              <w:t>патенти</w:t>
            </w:r>
            <w:proofErr w:type="spellEnd"/>
            <w:r w:rsidRPr="00931391">
              <w:rPr>
                <w:rFonts w:ascii="Verdana" w:hAnsi="Verdana"/>
                <w:sz w:val="16"/>
                <w:szCs w:val="16"/>
              </w:rPr>
              <w:t xml:space="preserve"> в </w:t>
            </w:r>
            <w:proofErr w:type="spellStart"/>
            <w:r w:rsidRPr="00931391">
              <w:rPr>
                <w:rFonts w:ascii="Verdana" w:hAnsi="Verdana"/>
                <w:sz w:val="16"/>
                <w:szCs w:val="16"/>
              </w:rPr>
              <w:t>резултат</w:t>
            </w:r>
            <w:proofErr w:type="spellEnd"/>
            <w:r w:rsidRPr="00931391">
              <w:rPr>
                <w:rFonts w:ascii="Verdana" w:hAnsi="Verdana"/>
                <w:sz w:val="16"/>
                <w:szCs w:val="16"/>
              </w:rPr>
              <w:t xml:space="preserve"> </w:t>
            </w:r>
            <w:proofErr w:type="spellStart"/>
            <w:r w:rsidRPr="00931391">
              <w:rPr>
                <w:rFonts w:ascii="Verdana" w:hAnsi="Verdana"/>
                <w:sz w:val="16"/>
                <w:szCs w:val="16"/>
              </w:rPr>
              <w:t>на</w:t>
            </w:r>
            <w:proofErr w:type="spellEnd"/>
            <w:r w:rsidRPr="00931391">
              <w:rPr>
                <w:rFonts w:ascii="Verdana" w:hAnsi="Verdana"/>
                <w:sz w:val="16"/>
                <w:szCs w:val="16"/>
              </w:rPr>
              <w:t xml:space="preserve"> </w:t>
            </w:r>
            <w:proofErr w:type="spellStart"/>
            <w:r w:rsidRPr="00931391">
              <w:rPr>
                <w:rFonts w:ascii="Verdana" w:hAnsi="Verdana"/>
                <w:sz w:val="16"/>
                <w:szCs w:val="16"/>
              </w:rPr>
              <w:t>научни</w:t>
            </w:r>
            <w:proofErr w:type="spellEnd"/>
            <w:r w:rsidRPr="00931391">
              <w:rPr>
                <w:rFonts w:ascii="Verdana" w:hAnsi="Verdana"/>
                <w:sz w:val="16"/>
                <w:szCs w:val="16"/>
              </w:rPr>
              <w:t xml:space="preserve"> </w:t>
            </w:r>
            <w:proofErr w:type="spellStart"/>
            <w:r w:rsidRPr="00931391">
              <w:rPr>
                <w:rFonts w:ascii="Verdana" w:hAnsi="Verdana"/>
                <w:sz w:val="16"/>
                <w:szCs w:val="16"/>
              </w:rPr>
              <w:t>разработки</w:t>
            </w:r>
            <w:proofErr w:type="spellEnd"/>
            <w:r w:rsidRPr="00931391">
              <w:rPr>
                <w:rFonts w:ascii="Verdana" w:hAnsi="Verdana"/>
                <w:sz w:val="16"/>
                <w:szCs w:val="16"/>
              </w:rPr>
              <w:t xml:space="preserve"> в </w:t>
            </w:r>
            <w:proofErr w:type="spellStart"/>
            <w:r w:rsidRPr="00931391">
              <w:rPr>
                <w:rFonts w:ascii="Verdana" w:hAnsi="Verdana"/>
                <w:sz w:val="16"/>
                <w:szCs w:val="16"/>
              </w:rPr>
              <w:t>центровете</w:t>
            </w:r>
            <w:proofErr w:type="spellEnd"/>
            <w:r w:rsidRPr="00931391">
              <w:rPr>
                <w:rFonts w:ascii="Verdana" w:hAnsi="Verdana"/>
                <w:sz w:val="16"/>
                <w:szCs w:val="16"/>
              </w:rPr>
              <w:t xml:space="preserve"> </w:t>
            </w:r>
            <w:proofErr w:type="spellStart"/>
            <w:r w:rsidRPr="00931391">
              <w:rPr>
                <w:rFonts w:ascii="Verdana" w:hAnsi="Verdana"/>
                <w:sz w:val="16"/>
                <w:szCs w:val="16"/>
              </w:rPr>
              <w:t>за</w:t>
            </w:r>
            <w:proofErr w:type="spellEnd"/>
            <w:r w:rsidRPr="00931391">
              <w:rPr>
                <w:rFonts w:ascii="Verdana" w:hAnsi="Verdana"/>
                <w:sz w:val="16"/>
                <w:szCs w:val="16"/>
              </w:rPr>
              <w:t xml:space="preserve"> </w:t>
            </w:r>
            <w:proofErr w:type="spellStart"/>
            <w:r w:rsidRPr="00931391">
              <w:rPr>
                <w:rFonts w:ascii="Verdana" w:hAnsi="Verdana"/>
                <w:sz w:val="16"/>
                <w:szCs w:val="16"/>
              </w:rPr>
              <w:t>върхови</w:t>
            </w:r>
            <w:proofErr w:type="spellEnd"/>
            <w:r w:rsidRPr="00931391">
              <w:rPr>
                <w:rFonts w:ascii="Verdana" w:hAnsi="Verdana"/>
                <w:sz w:val="16"/>
                <w:szCs w:val="16"/>
              </w:rPr>
              <w:t xml:space="preserve"> </w:t>
            </w:r>
            <w:proofErr w:type="spellStart"/>
            <w:r w:rsidRPr="00931391">
              <w:rPr>
                <w:rFonts w:ascii="Verdana" w:hAnsi="Verdana"/>
                <w:sz w:val="16"/>
                <w:szCs w:val="16"/>
              </w:rPr>
              <w:t>постижения</w:t>
            </w:r>
            <w:proofErr w:type="spellEnd"/>
            <w:r w:rsidRPr="00931391">
              <w:rPr>
                <w:rFonts w:ascii="Verdana" w:hAnsi="Verdana"/>
                <w:sz w:val="16"/>
                <w:szCs w:val="16"/>
              </w:rPr>
              <w:t xml:space="preserve"> и </w:t>
            </w:r>
            <w:proofErr w:type="spellStart"/>
            <w:r w:rsidRPr="00931391">
              <w:rPr>
                <w:rFonts w:ascii="Verdana" w:hAnsi="Verdana"/>
                <w:sz w:val="16"/>
                <w:szCs w:val="16"/>
              </w:rPr>
              <w:t>центровете</w:t>
            </w:r>
            <w:proofErr w:type="spellEnd"/>
            <w:r w:rsidRPr="00931391">
              <w:rPr>
                <w:rFonts w:ascii="Verdana" w:hAnsi="Verdana"/>
                <w:sz w:val="16"/>
                <w:szCs w:val="16"/>
              </w:rPr>
              <w:t xml:space="preserve"> </w:t>
            </w:r>
            <w:proofErr w:type="spellStart"/>
            <w:r w:rsidRPr="00931391">
              <w:rPr>
                <w:rFonts w:ascii="Verdana" w:hAnsi="Verdana"/>
                <w:sz w:val="16"/>
                <w:szCs w:val="16"/>
              </w:rPr>
              <w:t>за</w:t>
            </w:r>
            <w:proofErr w:type="spellEnd"/>
            <w:r w:rsidRPr="00931391">
              <w:rPr>
                <w:rFonts w:ascii="Verdana" w:hAnsi="Verdana"/>
                <w:sz w:val="16"/>
                <w:szCs w:val="16"/>
              </w:rPr>
              <w:t xml:space="preserve"> </w:t>
            </w:r>
            <w:proofErr w:type="spellStart"/>
            <w:r w:rsidRPr="00931391">
              <w:rPr>
                <w:rFonts w:ascii="Verdana" w:hAnsi="Verdana"/>
                <w:sz w:val="16"/>
                <w:szCs w:val="16"/>
              </w:rPr>
              <w:t>компетентност</w:t>
            </w:r>
            <w:proofErr w:type="spellEnd"/>
          </w:p>
        </w:tc>
        <w:tc>
          <w:tcPr>
            <w:tcW w:w="1418" w:type="dxa"/>
            <w:vAlign w:val="center"/>
          </w:tcPr>
          <w:p w:rsidR="005A01D9" w:rsidRPr="00931391"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е уместен</w:t>
            </w:r>
          </w:p>
        </w:tc>
        <w:tc>
          <w:tcPr>
            <w:tcW w:w="1559" w:type="dxa"/>
            <w:vAlign w:val="center"/>
          </w:tcPr>
          <w:p w:rsidR="005A01D9" w:rsidRPr="00931391"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не е ясен по отношение на това за дял от какво става въпрос (от общите патенти?)</w:t>
            </w:r>
          </w:p>
        </w:tc>
        <w:tc>
          <w:tcPr>
            <w:tcW w:w="851" w:type="dxa"/>
            <w:vAlign w:val="center"/>
          </w:tcPr>
          <w:p w:rsidR="005A01D9" w:rsidRPr="00931391" w:rsidRDefault="005A01D9" w:rsidP="00B122A1">
            <w:pPr>
              <w:spacing w:after="0" w:line="240" w:lineRule="auto"/>
              <w:rPr>
                <w:rFonts w:ascii="Verdana" w:hAnsi="Verdana"/>
                <w:sz w:val="16"/>
                <w:szCs w:val="16"/>
                <w:lang w:val="bg-BG"/>
              </w:rPr>
            </w:pPr>
            <w:r>
              <w:rPr>
                <w:rFonts w:ascii="Verdana" w:hAnsi="Verdana"/>
                <w:sz w:val="16"/>
                <w:szCs w:val="16"/>
                <w:lang w:val="bg-BG"/>
              </w:rPr>
              <w:t>%</w:t>
            </w:r>
          </w:p>
        </w:tc>
        <w:tc>
          <w:tcPr>
            <w:tcW w:w="992" w:type="dxa"/>
            <w:vAlign w:val="center"/>
          </w:tcPr>
          <w:p w:rsidR="005A01D9" w:rsidRPr="00931391" w:rsidRDefault="005A01D9" w:rsidP="00B122A1">
            <w:pPr>
              <w:spacing w:after="0" w:line="240" w:lineRule="auto"/>
              <w:rPr>
                <w:rFonts w:ascii="Verdana" w:hAnsi="Verdana"/>
                <w:sz w:val="16"/>
                <w:szCs w:val="16"/>
                <w:lang w:val="bg-BG"/>
              </w:rPr>
            </w:pPr>
            <w:r>
              <w:rPr>
                <w:rFonts w:ascii="Verdana" w:hAnsi="Verdana"/>
                <w:sz w:val="16"/>
                <w:szCs w:val="16"/>
                <w:lang w:val="bg-BG"/>
              </w:rPr>
              <w:t>0</w:t>
            </w:r>
          </w:p>
        </w:tc>
        <w:tc>
          <w:tcPr>
            <w:tcW w:w="850" w:type="dxa"/>
            <w:vAlign w:val="center"/>
          </w:tcPr>
          <w:p w:rsidR="005A01D9" w:rsidRPr="00931391" w:rsidRDefault="005A01D9" w:rsidP="00B122A1">
            <w:pPr>
              <w:spacing w:after="0" w:line="240" w:lineRule="auto"/>
              <w:rPr>
                <w:rFonts w:ascii="Verdana" w:hAnsi="Verdana"/>
                <w:sz w:val="16"/>
                <w:szCs w:val="16"/>
                <w:lang w:val="bg-BG"/>
              </w:rPr>
            </w:pPr>
            <w:r>
              <w:rPr>
                <w:rFonts w:ascii="Verdana" w:hAnsi="Verdana"/>
                <w:sz w:val="16"/>
                <w:szCs w:val="16"/>
                <w:lang w:val="bg-BG"/>
              </w:rPr>
              <w:t>10</w:t>
            </w:r>
          </w:p>
        </w:tc>
        <w:tc>
          <w:tcPr>
            <w:tcW w:w="993" w:type="dxa"/>
            <w:vAlign w:val="center"/>
          </w:tcPr>
          <w:p w:rsidR="005A01D9" w:rsidRPr="00931391" w:rsidRDefault="005A01D9" w:rsidP="00B122A1">
            <w:pPr>
              <w:spacing w:after="0" w:line="240" w:lineRule="auto"/>
              <w:rPr>
                <w:rFonts w:ascii="Verdana" w:hAnsi="Verdana"/>
                <w:sz w:val="16"/>
                <w:szCs w:val="16"/>
                <w:lang w:val="bg-BG"/>
              </w:rPr>
            </w:pPr>
            <w:r>
              <w:rPr>
                <w:rFonts w:ascii="Verdana" w:hAnsi="Verdana"/>
                <w:sz w:val="16"/>
                <w:szCs w:val="16"/>
                <w:lang w:val="bg-BG"/>
              </w:rPr>
              <w:t>50</w:t>
            </w:r>
          </w:p>
        </w:tc>
        <w:tc>
          <w:tcPr>
            <w:tcW w:w="3798" w:type="dxa"/>
            <w:vAlign w:val="center"/>
          </w:tcPr>
          <w:p w:rsidR="005A01D9"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Патентоването в периода 2000-2008 значително намалява в сравнение с периода преди 1990 и все още е в ниски стойности, но се забелязва ръст на  износа на високо технологични продукти  от около средно 20% (Национална стратегия за развитие на научните изследвания). На база на информацията, с която се разполага не може да се коментира адекватно реалистичността на заложените стойности. Ръст от 50% в патентоването в резултат от научните разработки в подкрепените центрове изглежда твърде сериозен напредък и се нуждае от ясна обосновка.</w:t>
            </w:r>
          </w:p>
          <w:p w:rsidR="005A01D9" w:rsidRPr="00931391"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Измерването на индикатора при всички случаи ще изисква базова стойност във вид на количествени единици за да се измери процентното повишаване на придобитите патенти. Поради това е по-</w:t>
            </w:r>
            <w:r>
              <w:rPr>
                <w:rFonts w:ascii="Verdana" w:hAnsi="Verdana"/>
                <w:bCs/>
                <w:color w:val="000000"/>
                <w:sz w:val="16"/>
                <w:szCs w:val="16"/>
                <w:lang w:val="bg-BG"/>
              </w:rPr>
              <w:lastRenderedPageBreak/>
              <w:t>уместно да се смени мерната единица за да бъде заложена базова стойност. Препоръчително също така, с цел опростяване на измерването, да се мери дял на придобитите патенти, а не повишаването на дела.</w:t>
            </w:r>
          </w:p>
        </w:tc>
      </w:tr>
      <w:tr w:rsidR="005A01D9" w:rsidRPr="00B45B4F" w:rsidTr="00B122A1">
        <w:trPr>
          <w:trHeight w:val="15"/>
        </w:trPr>
        <w:tc>
          <w:tcPr>
            <w:tcW w:w="14884" w:type="dxa"/>
            <w:gridSpan w:val="9"/>
            <w:tcBorders>
              <w:bottom w:val="nil"/>
            </w:tcBorders>
            <w:shd w:val="clear" w:color="auto" w:fill="B8CCE4" w:themeFill="accent1" w:themeFillTint="66"/>
          </w:tcPr>
          <w:p w:rsidR="005A01D9" w:rsidRPr="00B45B4F" w:rsidRDefault="005A01D9" w:rsidP="00B122A1">
            <w:pPr>
              <w:pStyle w:val="Default"/>
              <w:spacing w:before="120" w:after="120"/>
              <w:jc w:val="both"/>
              <w:rPr>
                <w:rFonts w:ascii="Verdana" w:hAnsi="Verdana"/>
                <w:b/>
                <w:color w:val="auto"/>
                <w:sz w:val="16"/>
                <w:szCs w:val="16"/>
                <w:lang w:val="bg-BG"/>
              </w:rPr>
            </w:pPr>
            <w:r w:rsidRPr="00B45B4F">
              <w:rPr>
                <w:rFonts w:ascii="Verdana" w:hAnsi="Verdana"/>
                <w:b/>
                <w:color w:val="auto"/>
                <w:sz w:val="16"/>
                <w:szCs w:val="16"/>
                <w:lang w:val="bg-BG"/>
              </w:rPr>
              <w:lastRenderedPageBreak/>
              <w:t>2. Образование и учене през целия живот</w:t>
            </w:r>
          </w:p>
        </w:tc>
      </w:tr>
      <w:tr w:rsidR="005A01D9" w:rsidRPr="00B45B4F" w:rsidTr="00B122A1">
        <w:trPr>
          <w:trHeight w:val="15"/>
        </w:trPr>
        <w:tc>
          <w:tcPr>
            <w:tcW w:w="14884" w:type="dxa"/>
            <w:gridSpan w:val="9"/>
            <w:tcBorders>
              <w:bottom w:val="nil"/>
            </w:tcBorders>
            <w:shd w:val="clear" w:color="auto" w:fill="F2DBDB" w:themeFill="accent2" w:themeFillTint="33"/>
          </w:tcPr>
          <w:p w:rsidR="005A01D9" w:rsidRPr="00B45B4F" w:rsidRDefault="005A01D9" w:rsidP="00B122A1">
            <w:pPr>
              <w:pStyle w:val="Default"/>
              <w:spacing w:before="120" w:after="120"/>
              <w:jc w:val="both"/>
              <w:rPr>
                <w:rFonts w:ascii="Verdana" w:hAnsi="Verdana"/>
                <w:b/>
                <w:color w:val="auto"/>
                <w:sz w:val="16"/>
                <w:szCs w:val="16"/>
                <w:lang w:val="bg-BG"/>
              </w:rPr>
            </w:pPr>
            <w:r w:rsidRPr="00312E6F">
              <w:rPr>
                <w:rFonts w:ascii="Verdana" w:hAnsi="Verdana"/>
                <w:b/>
                <w:color w:val="auto"/>
                <w:sz w:val="16"/>
                <w:szCs w:val="16"/>
                <w:lang w:val="bg-BG"/>
              </w:rPr>
              <w:t xml:space="preserve">ИП1. </w:t>
            </w:r>
            <w:r w:rsidRPr="00312E6F">
              <w:rPr>
                <w:rFonts w:ascii="Verdana" w:hAnsi="Verdana" w:cs="Arial Narrow"/>
                <w:i/>
                <w:sz w:val="16"/>
                <w:szCs w:val="16"/>
                <w:lang w:val="bg-BG"/>
              </w:rPr>
              <w:t>Намаляване и предотвратяване на преждевременното напускане на училище и насърчаване на равния достъп до висококачествено предучилищно, основно и средно образование, включващо формални, неформални и неофициални начини на учене за повторно включване в образователната система и системата на обучение</w:t>
            </w:r>
            <w:r w:rsidRPr="00F86D34">
              <w:rPr>
                <w:rFonts w:ascii="Verdana" w:hAnsi="Verdana" w:cs="Arial Narrow"/>
                <w:i/>
                <w:sz w:val="20"/>
                <w:szCs w:val="20"/>
                <w:lang w:val="bg-BG"/>
              </w:rPr>
              <w:t>.</w:t>
            </w:r>
          </w:p>
        </w:tc>
      </w:tr>
      <w:tr w:rsidR="005A01D9" w:rsidRPr="00B45B4F" w:rsidTr="00B122A1">
        <w:trPr>
          <w:trHeight w:val="1369"/>
        </w:trPr>
        <w:tc>
          <w:tcPr>
            <w:tcW w:w="2581" w:type="dxa"/>
            <w:vMerge w:val="restart"/>
          </w:tcPr>
          <w:p w:rsidR="005A01D9" w:rsidRDefault="005A01D9" w:rsidP="00B122A1">
            <w:pPr>
              <w:autoSpaceDE w:val="0"/>
              <w:autoSpaceDN w:val="0"/>
              <w:adjustRightInd w:val="0"/>
              <w:spacing w:after="0" w:line="240" w:lineRule="auto"/>
              <w:jc w:val="both"/>
              <w:rPr>
                <w:rFonts w:ascii="Verdana" w:hAnsi="Verdana"/>
                <w:sz w:val="16"/>
                <w:szCs w:val="16"/>
                <w:lang w:val="bg-BG"/>
              </w:rPr>
            </w:pPr>
            <w:r>
              <w:rPr>
                <w:rFonts w:ascii="Verdana" w:hAnsi="Verdana"/>
                <w:sz w:val="16"/>
                <w:szCs w:val="16"/>
                <w:lang w:val="bg-BG"/>
              </w:rPr>
              <w:t xml:space="preserve">СЦ1 </w:t>
            </w:r>
            <w:r w:rsidRPr="00B45B4F">
              <w:rPr>
                <w:rFonts w:ascii="Verdana" w:hAnsi="Verdana"/>
                <w:sz w:val="16"/>
                <w:szCs w:val="16"/>
                <w:lang w:val="bg-BG"/>
              </w:rPr>
              <w:t>Подобряване на постиженията на децата и учениците в овладяването на ключови компетентности по отношение предучилищното и училищното образование</w:t>
            </w:r>
          </w:p>
          <w:p w:rsidR="005A01D9" w:rsidRPr="00B45B4F" w:rsidRDefault="005A01D9" w:rsidP="00B122A1">
            <w:pPr>
              <w:autoSpaceDE w:val="0"/>
              <w:autoSpaceDN w:val="0"/>
              <w:adjustRightInd w:val="0"/>
              <w:spacing w:after="0" w:line="240" w:lineRule="auto"/>
              <w:jc w:val="both"/>
              <w:rPr>
                <w:rFonts w:ascii="Verdana" w:hAnsi="Verdana"/>
                <w:sz w:val="16"/>
                <w:szCs w:val="16"/>
                <w:lang w:val="bg-BG"/>
              </w:rPr>
            </w:pPr>
          </w:p>
          <w:p w:rsidR="005A01D9" w:rsidRDefault="005A01D9" w:rsidP="00B122A1">
            <w:pPr>
              <w:autoSpaceDE w:val="0"/>
              <w:autoSpaceDN w:val="0"/>
              <w:adjustRightInd w:val="0"/>
              <w:spacing w:after="0" w:line="240" w:lineRule="auto"/>
              <w:jc w:val="both"/>
              <w:rPr>
                <w:rFonts w:ascii="Verdana" w:hAnsi="Verdana"/>
                <w:sz w:val="16"/>
                <w:szCs w:val="16"/>
                <w:lang w:val="bg-BG"/>
              </w:rPr>
            </w:pPr>
            <w:r>
              <w:rPr>
                <w:rFonts w:ascii="Verdana" w:hAnsi="Verdana"/>
                <w:sz w:val="16"/>
                <w:szCs w:val="16"/>
                <w:lang w:val="bg-BG"/>
              </w:rPr>
              <w:t xml:space="preserve">СЦ2 </w:t>
            </w:r>
            <w:r w:rsidRPr="00B45B4F">
              <w:rPr>
                <w:rFonts w:ascii="Verdana" w:hAnsi="Verdana"/>
                <w:sz w:val="16"/>
                <w:szCs w:val="16"/>
                <w:lang w:val="bg-BG"/>
              </w:rPr>
              <w:t>Обхващане и задържане на децата и учениците в образователната система чрез повишаване на мотивацията за учене на привлекателността на образователните институции</w:t>
            </w:r>
          </w:p>
          <w:p w:rsidR="005A01D9" w:rsidRPr="00B45B4F" w:rsidRDefault="005A01D9" w:rsidP="00B122A1">
            <w:pPr>
              <w:autoSpaceDE w:val="0"/>
              <w:autoSpaceDN w:val="0"/>
              <w:adjustRightInd w:val="0"/>
              <w:spacing w:after="0" w:line="240" w:lineRule="auto"/>
              <w:jc w:val="both"/>
              <w:rPr>
                <w:rFonts w:ascii="Verdana" w:hAnsi="Verdana"/>
                <w:sz w:val="16"/>
                <w:szCs w:val="16"/>
                <w:lang w:val="bg-BG"/>
              </w:rPr>
            </w:pPr>
          </w:p>
          <w:p w:rsidR="005A01D9" w:rsidRPr="00B45B4F" w:rsidRDefault="005A01D9" w:rsidP="00B122A1">
            <w:pPr>
              <w:autoSpaceDE w:val="0"/>
              <w:autoSpaceDN w:val="0"/>
              <w:adjustRightInd w:val="0"/>
              <w:spacing w:after="0" w:line="240" w:lineRule="auto"/>
              <w:jc w:val="both"/>
              <w:rPr>
                <w:rFonts w:ascii="Verdana" w:hAnsi="Verdana"/>
                <w:sz w:val="16"/>
                <w:szCs w:val="16"/>
                <w:lang w:val="bg-BG"/>
              </w:rPr>
            </w:pPr>
            <w:r>
              <w:rPr>
                <w:rFonts w:ascii="Verdana" w:hAnsi="Verdana"/>
                <w:sz w:val="16"/>
                <w:szCs w:val="16"/>
                <w:lang w:val="bg-BG"/>
              </w:rPr>
              <w:t xml:space="preserve">СЦ 3. </w:t>
            </w:r>
            <w:r w:rsidRPr="00B45B4F">
              <w:rPr>
                <w:rFonts w:ascii="Verdana" w:hAnsi="Verdana"/>
                <w:sz w:val="16"/>
                <w:szCs w:val="16"/>
                <w:lang w:val="bg-BG"/>
              </w:rPr>
              <w:t>Управление на качеството на образованието чрез усъвършенстване на системата за оценяване на резултатите от обучението и разработване и прилагане на ефективна система за мониторинг</w:t>
            </w:r>
          </w:p>
        </w:tc>
        <w:tc>
          <w:tcPr>
            <w:tcW w:w="1842" w:type="dxa"/>
            <w:vAlign w:val="center"/>
          </w:tcPr>
          <w:p w:rsidR="005A01D9" w:rsidRPr="00931391" w:rsidRDefault="005A01D9" w:rsidP="00B122A1">
            <w:pPr>
              <w:widowControl w:val="0"/>
              <w:tabs>
                <w:tab w:val="left" w:pos="0"/>
                <w:tab w:val="right" w:pos="9214"/>
              </w:tabs>
              <w:spacing w:after="0" w:line="240" w:lineRule="auto"/>
              <w:rPr>
                <w:rFonts w:ascii="Verdana" w:hAnsi="Verdana"/>
                <w:sz w:val="16"/>
                <w:szCs w:val="16"/>
                <w:lang w:val="bg-BG"/>
              </w:rPr>
            </w:pPr>
            <w:proofErr w:type="spellStart"/>
            <w:r w:rsidRPr="00931391">
              <w:rPr>
                <w:rFonts w:ascii="Verdana" w:hAnsi="Verdana"/>
                <w:sz w:val="16"/>
                <w:szCs w:val="16"/>
              </w:rPr>
              <w:t>Дял</w:t>
            </w:r>
            <w:proofErr w:type="spellEnd"/>
            <w:r w:rsidRPr="00931391">
              <w:rPr>
                <w:rFonts w:ascii="Verdana" w:hAnsi="Verdana"/>
                <w:sz w:val="16"/>
                <w:szCs w:val="16"/>
              </w:rPr>
              <w:t xml:space="preserve"> </w:t>
            </w:r>
            <w:proofErr w:type="spellStart"/>
            <w:r w:rsidRPr="00931391">
              <w:rPr>
                <w:rFonts w:ascii="Verdana" w:hAnsi="Verdana"/>
                <w:sz w:val="16"/>
                <w:szCs w:val="16"/>
              </w:rPr>
              <w:t>на</w:t>
            </w:r>
            <w:proofErr w:type="spellEnd"/>
            <w:r w:rsidRPr="00931391">
              <w:rPr>
                <w:rFonts w:ascii="Verdana" w:hAnsi="Verdana"/>
                <w:sz w:val="16"/>
                <w:szCs w:val="16"/>
              </w:rPr>
              <w:t xml:space="preserve"> </w:t>
            </w:r>
            <w:proofErr w:type="spellStart"/>
            <w:r w:rsidRPr="00931391">
              <w:rPr>
                <w:rFonts w:ascii="Verdana" w:hAnsi="Verdana"/>
                <w:sz w:val="16"/>
                <w:szCs w:val="16"/>
              </w:rPr>
              <w:t>преждевременно</w:t>
            </w:r>
            <w:proofErr w:type="spellEnd"/>
            <w:r w:rsidRPr="00931391">
              <w:rPr>
                <w:rFonts w:ascii="Verdana" w:hAnsi="Verdana"/>
                <w:sz w:val="16"/>
                <w:szCs w:val="16"/>
              </w:rPr>
              <w:t xml:space="preserve"> </w:t>
            </w:r>
            <w:proofErr w:type="spellStart"/>
            <w:r w:rsidRPr="00931391">
              <w:rPr>
                <w:rFonts w:ascii="Verdana" w:hAnsi="Verdana"/>
                <w:sz w:val="16"/>
                <w:szCs w:val="16"/>
              </w:rPr>
              <w:t>напусналите</w:t>
            </w:r>
            <w:proofErr w:type="spellEnd"/>
            <w:r w:rsidRPr="00931391">
              <w:rPr>
                <w:rFonts w:ascii="Verdana" w:hAnsi="Verdana"/>
                <w:sz w:val="16"/>
                <w:szCs w:val="16"/>
              </w:rPr>
              <w:t xml:space="preserve"> </w:t>
            </w:r>
            <w:proofErr w:type="spellStart"/>
            <w:r w:rsidRPr="00931391">
              <w:rPr>
                <w:rFonts w:ascii="Verdana" w:hAnsi="Verdana"/>
                <w:sz w:val="16"/>
                <w:szCs w:val="16"/>
              </w:rPr>
              <w:t>училище</w:t>
            </w:r>
            <w:proofErr w:type="spellEnd"/>
            <w:r w:rsidRPr="00931391">
              <w:rPr>
                <w:rFonts w:ascii="Verdana" w:hAnsi="Verdana"/>
                <w:sz w:val="16"/>
                <w:szCs w:val="16"/>
              </w:rPr>
              <w:t xml:space="preserve"> (ПНУ) </w:t>
            </w:r>
            <w:proofErr w:type="spellStart"/>
            <w:r w:rsidRPr="00931391">
              <w:rPr>
                <w:rFonts w:ascii="Verdana" w:hAnsi="Verdana"/>
                <w:sz w:val="16"/>
                <w:szCs w:val="16"/>
              </w:rPr>
              <w:t>от</w:t>
            </w:r>
            <w:proofErr w:type="spellEnd"/>
            <w:r w:rsidRPr="00931391">
              <w:rPr>
                <w:rFonts w:ascii="Verdana" w:hAnsi="Verdana"/>
                <w:sz w:val="16"/>
                <w:szCs w:val="16"/>
              </w:rPr>
              <w:t xml:space="preserve"> </w:t>
            </w:r>
            <w:proofErr w:type="spellStart"/>
            <w:r w:rsidRPr="00931391">
              <w:rPr>
                <w:rFonts w:ascii="Verdana" w:hAnsi="Verdana"/>
                <w:sz w:val="16"/>
                <w:szCs w:val="16"/>
              </w:rPr>
              <w:t>лицата</w:t>
            </w:r>
            <w:proofErr w:type="spellEnd"/>
            <w:r w:rsidRPr="00931391">
              <w:rPr>
                <w:rFonts w:ascii="Verdana" w:hAnsi="Verdana"/>
                <w:sz w:val="16"/>
                <w:szCs w:val="16"/>
              </w:rPr>
              <w:t xml:space="preserve"> </w:t>
            </w:r>
            <w:proofErr w:type="spellStart"/>
            <w:r w:rsidRPr="00931391">
              <w:rPr>
                <w:rFonts w:ascii="Verdana" w:hAnsi="Verdana"/>
                <w:sz w:val="16"/>
                <w:szCs w:val="16"/>
              </w:rPr>
              <w:t>на</w:t>
            </w:r>
            <w:proofErr w:type="spellEnd"/>
            <w:r w:rsidRPr="00931391">
              <w:rPr>
                <w:rFonts w:ascii="Verdana" w:hAnsi="Verdana"/>
                <w:sz w:val="16"/>
                <w:szCs w:val="16"/>
              </w:rPr>
              <w:t xml:space="preserve"> </w:t>
            </w:r>
            <w:proofErr w:type="spellStart"/>
            <w:r w:rsidRPr="00931391">
              <w:rPr>
                <w:rFonts w:ascii="Verdana" w:hAnsi="Verdana"/>
                <w:sz w:val="16"/>
                <w:szCs w:val="16"/>
              </w:rPr>
              <w:t>възраст</w:t>
            </w:r>
            <w:proofErr w:type="spellEnd"/>
            <w:r w:rsidRPr="00931391">
              <w:rPr>
                <w:rFonts w:ascii="Verdana" w:hAnsi="Verdana"/>
                <w:sz w:val="16"/>
                <w:szCs w:val="16"/>
              </w:rPr>
              <w:t xml:space="preserve"> </w:t>
            </w:r>
            <w:proofErr w:type="spellStart"/>
            <w:r w:rsidRPr="00931391">
              <w:rPr>
                <w:rFonts w:ascii="Verdana" w:hAnsi="Verdana"/>
                <w:sz w:val="16"/>
                <w:szCs w:val="16"/>
              </w:rPr>
              <w:t>между</w:t>
            </w:r>
            <w:proofErr w:type="spellEnd"/>
            <w:r w:rsidRPr="00931391">
              <w:rPr>
                <w:rFonts w:ascii="Verdana" w:hAnsi="Verdana"/>
                <w:sz w:val="16"/>
                <w:szCs w:val="16"/>
              </w:rPr>
              <w:t xml:space="preserve"> 18 и 24 г.</w:t>
            </w:r>
          </w:p>
        </w:tc>
        <w:tc>
          <w:tcPr>
            <w:tcW w:w="1418" w:type="dxa"/>
            <w:vAlign w:val="center"/>
          </w:tcPr>
          <w:p w:rsidR="005A01D9" w:rsidRPr="00931391"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 xml:space="preserve">Индикаторът е уместен </w:t>
            </w:r>
          </w:p>
        </w:tc>
        <w:tc>
          <w:tcPr>
            <w:tcW w:w="1559" w:type="dxa"/>
            <w:vAlign w:val="center"/>
          </w:tcPr>
          <w:p w:rsidR="005A01D9" w:rsidRPr="00657AEC" w:rsidRDefault="005A01D9" w:rsidP="00B122A1">
            <w:pPr>
              <w:pStyle w:val="ListParagraph"/>
              <w:widowControl w:val="0"/>
              <w:tabs>
                <w:tab w:val="left" w:pos="0"/>
                <w:tab w:val="right" w:pos="9214"/>
              </w:tabs>
              <w:spacing w:after="0" w:line="240" w:lineRule="auto"/>
              <w:ind w:left="0"/>
              <w:rPr>
                <w:rFonts w:ascii="Verdana" w:hAnsi="Verdana"/>
                <w:bCs/>
                <w:color w:val="000000"/>
                <w:sz w:val="16"/>
                <w:szCs w:val="16"/>
                <w:lang w:val="bg-BG"/>
              </w:rPr>
            </w:pPr>
            <w:r>
              <w:rPr>
                <w:rFonts w:ascii="Verdana" w:hAnsi="Verdana"/>
                <w:bCs/>
                <w:color w:val="000000"/>
                <w:sz w:val="16"/>
                <w:szCs w:val="16"/>
                <w:lang w:val="bg-BG"/>
              </w:rPr>
              <w:t>Индикаторът е ясен</w:t>
            </w:r>
          </w:p>
        </w:tc>
        <w:tc>
          <w:tcPr>
            <w:tcW w:w="851" w:type="dxa"/>
            <w:vAlign w:val="center"/>
          </w:tcPr>
          <w:p w:rsidR="005A01D9" w:rsidRPr="00931391" w:rsidRDefault="005A01D9" w:rsidP="00B122A1">
            <w:pPr>
              <w:spacing w:after="0" w:line="240" w:lineRule="auto"/>
              <w:rPr>
                <w:rFonts w:ascii="Verdana" w:hAnsi="Verdana"/>
                <w:b/>
                <w:sz w:val="16"/>
                <w:szCs w:val="16"/>
                <w:highlight w:val="cyan"/>
              </w:rPr>
            </w:pPr>
            <w:r w:rsidRPr="00931391">
              <w:rPr>
                <w:rFonts w:ascii="Verdana" w:hAnsi="Verdana"/>
                <w:sz w:val="16"/>
                <w:szCs w:val="16"/>
              </w:rPr>
              <w:t>%</w:t>
            </w:r>
          </w:p>
        </w:tc>
        <w:tc>
          <w:tcPr>
            <w:tcW w:w="992" w:type="dxa"/>
            <w:vAlign w:val="center"/>
          </w:tcPr>
          <w:p w:rsidR="005A01D9" w:rsidRPr="00931391" w:rsidRDefault="005A01D9" w:rsidP="00B122A1">
            <w:pPr>
              <w:spacing w:after="0" w:line="240" w:lineRule="auto"/>
              <w:rPr>
                <w:rFonts w:ascii="Verdana" w:hAnsi="Verdana"/>
                <w:sz w:val="16"/>
                <w:szCs w:val="16"/>
              </w:rPr>
            </w:pPr>
            <w:r w:rsidRPr="00931391">
              <w:rPr>
                <w:rFonts w:ascii="Verdana" w:hAnsi="Verdana"/>
                <w:sz w:val="16"/>
                <w:szCs w:val="16"/>
              </w:rPr>
              <w:t>12,7</w:t>
            </w:r>
          </w:p>
        </w:tc>
        <w:tc>
          <w:tcPr>
            <w:tcW w:w="850" w:type="dxa"/>
            <w:vAlign w:val="center"/>
          </w:tcPr>
          <w:p w:rsidR="005A01D9" w:rsidRPr="00931391" w:rsidRDefault="005A01D9" w:rsidP="00B122A1">
            <w:pPr>
              <w:spacing w:after="0" w:line="240" w:lineRule="auto"/>
              <w:rPr>
                <w:rFonts w:ascii="Verdana" w:hAnsi="Verdana"/>
                <w:b/>
                <w:sz w:val="16"/>
                <w:szCs w:val="16"/>
                <w:highlight w:val="cyan"/>
              </w:rPr>
            </w:pPr>
            <w:r w:rsidRPr="00931391">
              <w:rPr>
                <w:rFonts w:ascii="Verdana" w:hAnsi="Verdana"/>
                <w:sz w:val="16"/>
                <w:szCs w:val="16"/>
              </w:rPr>
              <w:t>11,5</w:t>
            </w:r>
          </w:p>
        </w:tc>
        <w:tc>
          <w:tcPr>
            <w:tcW w:w="993" w:type="dxa"/>
            <w:vAlign w:val="center"/>
          </w:tcPr>
          <w:p w:rsidR="005A01D9" w:rsidRPr="00931391" w:rsidRDefault="005A01D9" w:rsidP="00B122A1">
            <w:pPr>
              <w:spacing w:after="0" w:line="240" w:lineRule="auto"/>
              <w:rPr>
                <w:rFonts w:ascii="Verdana" w:hAnsi="Verdana"/>
                <w:sz w:val="16"/>
                <w:szCs w:val="16"/>
                <w:highlight w:val="cyan"/>
              </w:rPr>
            </w:pPr>
            <w:r w:rsidRPr="00931391">
              <w:rPr>
                <w:rFonts w:ascii="Verdana" w:hAnsi="Verdana"/>
                <w:sz w:val="16"/>
                <w:szCs w:val="16"/>
              </w:rPr>
              <w:t>11</w:t>
            </w:r>
          </w:p>
        </w:tc>
        <w:tc>
          <w:tcPr>
            <w:tcW w:w="3798"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е национална цел по стратегия Европа 2020. Следва да се има предвид, че принос за постигането му ще имат и други програми, финансирани от ЕС, както и от националния бюджет. Съответно за установяване на приноса на ОПНОИР следва да има допълнителни изследвания по време на изпълнението й.</w:t>
            </w:r>
          </w:p>
        </w:tc>
      </w:tr>
      <w:tr w:rsidR="005A01D9" w:rsidRPr="00B45B4F" w:rsidTr="00B122A1">
        <w:tc>
          <w:tcPr>
            <w:tcW w:w="2581" w:type="dxa"/>
            <w:vMerge/>
          </w:tcPr>
          <w:p w:rsidR="005A01D9" w:rsidRDefault="005A01D9" w:rsidP="00B122A1">
            <w:pPr>
              <w:autoSpaceDE w:val="0"/>
              <w:autoSpaceDN w:val="0"/>
              <w:adjustRightInd w:val="0"/>
              <w:spacing w:after="0" w:line="240" w:lineRule="auto"/>
              <w:jc w:val="both"/>
              <w:rPr>
                <w:rFonts w:ascii="Verdana" w:hAnsi="Verdana"/>
                <w:sz w:val="16"/>
                <w:szCs w:val="16"/>
                <w:lang w:val="bg-BG"/>
              </w:rPr>
            </w:pPr>
          </w:p>
        </w:tc>
        <w:tc>
          <w:tcPr>
            <w:tcW w:w="1842" w:type="dxa"/>
            <w:vAlign w:val="center"/>
          </w:tcPr>
          <w:p w:rsidR="005A01D9" w:rsidRPr="00931391" w:rsidRDefault="005A01D9" w:rsidP="00B122A1">
            <w:pPr>
              <w:widowControl w:val="0"/>
              <w:tabs>
                <w:tab w:val="left" w:pos="0"/>
                <w:tab w:val="right" w:pos="9214"/>
              </w:tabs>
              <w:spacing w:after="0" w:line="240" w:lineRule="auto"/>
              <w:rPr>
                <w:rFonts w:ascii="Verdana" w:hAnsi="Verdana"/>
                <w:sz w:val="16"/>
                <w:szCs w:val="16"/>
                <w:lang w:val="bg-BG"/>
              </w:rPr>
            </w:pPr>
            <w:proofErr w:type="spellStart"/>
            <w:r w:rsidRPr="00931391">
              <w:rPr>
                <w:rFonts w:ascii="Verdana" w:hAnsi="Verdana"/>
                <w:sz w:val="16"/>
                <w:szCs w:val="16"/>
              </w:rPr>
              <w:t>Дял</w:t>
            </w:r>
            <w:proofErr w:type="spellEnd"/>
            <w:r w:rsidRPr="00931391">
              <w:rPr>
                <w:rFonts w:ascii="Verdana" w:hAnsi="Verdana"/>
                <w:sz w:val="16"/>
                <w:szCs w:val="16"/>
              </w:rPr>
              <w:t xml:space="preserve"> </w:t>
            </w:r>
            <w:proofErr w:type="spellStart"/>
            <w:r w:rsidRPr="00931391">
              <w:rPr>
                <w:rFonts w:ascii="Verdana" w:hAnsi="Verdana"/>
                <w:sz w:val="16"/>
                <w:szCs w:val="16"/>
              </w:rPr>
              <w:t>на</w:t>
            </w:r>
            <w:proofErr w:type="spellEnd"/>
            <w:r w:rsidRPr="00931391">
              <w:rPr>
                <w:rFonts w:ascii="Verdana" w:hAnsi="Verdana"/>
                <w:sz w:val="16"/>
                <w:szCs w:val="16"/>
              </w:rPr>
              <w:t xml:space="preserve"> </w:t>
            </w:r>
            <w:proofErr w:type="spellStart"/>
            <w:r w:rsidRPr="00931391">
              <w:rPr>
                <w:rFonts w:ascii="Verdana" w:hAnsi="Verdana"/>
                <w:sz w:val="16"/>
                <w:szCs w:val="16"/>
              </w:rPr>
              <w:t>децата</w:t>
            </w:r>
            <w:proofErr w:type="spellEnd"/>
            <w:r w:rsidRPr="00931391">
              <w:rPr>
                <w:rFonts w:ascii="Verdana" w:hAnsi="Verdana"/>
                <w:sz w:val="16"/>
                <w:szCs w:val="16"/>
              </w:rPr>
              <w:t xml:space="preserve"> </w:t>
            </w:r>
            <w:proofErr w:type="spellStart"/>
            <w:r w:rsidRPr="00931391">
              <w:rPr>
                <w:rFonts w:ascii="Verdana" w:hAnsi="Verdana"/>
                <w:sz w:val="16"/>
                <w:szCs w:val="16"/>
              </w:rPr>
              <w:t>на</w:t>
            </w:r>
            <w:proofErr w:type="spellEnd"/>
            <w:r w:rsidRPr="00931391">
              <w:rPr>
                <w:rFonts w:ascii="Verdana" w:hAnsi="Verdana"/>
                <w:sz w:val="16"/>
                <w:szCs w:val="16"/>
              </w:rPr>
              <w:t xml:space="preserve"> 15 </w:t>
            </w:r>
            <w:proofErr w:type="spellStart"/>
            <w:r w:rsidRPr="00931391">
              <w:rPr>
                <w:rFonts w:ascii="Verdana" w:hAnsi="Verdana"/>
                <w:sz w:val="16"/>
                <w:szCs w:val="16"/>
              </w:rPr>
              <w:t>години</w:t>
            </w:r>
            <w:proofErr w:type="spellEnd"/>
            <w:r w:rsidRPr="00931391">
              <w:rPr>
                <w:rFonts w:ascii="Verdana" w:hAnsi="Verdana"/>
                <w:sz w:val="16"/>
                <w:szCs w:val="16"/>
              </w:rPr>
              <w:t xml:space="preserve"> с </w:t>
            </w:r>
            <w:proofErr w:type="spellStart"/>
            <w:r w:rsidRPr="00931391">
              <w:rPr>
                <w:rFonts w:ascii="Verdana" w:hAnsi="Verdana"/>
                <w:sz w:val="16"/>
                <w:szCs w:val="16"/>
              </w:rPr>
              <w:t>ниски</w:t>
            </w:r>
            <w:proofErr w:type="spellEnd"/>
            <w:r w:rsidRPr="00931391">
              <w:rPr>
                <w:rFonts w:ascii="Verdana" w:hAnsi="Verdana"/>
                <w:sz w:val="16"/>
                <w:szCs w:val="16"/>
              </w:rPr>
              <w:t xml:space="preserve"> </w:t>
            </w:r>
            <w:proofErr w:type="spellStart"/>
            <w:r w:rsidRPr="00931391">
              <w:rPr>
                <w:rFonts w:ascii="Verdana" w:hAnsi="Verdana"/>
                <w:sz w:val="16"/>
                <w:szCs w:val="16"/>
              </w:rPr>
              <w:t>постижения</w:t>
            </w:r>
            <w:proofErr w:type="spellEnd"/>
            <w:r w:rsidRPr="00931391">
              <w:rPr>
                <w:rFonts w:ascii="Verdana" w:hAnsi="Verdana"/>
                <w:sz w:val="16"/>
                <w:szCs w:val="16"/>
              </w:rPr>
              <w:t xml:space="preserve"> в </w:t>
            </w:r>
            <w:proofErr w:type="spellStart"/>
            <w:r w:rsidRPr="00931391">
              <w:rPr>
                <w:rFonts w:ascii="Verdana" w:hAnsi="Verdana"/>
                <w:sz w:val="16"/>
                <w:szCs w:val="16"/>
              </w:rPr>
              <w:t>областта</w:t>
            </w:r>
            <w:proofErr w:type="spellEnd"/>
            <w:r w:rsidRPr="00931391">
              <w:rPr>
                <w:rFonts w:ascii="Verdana" w:hAnsi="Verdana"/>
                <w:sz w:val="16"/>
                <w:szCs w:val="16"/>
              </w:rPr>
              <w:t xml:space="preserve"> </w:t>
            </w:r>
            <w:proofErr w:type="spellStart"/>
            <w:r w:rsidRPr="00931391">
              <w:rPr>
                <w:rFonts w:ascii="Verdana" w:hAnsi="Verdana"/>
                <w:sz w:val="16"/>
                <w:szCs w:val="16"/>
              </w:rPr>
              <w:t>на</w:t>
            </w:r>
            <w:proofErr w:type="spellEnd"/>
            <w:r w:rsidRPr="00931391">
              <w:rPr>
                <w:rFonts w:ascii="Verdana" w:hAnsi="Verdana"/>
                <w:sz w:val="16"/>
                <w:szCs w:val="16"/>
              </w:rPr>
              <w:t xml:space="preserve"> </w:t>
            </w:r>
            <w:proofErr w:type="spellStart"/>
            <w:r w:rsidRPr="00931391">
              <w:rPr>
                <w:rFonts w:ascii="Verdana" w:hAnsi="Verdana"/>
                <w:sz w:val="16"/>
                <w:szCs w:val="16"/>
              </w:rPr>
              <w:t>четенето</w:t>
            </w:r>
            <w:proofErr w:type="spellEnd"/>
            <w:r w:rsidRPr="00931391">
              <w:rPr>
                <w:rFonts w:ascii="Verdana" w:hAnsi="Verdana"/>
                <w:sz w:val="16"/>
                <w:szCs w:val="16"/>
              </w:rPr>
              <w:t xml:space="preserve">, </w:t>
            </w:r>
            <w:proofErr w:type="spellStart"/>
            <w:r w:rsidRPr="00931391">
              <w:rPr>
                <w:rFonts w:ascii="Verdana" w:hAnsi="Verdana"/>
                <w:sz w:val="16"/>
                <w:szCs w:val="16"/>
              </w:rPr>
              <w:t>математиката</w:t>
            </w:r>
            <w:proofErr w:type="spellEnd"/>
            <w:r w:rsidRPr="00931391">
              <w:rPr>
                <w:rFonts w:ascii="Verdana" w:hAnsi="Verdana"/>
                <w:sz w:val="16"/>
                <w:szCs w:val="16"/>
              </w:rPr>
              <w:t xml:space="preserve"> и </w:t>
            </w:r>
            <w:proofErr w:type="spellStart"/>
            <w:r w:rsidRPr="00931391">
              <w:rPr>
                <w:rFonts w:ascii="Verdana" w:hAnsi="Verdana"/>
                <w:sz w:val="16"/>
                <w:szCs w:val="16"/>
              </w:rPr>
              <w:t>природните</w:t>
            </w:r>
            <w:proofErr w:type="spellEnd"/>
            <w:r w:rsidRPr="00931391">
              <w:rPr>
                <w:rFonts w:ascii="Verdana" w:hAnsi="Verdana"/>
                <w:sz w:val="16"/>
                <w:szCs w:val="16"/>
              </w:rPr>
              <w:t xml:space="preserve"> </w:t>
            </w:r>
            <w:proofErr w:type="spellStart"/>
            <w:r w:rsidRPr="00931391">
              <w:rPr>
                <w:rFonts w:ascii="Verdana" w:hAnsi="Verdana"/>
                <w:sz w:val="16"/>
                <w:szCs w:val="16"/>
              </w:rPr>
              <w:t>науки</w:t>
            </w:r>
            <w:proofErr w:type="spellEnd"/>
          </w:p>
        </w:tc>
        <w:tc>
          <w:tcPr>
            <w:tcW w:w="1418" w:type="dxa"/>
            <w:vAlign w:val="center"/>
          </w:tcPr>
          <w:p w:rsidR="005A01D9" w:rsidRPr="00657AEC"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е уместен</w:t>
            </w:r>
          </w:p>
        </w:tc>
        <w:tc>
          <w:tcPr>
            <w:tcW w:w="1559" w:type="dxa"/>
            <w:vAlign w:val="center"/>
          </w:tcPr>
          <w:p w:rsidR="005A01D9" w:rsidRPr="00657AEC" w:rsidRDefault="005A01D9" w:rsidP="00B122A1">
            <w:pPr>
              <w:widowControl w:val="0"/>
              <w:tabs>
                <w:tab w:val="left" w:pos="0"/>
                <w:tab w:val="right" w:pos="9214"/>
              </w:tabs>
              <w:spacing w:after="0" w:line="240" w:lineRule="auto"/>
              <w:rPr>
                <w:rFonts w:ascii="Verdana" w:hAnsi="Verdana"/>
                <w:sz w:val="16"/>
                <w:szCs w:val="16"/>
                <w:lang w:val="bg-BG"/>
              </w:rPr>
            </w:pPr>
            <w:r>
              <w:rPr>
                <w:rFonts w:ascii="Verdana" w:hAnsi="Verdana"/>
                <w:bCs/>
                <w:color w:val="000000"/>
                <w:sz w:val="16"/>
                <w:szCs w:val="16"/>
                <w:lang w:val="bg-BG"/>
              </w:rPr>
              <w:t>Индикаторът е ясен</w:t>
            </w:r>
          </w:p>
        </w:tc>
        <w:tc>
          <w:tcPr>
            <w:tcW w:w="851" w:type="dxa"/>
            <w:vAlign w:val="center"/>
          </w:tcPr>
          <w:p w:rsidR="005A01D9" w:rsidRPr="00931391" w:rsidRDefault="005A01D9" w:rsidP="00B122A1">
            <w:pPr>
              <w:rPr>
                <w:rFonts w:ascii="Verdana" w:hAnsi="Verdana"/>
                <w:sz w:val="16"/>
                <w:szCs w:val="16"/>
              </w:rPr>
            </w:pPr>
            <w:r w:rsidRPr="00931391">
              <w:rPr>
                <w:rFonts w:ascii="Verdana" w:hAnsi="Verdana"/>
                <w:sz w:val="16"/>
                <w:szCs w:val="16"/>
              </w:rPr>
              <w:t>%</w:t>
            </w:r>
          </w:p>
        </w:tc>
        <w:tc>
          <w:tcPr>
            <w:tcW w:w="992" w:type="dxa"/>
            <w:vAlign w:val="center"/>
          </w:tcPr>
          <w:p w:rsidR="005A01D9" w:rsidRPr="00931391" w:rsidRDefault="005A01D9" w:rsidP="00B122A1">
            <w:pPr>
              <w:rPr>
                <w:rFonts w:ascii="Verdana" w:hAnsi="Verdana"/>
                <w:sz w:val="16"/>
                <w:szCs w:val="16"/>
              </w:rPr>
            </w:pPr>
            <w:r w:rsidRPr="00931391">
              <w:rPr>
                <w:rFonts w:ascii="Verdana" w:hAnsi="Verdana"/>
                <w:sz w:val="16"/>
                <w:szCs w:val="16"/>
              </w:rPr>
              <w:t>41</w:t>
            </w:r>
          </w:p>
        </w:tc>
        <w:tc>
          <w:tcPr>
            <w:tcW w:w="850" w:type="dxa"/>
            <w:vAlign w:val="center"/>
          </w:tcPr>
          <w:p w:rsidR="005A01D9" w:rsidRPr="00931391" w:rsidRDefault="005A01D9" w:rsidP="00B122A1">
            <w:pPr>
              <w:rPr>
                <w:rFonts w:ascii="Verdana" w:hAnsi="Verdana"/>
                <w:sz w:val="16"/>
                <w:szCs w:val="16"/>
              </w:rPr>
            </w:pPr>
            <w:r w:rsidRPr="00931391">
              <w:rPr>
                <w:rFonts w:ascii="Verdana" w:hAnsi="Verdana"/>
                <w:sz w:val="16"/>
                <w:szCs w:val="16"/>
              </w:rPr>
              <w:t>38</w:t>
            </w:r>
          </w:p>
        </w:tc>
        <w:tc>
          <w:tcPr>
            <w:tcW w:w="993" w:type="dxa"/>
            <w:vAlign w:val="center"/>
          </w:tcPr>
          <w:p w:rsidR="005A01D9" w:rsidRPr="00931391" w:rsidRDefault="005A01D9" w:rsidP="00B122A1">
            <w:pPr>
              <w:rPr>
                <w:rFonts w:ascii="Verdana" w:hAnsi="Verdana"/>
                <w:sz w:val="16"/>
                <w:szCs w:val="16"/>
              </w:rPr>
            </w:pPr>
            <w:r w:rsidRPr="00931391">
              <w:rPr>
                <w:rFonts w:ascii="Verdana" w:hAnsi="Verdana"/>
                <w:sz w:val="16"/>
                <w:szCs w:val="16"/>
              </w:rPr>
              <w:t>35</w:t>
            </w:r>
          </w:p>
        </w:tc>
        <w:tc>
          <w:tcPr>
            <w:tcW w:w="3798"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 xml:space="preserve">Резултатите от последните години показват незначителни промени в стойностите на индикатора. Целта на ОП НОИР е амбициозна в това отношение. Промените, обаче, които се очакват се нуждаят от време преди да рефлектират върху крайния резултат. Поради това заложените стойности изглеждат амбициозни. </w:t>
            </w:r>
          </w:p>
        </w:tc>
      </w:tr>
      <w:tr w:rsidR="005A01D9" w:rsidRPr="00B45B4F" w:rsidTr="00B122A1">
        <w:tc>
          <w:tcPr>
            <w:tcW w:w="14884" w:type="dxa"/>
            <w:gridSpan w:val="9"/>
            <w:shd w:val="clear" w:color="auto" w:fill="F2DBDB" w:themeFill="accent2" w:themeFillTint="33"/>
          </w:tcPr>
          <w:p w:rsidR="005A01D9" w:rsidRPr="00B45B4F" w:rsidRDefault="005A01D9" w:rsidP="00637FBD">
            <w:pPr>
              <w:keepNext/>
              <w:widowControl w:val="0"/>
              <w:tabs>
                <w:tab w:val="left" w:pos="0"/>
                <w:tab w:val="right" w:pos="9214"/>
              </w:tabs>
              <w:spacing w:after="0" w:line="240" w:lineRule="auto"/>
              <w:jc w:val="both"/>
              <w:rPr>
                <w:rFonts w:ascii="Verdana" w:hAnsi="Verdana"/>
                <w:bCs/>
                <w:color w:val="000000"/>
                <w:sz w:val="16"/>
                <w:szCs w:val="16"/>
                <w:lang w:val="bg-BG"/>
              </w:rPr>
            </w:pPr>
            <w:r w:rsidRPr="00312E6F">
              <w:rPr>
                <w:rFonts w:ascii="Verdana" w:hAnsi="Verdana"/>
                <w:b/>
                <w:bCs/>
                <w:color w:val="000000"/>
                <w:sz w:val="16"/>
                <w:szCs w:val="16"/>
                <w:lang w:val="bg-BG"/>
              </w:rPr>
              <w:lastRenderedPageBreak/>
              <w:t>ИП2.</w:t>
            </w:r>
            <w:r w:rsidRPr="00312E6F">
              <w:rPr>
                <w:rFonts w:ascii="Verdana" w:hAnsi="Verdana"/>
                <w:bCs/>
                <w:color w:val="000000"/>
                <w:sz w:val="16"/>
                <w:szCs w:val="16"/>
                <w:lang w:val="bg-BG"/>
              </w:rPr>
              <w:t xml:space="preserve"> </w:t>
            </w:r>
            <w:r w:rsidRPr="00312E6F">
              <w:rPr>
                <w:rFonts w:ascii="Verdana" w:hAnsi="Verdana" w:cs="Arial Narrow"/>
                <w:i/>
                <w:color w:val="000000"/>
                <w:sz w:val="16"/>
                <w:szCs w:val="16"/>
                <w:lang w:val="bg-BG"/>
              </w:rPr>
              <w:t>Подобряване на качеството и ефикасността и достъпа до висшето и равностойното на него образование с цел увеличаване на участието и подобряване на равнищата на образование, особено за групите в неравностойно положение</w:t>
            </w:r>
            <w:r w:rsidRPr="00F86D34">
              <w:rPr>
                <w:rFonts w:ascii="Verdana" w:hAnsi="Verdana" w:cs="Arial Narrow"/>
                <w:i/>
                <w:color w:val="000000"/>
                <w:sz w:val="20"/>
                <w:szCs w:val="20"/>
                <w:lang w:val="bg-BG"/>
              </w:rPr>
              <w:t>.</w:t>
            </w:r>
          </w:p>
        </w:tc>
      </w:tr>
      <w:tr w:rsidR="005A01D9" w:rsidRPr="00E22D21" w:rsidTr="00B122A1">
        <w:trPr>
          <w:trHeight w:val="1515"/>
        </w:trPr>
        <w:tc>
          <w:tcPr>
            <w:tcW w:w="2581" w:type="dxa"/>
            <w:vMerge w:val="restart"/>
          </w:tcPr>
          <w:p w:rsidR="005A01D9" w:rsidRPr="00E22D21" w:rsidRDefault="005A01D9" w:rsidP="00B122A1">
            <w:pPr>
              <w:autoSpaceDE w:val="0"/>
              <w:autoSpaceDN w:val="0"/>
              <w:adjustRightInd w:val="0"/>
              <w:spacing w:after="0" w:line="240" w:lineRule="auto"/>
              <w:jc w:val="both"/>
              <w:rPr>
                <w:rFonts w:ascii="Verdana" w:hAnsi="Verdana"/>
                <w:sz w:val="16"/>
                <w:szCs w:val="16"/>
                <w:lang w:val="bg-BG"/>
              </w:rPr>
            </w:pPr>
            <w:r w:rsidRPr="00E22D21">
              <w:rPr>
                <w:rFonts w:ascii="Verdana" w:hAnsi="Verdana"/>
                <w:sz w:val="16"/>
                <w:szCs w:val="16"/>
                <w:lang w:val="bg-BG"/>
              </w:rPr>
              <w:t>СЦ 1 Подобряване на знанията, уменията и възможностите за реализация на завършилите висше образование</w:t>
            </w:r>
          </w:p>
          <w:p w:rsidR="005A01D9" w:rsidRPr="00E22D21" w:rsidRDefault="005A01D9" w:rsidP="00B122A1">
            <w:pPr>
              <w:autoSpaceDE w:val="0"/>
              <w:autoSpaceDN w:val="0"/>
              <w:adjustRightInd w:val="0"/>
              <w:spacing w:after="0" w:line="240" w:lineRule="auto"/>
              <w:jc w:val="both"/>
              <w:rPr>
                <w:rFonts w:ascii="Verdana" w:hAnsi="Verdana"/>
                <w:sz w:val="16"/>
                <w:szCs w:val="16"/>
                <w:lang w:val="bg-BG"/>
              </w:rPr>
            </w:pPr>
          </w:p>
          <w:p w:rsidR="005A01D9" w:rsidRPr="00E22D21" w:rsidRDefault="005A01D9" w:rsidP="00B122A1">
            <w:pPr>
              <w:autoSpaceDE w:val="0"/>
              <w:autoSpaceDN w:val="0"/>
              <w:adjustRightInd w:val="0"/>
              <w:spacing w:after="0" w:line="240" w:lineRule="auto"/>
              <w:jc w:val="both"/>
              <w:rPr>
                <w:rFonts w:ascii="Verdana" w:hAnsi="Verdana"/>
                <w:sz w:val="16"/>
                <w:szCs w:val="16"/>
                <w:lang w:val="bg-BG"/>
              </w:rPr>
            </w:pPr>
            <w:r w:rsidRPr="00E22D21">
              <w:rPr>
                <w:rFonts w:ascii="Verdana" w:hAnsi="Verdana"/>
                <w:sz w:val="16"/>
                <w:szCs w:val="16"/>
                <w:lang w:val="bg-BG"/>
              </w:rPr>
              <w:t>СЦ 2. Оптимизиране дейността на висшите училища</w:t>
            </w:r>
          </w:p>
          <w:p w:rsidR="005A01D9" w:rsidRPr="00E22D21" w:rsidRDefault="005A01D9" w:rsidP="00B122A1">
            <w:pPr>
              <w:autoSpaceDE w:val="0"/>
              <w:autoSpaceDN w:val="0"/>
              <w:adjustRightInd w:val="0"/>
              <w:spacing w:after="0" w:line="240" w:lineRule="auto"/>
              <w:jc w:val="both"/>
              <w:rPr>
                <w:rFonts w:ascii="Verdana" w:hAnsi="Verdana"/>
                <w:sz w:val="16"/>
                <w:szCs w:val="16"/>
                <w:lang w:val="bg-BG"/>
              </w:rPr>
            </w:pPr>
          </w:p>
          <w:p w:rsidR="005A01D9" w:rsidRPr="00E22D21" w:rsidRDefault="005A01D9" w:rsidP="00B122A1">
            <w:pPr>
              <w:autoSpaceDE w:val="0"/>
              <w:autoSpaceDN w:val="0"/>
              <w:adjustRightInd w:val="0"/>
              <w:spacing w:after="0" w:line="240" w:lineRule="auto"/>
              <w:jc w:val="both"/>
              <w:rPr>
                <w:rFonts w:ascii="Verdana" w:hAnsi="Verdana"/>
                <w:sz w:val="16"/>
                <w:szCs w:val="16"/>
                <w:lang w:val="bg-BG"/>
              </w:rPr>
            </w:pPr>
            <w:r w:rsidRPr="00E22D21">
              <w:rPr>
                <w:rFonts w:ascii="Verdana" w:hAnsi="Verdana"/>
                <w:sz w:val="16"/>
                <w:szCs w:val="16"/>
                <w:lang w:val="bg-BG"/>
              </w:rPr>
              <w:t>СЦ 3 Подобряване на достъпа до висше образование и увеличаване на броя на завършилите висше образование между 30-34 годишните до 36 % до 2020 г</w:t>
            </w:r>
          </w:p>
        </w:tc>
        <w:tc>
          <w:tcPr>
            <w:tcW w:w="1842" w:type="dxa"/>
            <w:vAlign w:val="center"/>
          </w:tcPr>
          <w:p w:rsidR="005A01D9" w:rsidRPr="00E22D21" w:rsidRDefault="005A01D9" w:rsidP="00B122A1">
            <w:pPr>
              <w:spacing w:after="0" w:line="240" w:lineRule="auto"/>
              <w:rPr>
                <w:rFonts w:ascii="Verdana" w:hAnsi="Verdana"/>
                <w:sz w:val="16"/>
                <w:szCs w:val="16"/>
              </w:rPr>
            </w:pPr>
            <w:proofErr w:type="spellStart"/>
            <w:r w:rsidRPr="00E22D21">
              <w:rPr>
                <w:rFonts w:ascii="Verdana" w:hAnsi="Verdana"/>
                <w:sz w:val="16"/>
                <w:szCs w:val="16"/>
              </w:rPr>
              <w:t>Процентен</w:t>
            </w:r>
            <w:proofErr w:type="spellEnd"/>
            <w:r w:rsidRPr="00E22D21">
              <w:rPr>
                <w:rFonts w:ascii="Verdana" w:hAnsi="Verdana"/>
                <w:sz w:val="16"/>
                <w:szCs w:val="16"/>
              </w:rPr>
              <w:t xml:space="preserve"> </w:t>
            </w:r>
            <w:proofErr w:type="spellStart"/>
            <w:r w:rsidRPr="00E22D21">
              <w:rPr>
                <w:rFonts w:ascii="Verdana" w:hAnsi="Verdana"/>
                <w:sz w:val="16"/>
                <w:szCs w:val="16"/>
              </w:rPr>
              <w:t>дял</w:t>
            </w:r>
            <w:proofErr w:type="spellEnd"/>
            <w:r w:rsidRPr="00E22D21">
              <w:rPr>
                <w:rFonts w:ascii="Verdana" w:hAnsi="Verdana"/>
                <w:sz w:val="16"/>
                <w:szCs w:val="16"/>
              </w:rPr>
              <w:t xml:space="preserve"> </w:t>
            </w:r>
            <w:proofErr w:type="spellStart"/>
            <w:r w:rsidRPr="00E22D21">
              <w:rPr>
                <w:rFonts w:ascii="Verdana" w:hAnsi="Verdana"/>
                <w:sz w:val="16"/>
                <w:szCs w:val="16"/>
              </w:rPr>
              <w:t>от</w:t>
            </w:r>
            <w:proofErr w:type="spellEnd"/>
            <w:r w:rsidRPr="00E22D21">
              <w:rPr>
                <w:rFonts w:ascii="Verdana" w:hAnsi="Verdana"/>
                <w:sz w:val="16"/>
                <w:szCs w:val="16"/>
              </w:rPr>
              <w:t xml:space="preserve"> 30-34-годишните с </w:t>
            </w:r>
            <w:proofErr w:type="spellStart"/>
            <w:r w:rsidRPr="00E22D21">
              <w:rPr>
                <w:rFonts w:ascii="Verdana" w:hAnsi="Verdana"/>
                <w:sz w:val="16"/>
                <w:szCs w:val="16"/>
              </w:rPr>
              <w:t>висше</w:t>
            </w:r>
            <w:proofErr w:type="spellEnd"/>
            <w:r w:rsidRPr="00E22D21">
              <w:rPr>
                <w:rFonts w:ascii="Verdana" w:hAnsi="Verdana"/>
                <w:sz w:val="16"/>
                <w:szCs w:val="16"/>
              </w:rPr>
              <w:t xml:space="preserve"> </w:t>
            </w:r>
            <w:proofErr w:type="spellStart"/>
            <w:r w:rsidRPr="00E22D21">
              <w:rPr>
                <w:rFonts w:ascii="Verdana" w:hAnsi="Verdana"/>
                <w:sz w:val="16"/>
                <w:szCs w:val="16"/>
              </w:rPr>
              <w:t>образование</w:t>
            </w:r>
            <w:proofErr w:type="spellEnd"/>
          </w:p>
        </w:tc>
        <w:tc>
          <w:tcPr>
            <w:tcW w:w="1418" w:type="dxa"/>
            <w:vAlign w:val="center"/>
          </w:tcPr>
          <w:p w:rsidR="005A01D9" w:rsidRPr="00E22D21"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 xml:space="preserve">Индикаторът е уместен. </w:t>
            </w:r>
          </w:p>
        </w:tc>
        <w:tc>
          <w:tcPr>
            <w:tcW w:w="1559" w:type="dxa"/>
            <w:vAlign w:val="center"/>
          </w:tcPr>
          <w:p w:rsidR="005A01D9" w:rsidRPr="00E22D21"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е ясен</w:t>
            </w:r>
          </w:p>
        </w:tc>
        <w:tc>
          <w:tcPr>
            <w:tcW w:w="851" w:type="dxa"/>
            <w:vAlign w:val="center"/>
          </w:tcPr>
          <w:p w:rsidR="005A01D9" w:rsidRPr="00E22D21" w:rsidRDefault="005A01D9" w:rsidP="00B122A1">
            <w:pPr>
              <w:spacing w:after="0" w:line="240" w:lineRule="auto"/>
              <w:rPr>
                <w:rFonts w:ascii="Verdana" w:hAnsi="Verdana"/>
                <w:b/>
                <w:sz w:val="16"/>
                <w:szCs w:val="16"/>
                <w:highlight w:val="cyan"/>
              </w:rPr>
            </w:pPr>
            <w:r w:rsidRPr="00E22D21">
              <w:rPr>
                <w:rFonts w:ascii="Verdana" w:hAnsi="Verdana"/>
                <w:sz w:val="16"/>
                <w:szCs w:val="16"/>
              </w:rPr>
              <w:t>%</w:t>
            </w:r>
          </w:p>
        </w:tc>
        <w:tc>
          <w:tcPr>
            <w:tcW w:w="992" w:type="dxa"/>
            <w:vAlign w:val="center"/>
          </w:tcPr>
          <w:p w:rsidR="005A01D9" w:rsidRPr="00E22D21" w:rsidRDefault="005A01D9" w:rsidP="00B122A1">
            <w:pPr>
              <w:spacing w:after="0" w:line="240" w:lineRule="auto"/>
              <w:rPr>
                <w:rFonts w:ascii="Verdana" w:hAnsi="Verdana"/>
                <w:sz w:val="16"/>
                <w:szCs w:val="16"/>
              </w:rPr>
            </w:pPr>
            <w:r w:rsidRPr="00E22D21">
              <w:rPr>
                <w:rFonts w:ascii="Verdana" w:hAnsi="Verdana"/>
                <w:sz w:val="16"/>
                <w:szCs w:val="16"/>
              </w:rPr>
              <w:t>26,9</w:t>
            </w:r>
          </w:p>
        </w:tc>
        <w:tc>
          <w:tcPr>
            <w:tcW w:w="850" w:type="dxa"/>
            <w:vAlign w:val="center"/>
          </w:tcPr>
          <w:p w:rsidR="005A01D9" w:rsidRPr="00E22D21" w:rsidRDefault="005A01D9" w:rsidP="00B122A1">
            <w:pPr>
              <w:spacing w:after="0" w:line="240" w:lineRule="auto"/>
              <w:rPr>
                <w:rFonts w:ascii="Verdana" w:hAnsi="Verdana"/>
                <w:sz w:val="16"/>
                <w:szCs w:val="16"/>
              </w:rPr>
            </w:pPr>
            <w:r w:rsidRPr="00E22D21">
              <w:rPr>
                <w:rFonts w:ascii="Verdana" w:hAnsi="Verdana"/>
                <w:sz w:val="16"/>
                <w:szCs w:val="16"/>
              </w:rPr>
              <w:t>30</w:t>
            </w:r>
          </w:p>
        </w:tc>
        <w:tc>
          <w:tcPr>
            <w:tcW w:w="993" w:type="dxa"/>
            <w:vAlign w:val="center"/>
          </w:tcPr>
          <w:p w:rsidR="005A01D9" w:rsidRPr="00E22D21" w:rsidRDefault="005A01D9" w:rsidP="00B122A1">
            <w:pPr>
              <w:spacing w:after="0" w:line="240" w:lineRule="auto"/>
              <w:rPr>
                <w:rFonts w:ascii="Verdana" w:hAnsi="Verdana"/>
                <w:sz w:val="16"/>
                <w:szCs w:val="16"/>
              </w:rPr>
            </w:pPr>
            <w:r w:rsidRPr="00E22D21">
              <w:rPr>
                <w:rFonts w:ascii="Verdana" w:hAnsi="Verdana"/>
                <w:sz w:val="16"/>
                <w:szCs w:val="16"/>
              </w:rPr>
              <w:t>36</w:t>
            </w:r>
          </w:p>
        </w:tc>
        <w:tc>
          <w:tcPr>
            <w:tcW w:w="3798" w:type="dxa"/>
            <w:vAlign w:val="center"/>
          </w:tcPr>
          <w:p w:rsidR="005A01D9" w:rsidRPr="00E22D21"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е национална цел по стратегия Европа 2020. Статистическите данни (НСИ) сочат непрекъснато увеличаване на дела на завършилите висше образование, както средно-годишният темп е около 3%. Ако тези темпове се запазят и в допълнение на подкрепата по програмата е напълно възможно постигането на заложените междинна и целева стойност.</w:t>
            </w:r>
          </w:p>
        </w:tc>
      </w:tr>
      <w:tr w:rsidR="005A01D9" w:rsidRPr="00E22D21" w:rsidTr="00B122A1">
        <w:trPr>
          <w:trHeight w:val="2064"/>
        </w:trPr>
        <w:tc>
          <w:tcPr>
            <w:tcW w:w="2581" w:type="dxa"/>
            <w:vMerge/>
          </w:tcPr>
          <w:p w:rsidR="005A01D9" w:rsidRPr="00E22D21" w:rsidRDefault="005A01D9" w:rsidP="00B122A1">
            <w:pPr>
              <w:autoSpaceDE w:val="0"/>
              <w:autoSpaceDN w:val="0"/>
              <w:adjustRightInd w:val="0"/>
              <w:spacing w:after="0" w:line="240" w:lineRule="auto"/>
              <w:jc w:val="both"/>
              <w:rPr>
                <w:rFonts w:ascii="Verdana" w:hAnsi="Verdana"/>
                <w:sz w:val="16"/>
                <w:szCs w:val="16"/>
                <w:lang w:val="bg-BG"/>
              </w:rPr>
            </w:pPr>
          </w:p>
        </w:tc>
        <w:tc>
          <w:tcPr>
            <w:tcW w:w="1842" w:type="dxa"/>
            <w:vAlign w:val="center"/>
          </w:tcPr>
          <w:p w:rsidR="005A01D9" w:rsidRPr="00E22D21" w:rsidRDefault="005A01D9" w:rsidP="00B122A1">
            <w:pPr>
              <w:spacing w:after="0" w:line="240" w:lineRule="auto"/>
              <w:rPr>
                <w:rFonts w:ascii="Verdana" w:hAnsi="Verdana"/>
                <w:sz w:val="16"/>
                <w:szCs w:val="16"/>
              </w:rPr>
            </w:pPr>
            <w:proofErr w:type="spellStart"/>
            <w:r w:rsidRPr="00E22D21">
              <w:rPr>
                <w:rFonts w:ascii="Verdana" w:hAnsi="Verdana"/>
                <w:sz w:val="16"/>
                <w:szCs w:val="16"/>
              </w:rPr>
              <w:t>Студенти</w:t>
            </w:r>
            <w:proofErr w:type="spellEnd"/>
            <w:r>
              <w:rPr>
                <w:rFonts w:ascii="Verdana" w:hAnsi="Verdana"/>
                <w:sz w:val="16"/>
                <w:szCs w:val="16"/>
                <w:lang w:val="bg-BG"/>
              </w:rPr>
              <w:t>,</w:t>
            </w:r>
            <w:r w:rsidRPr="00E22D21">
              <w:rPr>
                <w:rFonts w:ascii="Verdana" w:hAnsi="Verdana"/>
                <w:sz w:val="16"/>
                <w:szCs w:val="16"/>
              </w:rPr>
              <w:t xml:space="preserve"> </w:t>
            </w:r>
            <w:proofErr w:type="spellStart"/>
            <w:r w:rsidRPr="00E22D21">
              <w:rPr>
                <w:rFonts w:ascii="Verdana" w:hAnsi="Verdana"/>
                <w:sz w:val="16"/>
                <w:szCs w:val="16"/>
              </w:rPr>
              <w:t>обучаващи</w:t>
            </w:r>
            <w:proofErr w:type="spellEnd"/>
            <w:r w:rsidRPr="00E22D21">
              <w:rPr>
                <w:rFonts w:ascii="Verdana" w:hAnsi="Verdana"/>
                <w:sz w:val="16"/>
                <w:szCs w:val="16"/>
              </w:rPr>
              <w:t xml:space="preserve"> </w:t>
            </w:r>
            <w:proofErr w:type="spellStart"/>
            <w:r w:rsidRPr="00E22D21">
              <w:rPr>
                <w:rFonts w:ascii="Verdana" w:hAnsi="Verdana"/>
                <w:sz w:val="16"/>
                <w:szCs w:val="16"/>
              </w:rPr>
              <w:t>се</w:t>
            </w:r>
            <w:proofErr w:type="spellEnd"/>
            <w:r w:rsidRPr="00E22D21">
              <w:rPr>
                <w:rFonts w:ascii="Verdana" w:hAnsi="Verdana"/>
                <w:sz w:val="16"/>
                <w:szCs w:val="16"/>
              </w:rPr>
              <w:t xml:space="preserve"> </w:t>
            </w:r>
            <w:proofErr w:type="spellStart"/>
            <w:r w:rsidRPr="00E22D21">
              <w:rPr>
                <w:rFonts w:ascii="Verdana" w:hAnsi="Verdana"/>
                <w:sz w:val="16"/>
                <w:szCs w:val="16"/>
              </w:rPr>
              <w:t>по</w:t>
            </w:r>
            <w:proofErr w:type="spellEnd"/>
            <w:r w:rsidRPr="00E22D21">
              <w:rPr>
                <w:rFonts w:ascii="Verdana" w:hAnsi="Verdana"/>
                <w:sz w:val="16"/>
                <w:szCs w:val="16"/>
              </w:rPr>
              <w:t xml:space="preserve"> </w:t>
            </w:r>
            <w:proofErr w:type="spellStart"/>
            <w:r w:rsidRPr="00E22D21">
              <w:rPr>
                <w:rFonts w:ascii="Verdana" w:hAnsi="Verdana"/>
                <w:sz w:val="16"/>
                <w:szCs w:val="16"/>
              </w:rPr>
              <w:t>актуализирани</w:t>
            </w:r>
            <w:proofErr w:type="spellEnd"/>
            <w:r w:rsidRPr="00E22D21">
              <w:rPr>
                <w:rFonts w:ascii="Verdana" w:hAnsi="Verdana"/>
                <w:sz w:val="16"/>
                <w:szCs w:val="16"/>
              </w:rPr>
              <w:t xml:space="preserve"> </w:t>
            </w:r>
            <w:proofErr w:type="spellStart"/>
            <w:r w:rsidRPr="00E22D21">
              <w:rPr>
                <w:rFonts w:ascii="Verdana" w:hAnsi="Verdana"/>
                <w:sz w:val="16"/>
                <w:szCs w:val="16"/>
              </w:rPr>
              <w:t>учебни</w:t>
            </w:r>
            <w:proofErr w:type="spellEnd"/>
            <w:r w:rsidRPr="00E22D21">
              <w:rPr>
                <w:rFonts w:ascii="Verdana" w:hAnsi="Verdana"/>
                <w:sz w:val="16"/>
                <w:szCs w:val="16"/>
              </w:rPr>
              <w:t xml:space="preserve"> </w:t>
            </w:r>
            <w:proofErr w:type="spellStart"/>
            <w:r w:rsidRPr="00E22D21">
              <w:rPr>
                <w:rFonts w:ascii="Verdana" w:hAnsi="Verdana"/>
                <w:sz w:val="16"/>
                <w:szCs w:val="16"/>
              </w:rPr>
              <w:t>планове</w:t>
            </w:r>
            <w:proofErr w:type="spellEnd"/>
            <w:r w:rsidRPr="00E22D21">
              <w:rPr>
                <w:rFonts w:ascii="Verdana" w:hAnsi="Verdana"/>
                <w:sz w:val="16"/>
                <w:szCs w:val="16"/>
              </w:rPr>
              <w:t xml:space="preserve"> и </w:t>
            </w:r>
            <w:proofErr w:type="spellStart"/>
            <w:r w:rsidRPr="00E22D21">
              <w:rPr>
                <w:rFonts w:ascii="Verdana" w:hAnsi="Verdana"/>
                <w:sz w:val="16"/>
                <w:szCs w:val="16"/>
              </w:rPr>
              <w:t>програми</w:t>
            </w:r>
            <w:proofErr w:type="spellEnd"/>
          </w:p>
        </w:tc>
        <w:tc>
          <w:tcPr>
            <w:tcW w:w="1418" w:type="dxa"/>
            <w:vAlign w:val="center"/>
          </w:tcPr>
          <w:p w:rsidR="005A01D9" w:rsidRPr="00E22D21"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не е пряко свързан със специфичните цели</w:t>
            </w:r>
          </w:p>
        </w:tc>
        <w:tc>
          <w:tcPr>
            <w:tcW w:w="1559" w:type="dxa"/>
            <w:vAlign w:val="center"/>
          </w:tcPr>
          <w:p w:rsidR="005A01D9" w:rsidRPr="00E22D21"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Предполага се, че се касае за актуализирани учебни планове и програми в резултат на подкрепата по ОПНОИР</w:t>
            </w:r>
          </w:p>
        </w:tc>
        <w:tc>
          <w:tcPr>
            <w:tcW w:w="851" w:type="dxa"/>
            <w:vAlign w:val="center"/>
          </w:tcPr>
          <w:p w:rsidR="005A01D9" w:rsidRPr="00E22D21" w:rsidRDefault="005A01D9" w:rsidP="00B122A1">
            <w:pPr>
              <w:spacing w:after="0" w:line="240" w:lineRule="auto"/>
              <w:rPr>
                <w:rFonts w:ascii="Verdana" w:hAnsi="Verdana"/>
                <w:sz w:val="16"/>
                <w:szCs w:val="16"/>
              </w:rPr>
            </w:pPr>
            <w:r w:rsidRPr="00E22D21">
              <w:rPr>
                <w:rFonts w:ascii="Verdana" w:hAnsi="Verdana"/>
                <w:sz w:val="16"/>
                <w:szCs w:val="16"/>
              </w:rPr>
              <w:t>%</w:t>
            </w:r>
          </w:p>
        </w:tc>
        <w:tc>
          <w:tcPr>
            <w:tcW w:w="992" w:type="dxa"/>
            <w:vAlign w:val="center"/>
          </w:tcPr>
          <w:p w:rsidR="005A01D9" w:rsidRPr="00E22D21" w:rsidRDefault="005A01D9" w:rsidP="00B122A1">
            <w:pPr>
              <w:spacing w:after="0" w:line="240" w:lineRule="auto"/>
              <w:rPr>
                <w:rFonts w:ascii="Verdana" w:hAnsi="Verdana"/>
                <w:sz w:val="16"/>
                <w:szCs w:val="16"/>
              </w:rPr>
            </w:pPr>
            <w:r w:rsidRPr="00E22D21">
              <w:rPr>
                <w:rFonts w:ascii="Verdana" w:hAnsi="Verdana"/>
                <w:sz w:val="16"/>
                <w:szCs w:val="16"/>
              </w:rPr>
              <w:t>1</w:t>
            </w:r>
          </w:p>
        </w:tc>
        <w:tc>
          <w:tcPr>
            <w:tcW w:w="850" w:type="dxa"/>
            <w:vAlign w:val="center"/>
          </w:tcPr>
          <w:p w:rsidR="005A01D9" w:rsidRPr="00E22D21" w:rsidRDefault="005A01D9" w:rsidP="00B122A1">
            <w:pPr>
              <w:spacing w:after="0" w:line="240" w:lineRule="auto"/>
              <w:rPr>
                <w:rFonts w:ascii="Verdana" w:hAnsi="Verdana"/>
                <w:sz w:val="16"/>
                <w:szCs w:val="16"/>
              </w:rPr>
            </w:pPr>
            <w:r w:rsidRPr="00E22D21">
              <w:rPr>
                <w:rFonts w:ascii="Verdana" w:hAnsi="Verdana"/>
                <w:sz w:val="16"/>
                <w:szCs w:val="16"/>
              </w:rPr>
              <w:t>5</w:t>
            </w:r>
          </w:p>
        </w:tc>
        <w:tc>
          <w:tcPr>
            <w:tcW w:w="993" w:type="dxa"/>
            <w:vAlign w:val="center"/>
          </w:tcPr>
          <w:p w:rsidR="005A01D9" w:rsidRPr="00E22D21" w:rsidRDefault="005A01D9" w:rsidP="00B122A1">
            <w:pPr>
              <w:spacing w:after="0" w:line="240" w:lineRule="auto"/>
              <w:rPr>
                <w:rFonts w:ascii="Verdana" w:hAnsi="Verdana"/>
                <w:sz w:val="16"/>
                <w:szCs w:val="16"/>
              </w:rPr>
            </w:pPr>
            <w:r w:rsidRPr="00E22D21">
              <w:rPr>
                <w:rFonts w:ascii="Verdana" w:hAnsi="Verdana"/>
                <w:sz w:val="16"/>
                <w:szCs w:val="16"/>
              </w:rPr>
              <w:t>10</w:t>
            </w:r>
          </w:p>
        </w:tc>
        <w:tc>
          <w:tcPr>
            <w:tcW w:w="3798" w:type="dxa"/>
            <w:vAlign w:val="center"/>
          </w:tcPr>
          <w:p w:rsidR="005A01D9" w:rsidRPr="00E22D21"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 xml:space="preserve">Не е ясна методологията, по която са изчислени стойностите на индикатора. </w:t>
            </w:r>
          </w:p>
        </w:tc>
      </w:tr>
      <w:tr w:rsidR="005A01D9" w:rsidRPr="00B45B4F" w:rsidTr="00B122A1">
        <w:tc>
          <w:tcPr>
            <w:tcW w:w="14884" w:type="dxa"/>
            <w:gridSpan w:val="9"/>
            <w:shd w:val="clear" w:color="auto" w:fill="F2DBDB" w:themeFill="accent2" w:themeFillTint="33"/>
          </w:tcPr>
          <w:p w:rsidR="005A01D9" w:rsidRPr="006E5A29" w:rsidRDefault="005A01D9" w:rsidP="00B122A1">
            <w:pPr>
              <w:widowControl w:val="0"/>
              <w:tabs>
                <w:tab w:val="left" w:pos="0"/>
                <w:tab w:val="right" w:pos="9214"/>
              </w:tabs>
              <w:spacing w:after="0" w:line="240" w:lineRule="auto"/>
              <w:jc w:val="both"/>
              <w:rPr>
                <w:rFonts w:ascii="Verdana" w:hAnsi="Verdana"/>
                <w:bCs/>
                <w:color w:val="000000"/>
                <w:sz w:val="16"/>
                <w:szCs w:val="16"/>
                <w:lang w:val="bg-BG"/>
              </w:rPr>
            </w:pPr>
            <w:r w:rsidRPr="006E5A29">
              <w:rPr>
                <w:rFonts w:ascii="Verdana" w:hAnsi="Verdana"/>
                <w:b/>
                <w:bCs/>
                <w:color w:val="000000"/>
                <w:sz w:val="16"/>
                <w:szCs w:val="16"/>
                <w:lang w:val="bg-BG"/>
              </w:rPr>
              <w:t>ИП3.</w:t>
            </w:r>
            <w:r w:rsidRPr="006E5A29">
              <w:rPr>
                <w:rFonts w:ascii="Verdana" w:hAnsi="Verdana"/>
                <w:bCs/>
                <w:color w:val="000000"/>
                <w:sz w:val="16"/>
                <w:szCs w:val="16"/>
                <w:lang w:val="bg-BG"/>
              </w:rPr>
              <w:t xml:space="preserve"> </w:t>
            </w:r>
            <w:r w:rsidRPr="006E5A29">
              <w:rPr>
                <w:rFonts w:ascii="Verdana" w:hAnsi="Verdana" w:cs="Arial Narrow"/>
                <w:i/>
                <w:color w:val="000000"/>
                <w:sz w:val="16"/>
                <w:szCs w:val="16"/>
                <w:lang w:val="bg-BG"/>
              </w:rPr>
              <w:t>Подобряване на равния достъп до възможностите за учене през целия живот за всички възрастови групи във формален, неформален и неофициален вид, осъвременяване на познанията, уменията и компетенциите на работната ръка, както и насърчаване на гъвкави процеси на учене, включително чрез професионална ориентация и валидиране на придобитите компетенции.</w:t>
            </w:r>
          </w:p>
        </w:tc>
      </w:tr>
      <w:tr w:rsidR="005A01D9" w:rsidRPr="00B45B4F" w:rsidTr="00B122A1">
        <w:trPr>
          <w:trHeight w:val="937"/>
        </w:trPr>
        <w:tc>
          <w:tcPr>
            <w:tcW w:w="2581" w:type="dxa"/>
            <w:vMerge w:val="restart"/>
            <w:shd w:val="clear" w:color="auto" w:fill="auto"/>
          </w:tcPr>
          <w:p w:rsidR="005A01D9" w:rsidRDefault="005A01D9" w:rsidP="00B122A1">
            <w:pPr>
              <w:autoSpaceDE w:val="0"/>
              <w:autoSpaceDN w:val="0"/>
              <w:adjustRightInd w:val="0"/>
              <w:spacing w:after="0" w:line="240" w:lineRule="auto"/>
              <w:jc w:val="both"/>
              <w:rPr>
                <w:rFonts w:ascii="Verdana" w:hAnsi="Verdana"/>
                <w:sz w:val="16"/>
                <w:szCs w:val="16"/>
                <w:lang w:val="bg-BG"/>
              </w:rPr>
            </w:pPr>
            <w:r>
              <w:rPr>
                <w:rFonts w:ascii="Verdana" w:hAnsi="Verdana"/>
                <w:sz w:val="16"/>
                <w:szCs w:val="16"/>
                <w:lang w:val="bg-BG"/>
              </w:rPr>
              <w:t>СЦ1.</w:t>
            </w:r>
            <w:r w:rsidRPr="00B45B4F">
              <w:rPr>
                <w:rFonts w:ascii="Verdana" w:hAnsi="Verdana"/>
                <w:sz w:val="16"/>
                <w:szCs w:val="16"/>
                <w:lang w:val="bg-BG"/>
              </w:rPr>
              <w:t>Развитие на капацитета и повишаване на квалификацията на заетите в областта на образованието и обучението и науката</w:t>
            </w:r>
          </w:p>
          <w:p w:rsidR="005A01D9" w:rsidRDefault="005A01D9" w:rsidP="00B122A1">
            <w:pPr>
              <w:autoSpaceDE w:val="0"/>
              <w:autoSpaceDN w:val="0"/>
              <w:adjustRightInd w:val="0"/>
              <w:spacing w:after="0" w:line="240" w:lineRule="auto"/>
              <w:jc w:val="both"/>
              <w:rPr>
                <w:rFonts w:ascii="Verdana" w:hAnsi="Verdana"/>
                <w:sz w:val="16"/>
                <w:szCs w:val="16"/>
                <w:lang w:val="bg-BG"/>
              </w:rPr>
            </w:pPr>
          </w:p>
          <w:p w:rsidR="005A01D9" w:rsidRPr="00B45B4F" w:rsidRDefault="005A01D9" w:rsidP="00B122A1">
            <w:pPr>
              <w:autoSpaceDE w:val="0"/>
              <w:autoSpaceDN w:val="0"/>
              <w:adjustRightInd w:val="0"/>
              <w:spacing w:after="0" w:line="240" w:lineRule="auto"/>
              <w:jc w:val="both"/>
              <w:rPr>
                <w:rFonts w:ascii="Verdana" w:hAnsi="Verdana"/>
                <w:sz w:val="16"/>
                <w:szCs w:val="16"/>
                <w:lang w:val="bg-BG"/>
              </w:rPr>
            </w:pPr>
          </w:p>
          <w:p w:rsidR="005A01D9" w:rsidRPr="00B45B4F" w:rsidRDefault="005A01D9" w:rsidP="00B122A1">
            <w:pPr>
              <w:autoSpaceDE w:val="0"/>
              <w:autoSpaceDN w:val="0"/>
              <w:adjustRightInd w:val="0"/>
              <w:spacing w:after="0" w:line="240" w:lineRule="auto"/>
              <w:jc w:val="both"/>
              <w:rPr>
                <w:rFonts w:ascii="Verdana" w:hAnsi="Verdana"/>
                <w:sz w:val="16"/>
                <w:szCs w:val="16"/>
                <w:lang w:val="bg-BG"/>
              </w:rPr>
            </w:pPr>
            <w:r>
              <w:rPr>
                <w:rFonts w:ascii="Verdana" w:hAnsi="Verdana"/>
                <w:sz w:val="16"/>
                <w:szCs w:val="16"/>
                <w:lang w:val="bg-BG"/>
              </w:rPr>
              <w:t>СЦ2.</w:t>
            </w:r>
            <w:r w:rsidRPr="00B45B4F">
              <w:rPr>
                <w:rFonts w:ascii="Verdana" w:hAnsi="Verdana"/>
                <w:sz w:val="16"/>
                <w:szCs w:val="16"/>
                <w:lang w:val="bg-BG"/>
              </w:rPr>
              <w:t>Подкрепа на продължаващото обучение и създаване на условия за придобиване и надграждане на знания, умения и компетентности</w:t>
            </w:r>
          </w:p>
        </w:tc>
        <w:tc>
          <w:tcPr>
            <w:tcW w:w="1842" w:type="dxa"/>
            <w:shd w:val="clear" w:color="auto" w:fill="auto"/>
            <w:vAlign w:val="center"/>
          </w:tcPr>
          <w:p w:rsidR="005A01D9" w:rsidRPr="00E22D21" w:rsidRDefault="005A01D9" w:rsidP="00B122A1">
            <w:pPr>
              <w:pStyle w:val="Default"/>
              <w:rPr>
                <w:rFonts w:ascii="Verdana" w:hAnsi="Verdana"/>
                <w:color w:val="auto"/>
                <w:sz w:val="16"/>
                <w:szCs w:val="16"/>
                <w:lang w:val="bg-BG"/>
              </w:rPr>
            </w:pPr>
            <w:r>
              <w:rPr>
                <w:rFonts w:ascii="Verdana" w:hAnsi="Verdana"/>
                <w:color w:val="auto"/>
                <w:sz w:val="16"/>
                <w:szCs w:val="16"/>
                <w:lang w:val="bg-BG"/>
              </w:rPr>
              <w:lastRenderedPageBreak/>
              <w:t>Учители до 35 г.</w:t>
            </w:r>
          </w:p>
        </w:tc>
        <w:tc>
          <w:tcPr>
            <w:tcW w:w="1418" w:type="dxa"/>
            <w:shd w:val="clear" w:color="auto" w:fill="auto"/>
            <w:vAlign w:val="center"/>
          </w:tcPr>
          <w:p w:rsidR="005A01D9" w:rsidRPr="00E22D21"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е уместен, но не е пряко свързан със специфичните цели</w:t>
            </w:r>
          </w:p>
        </w:tc>
        <w:tc>
          <w:tcPr>
            <w:tcW w:w="1559" w:type="dxa"/>
            <w:shd w:val="clear" w:color="auto" w:fill="auto"/>
            <w:vAlign w:val="center"/>
          </w:tcPr>
          <w:p w:rsidR="005A01D9" w:rsidRPr="00E22D21"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е ясен</w:t>
            </w:r>
          </w:p>
        </w:tc>
        <w:tc>
          <w:tcPr>
            <w:tcW w:w="851" w:type="dxa"/>
            <w:shd w:val="clear" w:color="auto" w:fill="auto"/>
            <w:vAlign w:val="center"/>
          </w:tcPr>
          <w:p w:rsidR="005A01D9" w:rsidRPr="00E22D21"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w:t>
            </w:r>
          </w:p>
        </w:tc>
        <w:tc>
          <w:tcPr>
            <w:tcW w:w="992" w:type="dxa"/>
            <w:shd w:val="clear" w:color="auto" w:fill="auto"/>
            <w:vAlign w:val="center"/>
          </w:tcPr>
          <w:p w:rsidR="005A01D9" w:rsidRPr="002C6862" w:rsidRDefault="005A01D9" w:rsidP="00B122A1">
            <w:pPr>
              <w:spacing w:after="0" w:line="240" w:lineRule="auto"/>
              <w:rPr>
                <w:rFonts w:ascii="Verdana" w:hAnsi="Verdana"/>
                <w:sz w:val="16"/>
                <w:szCs w:val="16"/>
                <w:lang w:val="bg-BG"/>
              </w:rPr>
            </w:pPr>
            <w:r>
              <w:rPr>
                <w:rFonts w:ascii="Verdana" w:hAnsi="Verdana"/>
                <w:sz w:val="16"/>
                <w:szCs w:val="16"/>
                <w:lang w:val="bg-BG"/>
              </w:rPr>
              <w:t>7,7</w:t>
            </w:r>
          </w:p>
        </w:tc>
        <w:tc>
          <w:tcPr>
            <w:tcW w:w="850" w:type="dxa"/>
            <w:shd w:val="clear" w:color="auto" w:fill="auto"/>
            <w:vAlign w:val="center"/>
          </w:tcPr>
          <w:p w:rsidR="005A01D9" w:rsidRPr="00E22D21" w:rsidRDefault="005A01D9" w:rsidP="00B122A1">
            <w:pPr>
              <w:spacing w:after="0" w:line="240" w:lineRule="auto"/>
              <w:rPr>
                <w:rFonts w:ascii="Verdana" w:hAnsi="Verdana"/>
                <w:sz w:val="16"/>
                <w:szCs w:val="16"/>
                <w:lang w:val="bg-BG"/>
              </w:rPr>
            </w:pPr>
            <w:r>
              <w:rPr>
                <w:rFonts w:ascii="Verdana" w:hAnsi="Verdana"/>
                <w:sz w:val="16"/>
                <w:szCs w:val="16"/>
                <w:lang w:val="bg-BG"/>
              </w:rPr>
              <w:t>10</w:t>
            </w:r>
          </w:p>
        </w:tc>
        <w:tc>
          <w:tcPr>
            <w:tcW w:w="993" w:type="dxa"/>
            <w:shd w:val="clear" w:color="auto" w:fill="auto"/>
            <w:vAlign w:val="center"/>
          </w:tcPr>
          <w:p w:rsidR="005A01D9" w:rsidRPr="002C6862" w:rsidRDefault="005A01D9" w:rsidP="00B122A1">
            <w:pPr>
              <w:spacing w:after="0" w:line="240" w:lineRule="auto"/>
              <w:rPr>
                <w:rFonts w:ascii="Verdana" w:hAnsi="Verdana"/>
                <w:sz w:val="16"/>
                <w:szCs w:val="16"/>
                <w:lang w:val="bg-BG"/>
              </w:rPr>
            </w:pPr>
            <w:r>
              <w:rPr>
                <w:rFonts w:ascii="Verdana" w:hAnsi="Verdana"/>
                <w:sz w:val="16"/>
                <w:szCs w:val="16"/>
                <w:lang w:val="bg-BG"/>
              </w:rPr>
              <w:t>15</w:t>
            </w:r>
          </w:p>
        </w:tc>
        <w:tc>
          <w:tcPr>
            <w:tcW w:w="3798" w:type="dxa"/>
            <w:shd w:val="clear" w:color="auto" w:fill="auto"/>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Не е ясна методологията, по която са изчислени стойностите на индикатора. Предвид на ниските стойности на индикатора към момента и предвидената подкрепа, заложените стойности изглеждат реалистични.</w:t>
            </w:r>
          </w:p>
        </w:tc>
      </w:tr>
      <w:tr w:rsidR="005A01D9" w:rsidRPr="00B45B4F" w:rsidTr="00B122A1">
        <w:trPr>
          <w:trHeight w:val="1770"/>
        </w:trPr>
        <w:tc>
          <w:tcPr>
            <w:tcW w:w="2581" w:type="dxa"/>
            <w:vMerge/>
            <w:shd w:val="clear" w:color="auto" w:fill="auto"/>
          </w:tcPr>
          <w:p w:rsidR="005A01D9" w:rsidRDefault="005A01D9" w:rsidP="00B122A1">
            <w:pPr>
              <w:autoSpaceDE w:val="0"/>
              <w:autoSpaceDN w:val="0"/>
              <w:adjustRightInd w:val="0"/>
              <w:spacing w:after="0" w:line="240" w:lineRule="auto"/>
              <w:jc w:val="both"/>
              <w:rPr>
                <w:rFonts w:ascii="Verdana" w:hAnsi="Verdana"/>
                <w:sz w:val="16"/>
                <w:szCs w:val="16"/>
                <w:lang w:val="bg-BG"/>
              </w:rPr>
            </w:pPr>
          </w:p>
        </w:tc>
        <w:tc>
          <w:tcPr>
            <w:tcW w:w="1842" w:type="dxa"/>
            <w:shd w:val="clear" w:color="auto" w:fill="auto"/>
            <w:vAlign w:val="center"/>
          </w:tcPr>
          <w:p w:rsidR="005A01D9" w:rsidRDefault="005A01D9" w:rsidP="00B122A1">
            <w:pPr>
              <w:pStyle w:val="Default"/>
              <w:rPr>
                <w:rFonts w:ascii="Verdana" w:hAnsi="Verdana"/>
                <w:sz w:val="16"/>
                <w:szCs w:val="16"/>
              </w:rPr>
            </w:pPr>
            <w:proofErr w:type="spellStart"/>
            <w:r w:rsidRPr="00E22D21">
              <w:rPr>
                <w:rFonts w:ascii="Verdana" w:hAnsi="Verdana"/>
                <w:sz w:val="16"/>
                <w:szCs w:val="16"/>
              </w:rPr>
              <w:t>Неграмотни</w:t>
            </w:r>
            <w:proofErr w:type="spellEnd"/>
            <w:r w:rsidRPr="00E22D21">
              <w:rPr>
                <w:rFonts w:ascii="Verdana" w:hAnsi="Verdana"/>
                <w:sz w:val="16"/>
                <w:szCs w:val="16"/>
              </w:rPr>
              <w:t xml:space="preserve"> </w:t>
            </w:r>
            <w:proofErr w:type="spellStart"/>
            <w:r w:rsidRPr="00E22D21">
              <w:rPr>
                <w:rFonts w:ascii="Verdana" w:hAnsi="Verdana"/>
                <w:sz w:val="16"/>
                <w:szCs w:val="16"/>
              </w:rPr>
              <w:t>лица</w:t>
            </w:r>
            <w:proofErr w:type="spellEnd"/>
            <w:r w:rsidRPr="00E22D21">
              <w:rPr>
                <w:rFonts w:ascii="Verdana" w:hAnsi="Verdana"/>
                <w:sz w:val="16"/>
                <w:szCs w:val="16"/>
              </w:rPr>
              <w:t xml:space="preserve"> </w:t>
            </w:r>
            <w:proofErr w:type="spellStart"/>
            <w:r w:rsidRPr="00E22D21">
              <w:rPr>
                <w:rFonts w:ascii="Verdana" w:hAnsi="Verdana"/>
                <w:sz w:val="16"/>
                <w:szCs w:val="16"/>
              </w:rPr>
              <w:t>на</w:t>
            </w:r>
            <w:proofErr w:type="spellEnd"/>
            <w:r w:rsidRPr="00E22D21">
              <w:rPr>
                <w:rFonts w:ascii="Verdana" w:hAnsi="Verdana"/>
                <w:sz w:val="16"/>
                <w:szCs w:val="16"/>
              </w:rPr>
              <w:t xml:space="preserve"> </w:t>
            </w:r>
            <w:proofErr w:type="spellStart"/>
            <w:r w:rsidRPr="00E22D21">
              <w:rPr>
                <w:rFonts w:ascii="Verdana" w:hAnsi="Verdana"/>
                <w:sz w:val="16"/>
                <w:szCs w:val="16"/>
              </w:rPr>
              <w:t>възраст</w:t>
            </w:r>
            <w:proofErr w:type="spellEnd"/>
            <w:r w:rsidRPr="00E22D21">
              <w:rPr>
                <w:rFonts w:ascii="Verdana" w:hAnsi="Verdana"/>
                <w:sz w:val="16"/>
                <w:szCs w:val="16"/>
              </w:rPr>
              <w:t xml:space="preserve"> 15-29 г.</w:t>
            </w:r>
          </w:p>
          <w:p w:rsidR="005A01D9" w:rsidRPr="00E22D21" w:rsidRDefault="005A01D9" w:rsidP="00B122A1">
            <w:pPr>
              <w:pStyle w:val="Default"/>
              <w:rPr>
                <w:rFonts w:ascii="Verdana" w:hAnsi="Verdana"/>
                <w:color w:val="auto"/>
                <w:sz w:val="16"/>
                <w:szCs w:val="16"/>
                <w:lang w:val="bg-BG"/>
              </w:rPr>
            </w:pPr>
          </w:p>
        </w:tc>
        <w:tc>
          <w:tcPr>
            <w:tcW w:w="1418" w:type="dxa"/>
            <w:shd w:val="clear" w:color="auto" w:fill="auto"/>
            <w:vAlign w:val="center"/>
          </w:tcPr>
          <w:p w:rsidR="005A01D9" w:rsidRPr="00E22D21"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е уместен</w:t>
            </w:r>
          </w:p>
        </w:tc>
        <w:tc>
          <w:tcPr>
            <w:tcW w:w="1559" w:type="dxa"/>
            <w:shd w:val="clear" w:color="auto" w:fill="auto"/>
            <w:vAlign w:val="center"/>
          </w:tcPr>
          <w:p w:rsidR="005A01D9" w:rsidRPr="00E22D21"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е ясен</w:t>
            </w:r>
          </w:p>
        </w:tc>
        <w:tc>
          <w:tcPr>
            <w:tcW w:w="851" w:type="dxa"/>
            <w:shd w:val="clear" w:color="auto" w:fill="auto"/>
            <w:vAlign w:val="center"/>
          </w:tcPr>
          <w:p w:rsidR="005A01D9" w:rsidRPr="00E22D21" w:rsidRDefault="005A01D9" w:rsidP="00B122A1">
            <w:pPr>
              <w:spacing w:after="0" w:line="240" w:lineRule="auto"/>
              <w:rPr>
                <w:rFonts w:ascii="Verdana" w:hAnsi="Verdana"/>
                <w:bCs/>
                <w:color w:val="000000"/>
                <w:sz w:val="16"/>
                <w:szCs w:val="16"/>
                <w:lang w:val="bg-BG"/>
              </w:rPr>
            </w:pPr>
            <w:r w:rsidRPr="00E22D21">
              <w:rPr>
                <w:rFonts w:ascii="Verdana" w:hAnsi="Verdana"/>
                <w:sz w:val="16"/>
                <w:szCs w:val="16"/>
              </w:rPr>
              <w:t>%</w:t>
            </w:r>
          </w:p>
        </w:tc>
        <w:tc>
          <w:tcPr>
            <w:tcW w:w="992" w:type="dxa"/>
            <w:shd w:val="clear" w:color="auto" w:fill="auto"/>
            <w:vAlign w:val="center"/>
          </w:tcPr>
          <w:p w:rsidR="005A01D9" w:rsidRPr="00E22D21" w:rsidRDefault="005A01D9" w:rsidP="00B122A1">
            <w:pPr>
              <w:spacing w:after="0" w:line="240" w:lineRule="auto"/>
              <w:rPr>
                <w:rFonts w:ascii="Verdana" w:hAnsi="Verdana"/>
                <w:sz w:val="16"/>
                <w:szCs w:val="16"/>
              </w:rPr>
            </w:pPr>
            <w:r w:rsidRPr="00E22D21">
              <w:rPr>
                <w:rFonts w:ascii="Verdana" w:hAnsi="Verdana"/>
                <w:sz w:val="16"/>
                <w:szCs w:val="16"/>
              </w:rPr>
              <w:t>2</w:t>
            </w:r>
          </w:p>
        </w:tc>
        <w:tc>
          <w:tcPr>
            <w:tcW w:w="850" w:type="dxa"/>
            <w:shd w:val="clear" w:color="auto" w:fill="auto"/>
            <w:vAlign w:val="center"/>
          </w:tcPr>
          <w:p w:rsidR="005A01D9" w:rsidRPr="00E22D21" w:rsidRDefault="005A01D9" w:rsidP="00B122A1">
            <w:pPr>
              <w:spacing w:after="0" w:line="240" w:lineRule="auto"/>
              <w:rPr>
                <w:rFonts w:ascii="Verdana" w:hAnsi="Verdana"/>
                <w:sz w:val="16"/>
                <w:szCs w:val="16"/>
                <w:lang w:val="bg-BG"/>
              </w:rPr>
            </w:pPr>
            <w:r w:rsidRPr="00E22D21">
              <w:rPr>
                <w:rFonts w:ascii="Verdana" w:hAnsi="Verdana"/>
                <w:sz w:val="16"/>
                <w:szCs w:val="16"/>
                <w:lang w:val="bg-BG"/>
              </w:rPr>
              <w:t>-</w:t>
            </w:r>
          </w:p>
        </w:tc>
        <w:tc>
          <w:tcPr>
            <w:tcW w:w="993" w:type="dxa"/>
            <w:shd w:val="clear" w:color="auto" w:fill="auto"/>
            <w:vAlign w:val="center"/>
          </w:tcPr>
          <w:p w:rsidR="005A01D9" w:rsidRPr="00E22D21" w:rsidRDefault="005A01D9" w:rsidP="00B122A1">
            <w:pPr>
              <w:spacing w:after="0" w:line="240" w:lineRule="auto"/>
              <w:rPr>
                <w:rFonts w:ascii="Verdana" w:hAnsi="Verdana"/>
                <w:sz w:val="16"/>
                <w:szCs w:val="16"/>
              </w:rPr>
            </w:pPr>
            <w:r w:rsidRPr="00E22D21">
              <w:rPr>
                <w:rFonts w:ascii="Verdana" w:hAnsi="Verdana"/>
                <w:sz w:val="16"/>
                <w:szCs w:val="16"/>
              </w:rPr>
              <w:t>1,65</w:t>
            </w:r>
          </w:p>
        </w:tc>
        <w:tc>
          <w:tcPr>
            <w:tcW w:w="3798" w:type="dxa"/>
            <w:shd w:val="clear" w:color="auto" w:fill="auto"/>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Не е ясна методологията, по която са изчислени стойностите на индикатора. Предвид на предвидената подкрепа, заложената целева стойност изглежда реалистична.</w:t>
            </w:r>
          </w:p>
        </w:tc>
      </w:tr>
      <w:tr w:rsidR="005A01D9" w:rsidRPr="00B45B4F" w:rsidTr="00B122A1">
        <w:tc>
          <w:tcPr>
            <w:tcW w:w="14884" w:type="dxa"/>
            <w:gridSpan w:val="9"/>
            <w:shd w:val="clear" w:color="auto" w:fill="F2DBDB" w:themeFill="accent2" w:themeFillTint="33"/>
          </w:tcPr>
          <w:p w:rsidR="005A01D9" w:rsidRPr="006E5A29" w:rsidRDefault="005A01D9" w:rsidP="00B122A1">
            <w:pPr>
              <w:widowControl w:val="0"/>
              <w:tabs>
                <w:tab w:val="left" w:pos="0"/>
                <w:tab w:val="right" w:pos="9214"/>
              </w:tabs>
              <w:spacing w:after="0" w:line="240" w:lineRule="auto"/>
              <w:jc w:val="both"/>
              <w:rPr>
                <w:rFonts w:ascii="Verdana" w:hAnsi="Verdana"/>
                <w:bCs/>
                <w:color w:val="000000"/>
                <w:sz w:val="16"/>
                <w:szCs w:val="16"/>
                <w:lang w:val="bg-BG"/>
              </w:rPr>
            </w:pPr>
            <w:r w:rsidRPr="006E5A29">
              <w:rPr>
                <w:rFonts w:ascii="Verdana" w:hAnsi="Verdana"/>
                <w:b/>
                <w:sz w:val="16"/>
                <w:szCs w:val="16"/>
                <w:lang w:val="bg-BG"/>
              </w:rPr>
              <w:lastRenderedPageBreak/>
              <w:t>ИП4.</w:t>
            </w:r>
            <w:r w:rsidRPr="006E5A29">
              <w:rPr>
                <w:rFonts w:ascii="Verdana" w:hAnsi="Verdana"/>
                <w:sz w:val="16"/>
                <w:szCs w:val="16"/>
                <w:lang w:val="bg-BG"/>
              </w:rPr>
              <w:t xml:space="preserve"> </w:t>
            </w:r>
            <w:r w:rsidRPr="006E5A29">
              <w:rPr>
                <w:rFonts w:ascii="Verdana" w:hAnsi="Verdana" w:cs="Arial Narrow"/>
                <w:i/>
                <w:color w:val="000000"/>
                <w:sz w:val="16"/>
                <w:szCs w:val="16"/>
                <w:lang w:val="bg-BG"/>
              </w:rPr>
              <w:t>Подобряване на адекватността на системите за образование и обучение спрямо пазара на труда, улесняване на прехода от образование към работа и укрепване на професионалното образование и системите на обучение, както и тяхното качество, включително чрез механизми за предвиждане на уменията, адаптиране на учебните програми и създаване и развитие на основаващи се на работата системи за учене, включително двойни системи на учене и схеми за чиракуване.</w:t>
            </w:r>
          </w:p>
        </w:tc>
      </w:tr>
      <w:tr w:rsidR="005A01D9" w:rsidRPr="00B45B4F" w:rsidTr="00B122A1">
        <w:trPr>
          <w:trHeight w:val="2503"/>
        </w:trPr>
        <w:tc>
          <w:tcPr>
            <w:tcW w:w="2581" w:type="dxa"/>
          </w:tcPr>
          <w:p w:rsidR="005A01D9" w:rsidRDefault="005A01D9" w:rsidP="00B122A1">
            <w:pPr>
              <w:autoSpaceDE w:val="0"/>
              <w:autoSpaceDN w:val="0"/>
              <w:adjustRightInd w:val="0"/>
              <w:spacing w:after="0" w:line="240" w:lineRule="auto"/>
              <w:jc w:val="both"/>
              <w:rPr>
                <w:rFonts w:ascii="Verdana" w:hAnsi="Verdana"/>
                <w:sz w:val="16"/>
                <w:szCs w:val="16"/>
                <w:lang w:val="bg-BG"/>
              </w:rPr>
            </w:pPr>
            <w:r>
              <w:rPr>
                <w:rFonts w:ascii="Verdana" w:hAnsi="Verdana"/>
                <w:sz w:val="16"/>
                <w:szCs w:val="16"/>
                <w:lang w:val="bg-BG"/>
              </w:rPr>
              <w:t>СЦ1.</w:t>
            </w:r>
            <w:r w:rsidRPr="00B45B4F">
              <w:rPr>
                <w:rFonts w:ascii="Verdana" w:hAnsi="Verdana"/>
                <w:sz w:val="16"/>
                <w:szCs w:val="16"/>
                <w:lang w:val="bg-BG"/>
              </w:rPr>
              <w:t>Повишаване на привлекателността и подобряване на качеството на професионалното образование и обучение</w:t>
            </w:r>
          </w:p>
          <w:p w:rsidR="005A01D9" w:rsidRPr="00B45B4F" w:rsidRDefault="005A01D9" w:rsidP="00B122A1">
            <w:pPr>
              <w:autoSpaceDE w:val="0"/>
              <w:autoSpaceDN w:val="0"/>
              <w:adjustRightInd w:val="0"/>
              <w:spacing w:after="0" w:line="240" w:lineRule="auto"/>
              <w:jc w:val="both"/>
              <w:rPr>
                <w:rFonts w:ascii="Verdana" w:hAnsi="Verdana"/>
                <w:sz w:val="16"/>
                <w:szCs w:val="16"/>
                <w:lang w:val="bg-BG"/>
              </w:rPr>
            </w:pPr>
          </w:p>
          <w:p w:rsidR="005A01D9" w:rsidRPr="00B45B4F" w:rsidRDefault="005A01D9" w:rsidP="00B122A1">
            <w:pPr>
              <w:autoSpaceDE w:val="0"/>
              <w:autoSpaceDN w:val="0"/>
              <w:adjustRightInd w:val="0"/>
              <w:spacing w:after="0" w:line="240" w:lineRule="auto"/>
              <w:jc w:val="both"/>
              <w:rPr>
                <w:rFonts w:ascii="Verdana" w:hAnsi="Verdana"/>
                <w:sz w:val="16"/>
                <w:szCs w:val="16"/>
                <w:lang w:val="bg-BG"/>
              </w:rPr>
            </w:pPr>
            <w:r>
              <w:rPr>
                <w:rFonts w:ascii="Verdana" w:hAnsi="Verdana"/>
                <w:sz w:val="16"/>
                <w:szCs w:val="16"/>
                <w:lang w:val="bg-BG"/>
              </w:rPr>
              <w:t>СЦ2.</w:t>
            </w:r>
            <w:r w:rsidRPr="00B45B4F">
              <w:rPr>
                <w:rFonts w:ascii="Verdana" w:hAnsi="Verdana"/>
                <w:sz w:val="16"/>
                <w:szCs w:val="16"/>
                <w:lang w:val="bg-BG"/>
              </w:rPr>
              <w:t>Насърчаване на връзките между професионалното образование и обучение, висшето образование, науката и бизнеса</w:t>
            </w:r>
          </w:p>
        </w:tc>
        <w:tc>
          <w:tcPr>
            <w:tcW w:w="1842" w:type="dxa"/>
            <w:vAlign w:val="center"/>
          </w:tcPr>
          <w:p w:rsidR="005A01D9" w:rsidRPr="00E22D21" w:rsidRDefault="005A01D9" w:rsidP="00B122A1">
            <w:pPr>
              <w:spacing w:after="0" w:line="240" w:lineRule="auto"/>
              <w:rPr>
                <w:rFonts w:ascii="Verdana" w:hAnsi="Verdana"/>
                <w:sz w:val="16"/>
                <w:szCs w:val="16"/>
              </w:rPr>
            </w:pPr>
            <w:proofErr w:type="spellStart"/>
            <w:r w:rsidRPr="00E22D21">
              <w:rPr>
                <w:rFonts w:ascii="Verdana" w:hAnsi="Verdana"/>
                <w:sz w:val="16"/>
                <w:szCs w:val="16"/>
              </w:rPr>
              <w:t>Лица</w:t>
            </w:r>
            <w:proofErr w:type="spellEnd"/>
            <w:r w:rsidRPr="00E22D21">
              <w:rPr>
                <w:rFonts w:ascii="Verdana" w:hAnsi="Verdana"/>
                <w:sz w:val="16"/>
                <w:szCs w:val="16"/>
              </w:rPr>
              <w:t xml:space="preserve">, </w:t>
            </w:r>
            <w:proofErr w:type="spellStart"/>
            <w:r w:rsidRPr="00E22D21">
              <w:rPr>
                <w:rFonts w:ascii="Verdana" w:hAnsi="Verdana"/>
                <w:sz w:val="16"/>
                <w:szCs w:val="16"/>
              </w:rPr>
              <w:t>завършили</w:t>
            </w:r>
            <w:proofErr w:type="spellEnd"/>
            <w:r w:rsidRPr="00E22D21">
              <w:rPr>
                <w:rFonts w:ascii="Verdana" w:hAnsi="Verdana"/>
                <w:sz w:val="16"/>
                <w:szCs w:val="16"/>
              </w:rPr>
              <w:t xml:space="preserve"> </w:t>
            </w:r>
            <w:proofErr w:type="spellStart"/>
            <w:r w:rsidRPr="00E22D21">
              <w:rPr>
                <w:rFonts w:ascii="Verdana" w:hAnsi="Verdana"/>
                <w:sz w:val="16"/>
                <w:szCs w:val="16"/>
              </w:rPr>
              <w:t>професионални</w:t>
            </w:r>
            <w:proofErr w:type="spellEnd"/>
            <w:r w:rsidRPr="00E22D21">
              <w:rPr>
                <w:rFonts w:ascii="Verdana" w:hAnsi="Verdana"/>
                <w:sz w:val="16"/>
                <w:szCs w:val="16"/>
              </w:rPr>
              <w:t xml:space="preserve"> </w:t>
            </w:r>
            <w:proofErr w:type="spellStart"/>
            <w:r w:rsidRPr="00E22D21">
              <w:rPr>
                <w:rFonts w:ascii="Verdana" w:hAnsi="Verdana"/>
                <w:sz w:val="16"/>
                <w:szCs w:val="16"/>
              </w:rPr>
              <w:t>гимназии</w:t>
            </w:r>
            <w:proofErr w:type="spellEnd"/>
            <w:r w:rsidRPr="00E22D21">
              <w:rPr>
                <w:rFonts w:ascii="Verdana" w:hAnsi="Verdana"/>
                <w:sz w:val="16"/>
                <w:szCs w:val="16"/>
              </w:rPr>
              <w:t xml:space="preserve">, </w:t>
            </w:r>
            <w:proofErr w:type="spellStart"/>
            <w:r w:rsidRPr="00E22D21">
              <w:rPr>
                <w:rFonts w:ascii="Verdana" w:hAnsi="Verdana"/>
                <w:sz w:val="16"/>
                <w:szCs w:val="16"/>
              </w:rPr>
              <w:t>които</w:t>
            </w:r>
            <w:proofErr w:type="spellEnd"/>
            <w:r w:rsidRPr="00E22D21">
              <w:rPr>
                <w:rFonts w:ascii="Verdana" w:hAnsi="Verdana"/>
                <w:sz w:val="16"/>
                <w:szCs w:val="16"/>
              </w:rPr>
              <w:t xml:space="preserve"> </w:t>
            </w:r>
            <w:proofErr w:type="spellStart"/>
            <w:r w:rsidRPr="00E22D21">
              <w:rPr>
                <w:rFonts w:ascii="Verdana" w:hAnsi="Verdana"/>
                <w:sz w:val="16"/>
                <w:szCs w:val="16"/>
              </w:rPr>
              <w:t>са</w:t>
            </w:r>
            <w:proofErr w:type="spellEnd"/>
            <w:r w:rsidRPr="00E22D21">
              <w:rPr>
                <w:rFonts w:ascii="Verdana" w:hAnsi="Verdana"/>
                <w:sz w:val="16"/>
                <w:szCs w:val="16"/>
              </w:rPr>
              <w:t xml:space="preserve"> </w:t>
            </w:r>
            <w:proofErr w:type="spellStart"/>
            <w:r w:rsidRPr="00E22D21">
              <w:rPr>
                <w:rFonts w:ascii="Verdana" w:hAnsi="Verdana"/>
                <w:sz w:val="16"/>
                <w:szCs w:val="16"/>
              </w:rPr>
              <w:t>започнали</w:t>
            </w:r>
            <w:proofErr w:type="spellEnd"/>
            <w:r w:rsidRPr="00E22D21">
              <w:rPr>
                <w:rFonts w:ascii="Verdana" w:hAnsi="Verdana"/>
                <w:sz w:val="16"/>
                <w:szCs w:val="16"/>
              </w:rPr>
              <w:t xml:space="preserve"> </w:t>
            </w:r>
            <w:proofErr w:type="spellStart"/>
            <w:r w:rsidRPr="00E22D21">
              <w:rPr>
                <w:rFonts w:ascii="Verdana" w:hAnsi="Verdana"/>
                <w:sz w:val="16"/>
                <w:szCs w:val="16"/>
              </w:rPr>
              <w:t>работа</w:t>
            </w:r>
            <w:proofErr w:type="spellEnd"/>
            <w:r w:rsidRPr="00E22D21">
              <w:rPr>
                <w:rFonts w:ascii="Verdana" w:hAnsi="Verdana"/>
                <w:sz w:val="16"/>
                <w:szCs w:val="16"/>
              </w:rPr>
              <w:t xml:space="preserve"> </w:t>
            </w:r>
            <w:proofErr w:type="spellStart"/>
            <w:r w:rsidRPr="00E22D21">
              <w:rPr>
                <w:rFonts w:ascii="Verdana" w:hAnsi="Verdana"/>
                <w:sz w:val="16"/>
                <w:szCs w:val="16"/>
              </w:rPr>
              <w:t>по</w:t>
            </w:r>
            <w:proofErr w:type="spellEnd"/>
            <w:r w:rsidRPr="00E22D21">
              <w:rPr>
                <w:rFonts w:ascii="Verdana" w:hAnsi="Verdana"/>
                <w:sz w:val="16"/>
                <w:szCs w:val="16"/>
              </w:rPr>
              <w:t xml:space="preserve"> </w:t>
            </w:r>
            <w:proofErr w:type="spellStart"/>
            <w:r w:rsidRPr="00E22D21">
              <w:rPr>
                <w:rFonts w:ascii="Verdana" w:hAnsi="Verdana"/>
                <w:sz w:val="16"/>
                <w:szCs w:val="16"/>
              </w:rPr>
              <w:t>съответната</w:t>
            </w:r>
            <w:proofErr w:type="spellEnd"/>
            <w:r w:rsidRPr="00E22D21">
              <w:rPr>
                <w:rFonts w:ascii="Verdana" w:hAnsi="Verdana"/>
                <w:sz w:val="16"/>
                <w:szCs w:val="16"/>
              </w:rPr>
              <w:t xml:space="preserve"> </w:t>
            </w:r>
            <w:proofErr w:type="spellStart"/>
            <w:r w:rsidRPr="00E22D21">
              <w:rPr>
                <w:rFonts w:ascii="Verdana" w:hAnsi="Verdana"/>
                <w:sz w:val="16"/>
                <w:szCs w:val="16"/>
              </w:rPr>
              <w:t>професия</w:t>
            </w:r>
            <w:proofErr w:type="spellEnd"/>
            <w:r w:rsidRPr="00E22D21">
              <w:rPr>
                <w:rFonts w:ascii="Verdana" w:hAnsi="Verdana"/>
                <w:sz w:val="16"/>
                <w:szCs w:val="16"/>
              </w:rPr>
              <w:t xml:space="preserve"> </w:t>
            </w:r>
            <w:proofErr w:type="spellStart"/>
            <w:r w:rsidRPr="00E22D21">
              <w:rPr>
                <w:rFonts w:ascii="Verdana" w:hAnsi="Verdana"/>
                <w:sz w:val="16"/>
                <w:szCs w:val="16"/>
              </w:rPr>
              <w:t>през</w:t>
            </w:r>
            <w:proofErr w:type="spellEnd"/>
            <w:r w:rsidRPr="00E22D21">
              <w:rPr>
                <w:rFonts w:ascii="Verdana" w:hAnsi="Verdana"/>
                <w:sz w:val="16"/>
                <w:szCs w:val="16"/>
              </w:rPr>
              <w:t xml:space="preserve"> </w:t>
            </w:r>
            <w:proofErr w:type="spellStart"/>
            <w:r w:rsidRPr="00E22D21">
              <w:rPr>
                <w:rFonts w:ascii="Verdana" w:hAnsi="Verdana"/>
                <w:sz w:val="16"/>
                <w:szCs w:val="16"/>
              </w:rPr>
              <w:t>първата</w:t>
            </w:r>
            <w:proofErr w:type="spellEnd"/>
            <w:r w:rsidRPr="00E22D21">
              <w:rPr>
                <w:rFonts w:ascii="Verdana" w:hAnsi="Verdana"/>
                <w:sz w:val="16"/>
                <w:szCs w:val="16"/>
              </w:rPr>
              <w:t xml:space="preserve"> </w:t>
            </w:r>
            <w:proofErr w:type="spellStart"/>
            <w:r w:rsidRPr="00E22D21">
              <w:rPr>
                <w:rFonts w:ascii="Verdana" w:hAnsi="Verdana"/>
                <w:sz w:val="16"/>
                <w:szCs w:val="16"/>
              </w:rPr>
              <w:t>година</w:t>
            </w:r>
            <w:proofErr w:type="spellEnd"/>
            <w:r w:rsidRPr="00E22D21">
              <w:rPr>
                <w:rFonts w:ascii="Verdana" w:hAnsi="Verdana"/>
                <w:sz w:val="16"/>
                <w:szCs w:val="16"/>
              </w:rPr>
              <w:t xml:space="preserve"> </w:t>
            </w:r>
            <w:proofErr w:type="spellStart"/>
            <w:r w:rsidRPr="00E22D21">
              <w:rPr>
                <w:rFonts w:ascii="Verdana" w:hAnsi="Verdana"/>
                <w:sz w:val="16"/>
                <w:szCs w:val="16"/>
              </w:rPr>
              <w:t>след</w:t>
            </w:r>
            <w:proofErr w:type="spellEnd"/>
            <w:r w:rsidRPr="00E22D21">
              <w:rPr>
                <w:rFonts w:ascii="Verdana" w:hAnsi="Verdana"/>
                <w:sz w:val="16"/>
                <w:szCs w:val="16"/>
              </w:rPr>
              <w:t xml:space="preserve"> </w:t>
            </w:r>
            <w:proofErr w:type="spellStart"/>
            <w:r w:rsidRPr="00E22D21">
              <w:rPr>
                <w:rFonts w:ascii="Verdana" w:hAnsi="Verdana"/>
                <w:sz w:val="16"/>
                <w:szCs w:val="16"/>
              </w:rPr>
              <w:t>завършването</w:t>
            </w:r>
            <w:proofErr w:type="spellEnd"/>
            <w:r w:rsidRPr="00E22D21">
              <w:rPr>
                <w:rFonts w:ascii="Verdana" w:hAnsi="Verdana"/>
                <w:sz w:val="16"/>
                <w:szCs w:val="16"/>
              </w:rPr>
              <w:t xml:space="preserve"> </w:t>
            </w:r>
            <w:proofErr w:type="spellStart"/>
            <w:r w:rsidRPr="00E22D21">
              <w:rPr>
                <w:rFonts w:ascii="Verdana" w:hAnsi="Verdana"/>
                <w:sz w:val="16"/>
                <w:szCs w:val="16"/>
              </w:rPr>
              <w:t>си</w:t>
            </w:r>
            <w:proofErr w:type="spellEnd"/>
          </w:p>
        </w:tc>
        <w:tc>
          <w:tcPr>
            <w:tcW w:w="1418" w:type="dxa"/>
            <w:vAlign w:val="center"/>
          </w:tcPr>
          <w:p w:rsidR="005A01D9" w:rsidRPr="00E22D21"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е уместен</w:t>
            </w:r>
          </w:p>
        </w:tc>
        <w:tc>
          <w:tcPr>
            <w:tcW w:w="1559" w:type="dxa"/>
            <w:vAlign w:val="center"/>
          </w:tcPr>
          <w:p w:rsidR="005A01D9" w:rsidRPr="00E22D21"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е ясен</w:t>
            </w:r>
          </w:p>
        </w:tc>
        <w:tc>
          <w:tcPr>
            <w:tcW w:w="851" w:type="dxa"/>
            <w:vAlign w:val="center"/>
          </w:tcPr>
          <w:p w:rsidR="005A01D9" w:rsidRPr="00E22D21" w:rsidRDefault="005A01D9" w:rsidP="00B122A1">
            <w:pPr>
              <w:widowControl w:val="0"/>
              <w:tabs>
                <w:tab w:val="left" w:pos="0"/>
                <w:tab w:val="right" w:pos="9214"/>
              </w:tabs>
              <w:spacing w:after="0" w:line="240" w:lineRule="auto"/>
              <w:rPr>
                <w:rFonts w:ascii="Verdana" w:hAnsi="Verdana"/>
                <w:bCs/>
                <w:color w:val="000000"/>
                <w:sz w:val="16"/>
                <w:szCs w:val="16"/>
                <w:lang w:val="bg-BG"/>
              </w:rPr>
            </w:pPr>
            <w:r w:rsidRPr="00E22D21">
              <w:rPr>
                <w:rFonts w:ascii="Verdana" w:hAnsi="Verdana"/>
                <w:bCs/>
                <w:color w:val="000000"/>
                <w:sz w:val="16"/>
                <w:szCs w:val="16"/>
                <w:lang w:val="bg-BG"/>
              </w:rPr>
              <w:t>%</w:t>
            </w:r>
          </w:p>
        </w:tc>
        <w:tc>
          <w:tcPr>
            <w:tcW w:w="992" w:type="dxa"/>
            <w:vAlign w:val="center"/>
          </w:tcPr>
          <w:p w:rsidR="005A01D9" w:rsidRPr="00F91B8D" w:rsidRDefault="005A01D9" w:rsidP="00B122A1">
            <w:pPr>
              <w:spacing w:after="0" w:line="240" w:lineRule="auto"/>
              <w:rPr>
                <w:rFonts w:ascii="Verdana" w:hAnsi="Verdana"/>
                <w:sz w:val="16"/>
                <w:szCs w:val="16"/>
                <w:lang w:val="bg-BG"/>
              </w:rPr>
            </w:pPr>
            <w:r>
              <w:rPr>
                <w:rFonts w:ascii="Verdana" w:hAnsi="Verdana"/>
                <w:sz w:val="16"/>
                <w:szCs w:val="16"/>
                <w:lang w:val="bg-BG"/>
              </w:rPr>
              <w:t>липсва</w:t>
            </w:r>
          </w:p>
        </w:tc>
        <w:tc>
          <w:tcPr>
            <w:tcW w:w="850" w:type="dxa"/>
            <w:vAlign w:val="center"/>
          </w:tcPr>
          <w:p w:rsidR="005A01D9" w:rsidRPr="00E22D21" w:rsidRDefault="005A01D9" w:rsidP="00B122A1">
            <w:pPr>
              <w:spacing w:after="0" w:line="240" w:lineRule="auto"/>
              <w:rPr>
                <w:rFonts w:ascii="Verdana" w:hAnsi="Verdana"/>
                <w:sz w:val="16"/>
                <w:szCs w:val="16"/>
                <w:lang w:val="bg-BG"/>
              </w:rPr>
            </w:pPr>
            <w:r>
              <w:rPr>
                <w:rFonts w:ascii="Verdana" w:hAnsi="Verdana"/>
                <w:sz w:val="16"/>
                <w:szCs w:val="16"/>
                <w:lang w:val="bg-BG"/>
              </w:rPr>
              <w:t>липсва</w:t>
            </w:r>
          </w:p>
        </w:tc>
        <w:tc>
          <w:tcPr>
            <w:tcW w:w="993" w:type="dxa"/>
            <w:vAlign w:val="center"/>
          </w:tcPr>
          <w:p w:rsidR="005A01D9" w:rsidRPr="00F91B8D" w:rsidRDefault="005A01D9" w:rsidP="00B122A1">
            <w:pPr>
              <w:spacing w:after="0" w:line="240" w:lineRule="auto"/>
              <w:rPr>
                <w:rFonts w:ascii="Verdana" w:hAnsi="Verdana"/>
                <w:sz w:val="16"/>
                <w:szCs w:val="16"/>
                <w:lang w:val="bg-BG"/>
              </w:rPr>
            </w:pPr>
            <w:r>
              <w:rPr>
                <w:rFonts w:ascii="Verdana" w:hAnsi="Verdana"/>
                <w:sz w:val="16"/>
                <w:szCs w:val="16"/>
                <w:lang w:val="bg-BG"/>
              </w:rPr>
              <w:t>липсва</w:t>
            </w:r>
          </w:p>
        </w:tc>
        <w:tc>
          <w:tcPr>
            <w:tcW w:w="3798"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Не са заложени стойности</w:t>
            </w:r>
          </w:p>
        </w:tc>
      </w:tr>
      <w:tr w:rsidR="005A01D9" w:rsidRPr="00B45B4F" w:rsidTr="00B122A1">
        <w:tc>
          <w:tcPr>
            <w:tcW w:w="14884" w:type="dxa"/>
            <w:gridSpan w:val="9"/>
            <w:shd w:val="clear" w:color="auto" w:fill="B8CCE4" w:themeFill="accent1" w:themeFillTint="66"/>
          </w:tcPr>
          <w:p w:rsidR="005A01D9" w:rsidRPr="00B45B4F" w:rsidRDefault="005A01D9" w:rsidP="00637FBD">
            <w:pPr>
              <w:keepNext/>
              <w:widowControl w:val="0"/>
              <w:tabs>
                <w:tab w:val="left" w:pos="0"/>
                <w:tab w:val="right" w:pos="9214"/>
              </w:tabs>
              <w:spacing w:after="0" w:line="240" w:lineRule="auto"/>
              <w:jc w:val="both"/>
              <w:rPr>
                <w:rFonts w:ascii="Verdana" w:hAnsi="Verdana"/>
                <w:b/>
                <w:bCs/>
                <w:color w:val="000000"/>
                <w:sz w:val="16"/>
                <w:szCs w:val="16"/>
                <w:lang w:val="bg-BG"/>
              </w:rPr>
            </w:pPr>
            <w:r w:rsidRPr="00B45B4F">
              <w:rPr>
                <w:rFonts w:ascii="Verdana" w:hAnsi="Verdana"/>
                <w:b/>
                <w:sz w:val="16"/>
                <w:szCs w:val="16"/>
                <w:lang w:val="bg-BG"/>
              </w:rPr>
              <w:lastRenderedPageBreak/>
              <w:t>3. Образователна среда за активно социално приобщаване</w:t>
            </w:r>
          </w:p>
        </w:tc>
      </w:tr>
      <w:tr w:rsidR="005A01D9" w:rsidRPr="00B45B4F" w:rsidTr="00B122A1">
        <w:tc>
          <w:tcPr>
            <w:tcW w:w="14884" w:type="dxa"/>
            <w:gridSpan w:val="9"/>
            <w:shd w:val="clear" w:color="auto" w:fill="F2DBDB" w:themeFill="accent2" w:themeFillTint="33"/>
          </w:tcPr>
          <w:p w:rsidR="005A01D9" w:rsidRPr="00983D02" w:rsidRDefault="005A01D9" w:rsidP="00637FBD">
            <w:pPr>
              <w:keepNext/>
              <w:widowControl w:val="0"/>
              <w:tabs>
                <w:tab w:val="left" w:pos="0"/>
                <w:tab w:val="right" w:pos="9214"/>
              </w:tabs>
              <w:spacing w:after="0" w:line="240" w:lineRule="auto"/>
              <w:jc w:val="both"/>
              <w:rPr>
                <w:rFonts w:ascii="Verdana" w:hAnsi="Verdana"/>
                <w:b/>
                <w:sz w:val="16"/>
                <w:szCs w:val="16"/>
                <w:lang w:val="bg-BG"/>
              </w:rPr>
            </w:pPr>
            <w:r w:rsidRPr="00983D02">
              <w:rPr>
                <w:rFonts w:ascii="Verdana" w:hAnsi="Verdana"/>
                <w:b/>
                <w:sz w:val="16"/>
                <w:szCs w:val="16"/>
                <w:lang w:val="bg-BG"/>
              </w:rPr>
              <w:t xml:space="preserve">ИП1. </w:t>
            </w:r>
            <w:r w:rsidRPr="00983D02">
              <w:rPr>
                <w:rFonts w:ascii="Verdana" w:hAnsi="Verdana" w:cs="Arial Narrow"/>
                <w:i/>
                <w:color w:val="000000"/>
                <w:sz w:val="16"/>
                <w:szCs w:val="16"/>
                <w:lang w:val="bg-BG"/>
              </w:rPr>
              <w:t>Активно приобщаване, включително с оглед на насърчаване на равните възможности и активното участие и по-добрата пригодност за заетост.</w:t>
            </w:r>
          </w:p>
        </w:tc>
      </w:tr>
      <w:tr w:rsidR="005A01D9" w:rsidRPr="00B45B4F" w:rsidTr="00B122A1">
        <w:trPr>
          <w:trHeight w:val="3306"/>
        </w:trPr>
        <w:tc>
          <w:tcPr>
            <w:tcW w:w="2581" w:type="dxa"/>
          </w:tcPr>
          <w:p w:rsidR="005A01D9" w:rsidRDefault="005A01D9" w:rsidP="00B122A1">
            <w:pPr>
              <w:autoSpaceDE w:val="0"/>
              <w:autoSpaceDN w:val="0"/>
              <w:adjustRightInd w:val="0"/>
              <w:spacing w:after="0" w:line="240" w:lineRule="auto"/>
              <w:jc w:val="both"/>
              <w:rPr>
                <w:rFonts w:ascii="Verdana" w:hAnsi="Verdana"/>
                <w:sz w:val="16"/>
                <w:szCs w:val="16"/>
                <w:lang w:val="bg-BG"/>
              </w:rPr>
            </w:pPr>
            <w:r>
              <w:rPr>
                <w:rFonts w:ascii="Verdana" w:hAnsi="Verdana"/>
                <w:sz w:val="16"/>
                <w:szCs w:val="16"/>
                <w:lang w:val="bg-BG"/>
              </w:rPr>
              <w:t>СЦ1.</w:t>
            </w:r>
            <w:r w:rsidRPr="00B45B4F">
              <w:rPr>
                <w:rFonts w:ascii="Verdana" w:hAnsi="Verdana"/>
                <w:sz w:val="16"/>
                <w:szCs w:val="16"/>
                <w:lang w:val="bg-BG"/>
              </w:rPr>
              <w:t>Повишаване на качеството и подобряване на достъпа до образование чрез създаване на подкрепяща среда за включващо образование</w:t>
            </w:r>
          </w:p>
          <w:p w:rsidR="005A01D9" w:rsidRPr="00B45B4F" w:rsidRDefault="005A01D9" w:rsidP="00B122A1">
            <w:pPr>
              <w:autoSpaceDE w:val="0"/>
              <w:autoSpaceDN w:val="0"/>
              <w:adjustRightInd w:val="0"/>
              <w:spacing w:after="0" w:line="240" w:lineRule="auto"/>
              <w:jc w:val="both"/>
              <w:rPr>
                <w:rFonts w:ascii="Verdana" w:hAnsi="Verdana"/>
                <w:sz w:val="16"/>
                <w:szCs w:val="16"/>
                <w:lang w:val="bg-BG"/>
              </w:rPr>
            </w:pPr>
          </w:p>
          <w:p w:rsidR="005A01D9" w:rsidRPr="00B45B4F" w:rsidRDefault="005A01D9" w:rsidP="00B122A1">
            <w:pPr>
              <w:autoSpaceDE w:val="0"/>
              <w:autoSpaceDN w:val="0"/>
              <w:adjustRightInd w:val="0"/>
              <w:spacing w:after="0" w:line="240" w:lineRule="auto"/>
              <w:jc w:val="both"/>
              <w:rPr>
                <w:rFonts w:ascii="Verdana" w:hAnsi="Verdana"/>
                <w:sz w:val="16"/>
                <w:szCs w:val="16"/>
                <w:lang w:val="bg-BG"/>
              </w:rPr>
            </w:pPr>
            <w:r>
              <w:rPr>
                <w:rFonts w:ascii="Verdana" w:hAnsi="Verdana"/>
                <w:sz w:val="16"/>
                <w:szCs w:val="16"/>
                <w:lang w:val="bg-BG"/>
              </w:rPr>
              <w:t>СЦ2.</w:t>
            </w:r>
            <w:r w:rsidRPr="00B45B4F">
              <w:rPr>
                <w:rFonts w:ascii="Verdana" w:hAnsi="Verdana"/>
                <w:sz w:val="16"/>
                <w:szCs w:val="16"/>
                <w:lang w:val="bg-BG"/>
              </w:rPr>
              <w:t>Изграждане на образователна среда, насърчаваща разгръщането на потенциала на всяко дете и ученик за личностно развитие, успешна реализация и  социализация</w:t>
            </w:r>
          </w:p>
        </w:tc>
        <w:tc>
          <w:tcPr>
            <w:tcW w:w="1842" w:type="dxa"/>
            <w:vAlign w:val="center"/>
          </w:tcPr>
          <w:p w:rsidR="005A01D9" w:rsidRPr="00B45B4F" w:rsidRDefault="005A01D9" w:rsidP="00B122A1">
            <w:pPr>
              <w:pStyle w:val="Default"/>
              <w:rPr>
                <w:rFonts w:ascii="Verdana" w:hAnsi="Verdana"/>
                <w:bCs/>
                <w:color w:val="auto"/>
                <w:sz w:val="16"/>
                <w:szCs w:val="16"/>
                <w:lang w:val="bg-BG"/>
              </w:rPr>
            </w:pPr>
            <w:r w:rsidRPr="00E22D21">
              <w:rPr>
                <w:rFonts w:ascii="Verdana" w:hAnsi="Verdana"/>
                <w:iCs/>
                <w:color w:val="auto"/>
                <w:sz w:val="16"/>
                <w:szCs w:val="16"/>
                <w:lang w:val="bg-BG"/>
              </w:rPr>
              <w:t>Брой образователни институции осигурили подкрепяща среда за включващо обучение</w:t>
            </w:r>
          </w:p>
        </w:tc>
        <w:tc>
          <w:tcPr>
            <w:tcW w:w="1418" w:type="dxa"/>
            <w:vAlign w:val="center"/>
          </w:tcPr>
          <w:p w:rsidR="005A01D9" w:rsidRPr="00B66B3E"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Индикаторът е уместен</w:t>
            </w:r>
          </w:p>
        </w:tc>
        <w:tc>
          <w:tcPr>
            <w:tcW w:w="1559"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В индикаторните фишове, следва да се уточни какво се има предвид под „включващо обучение“</w:t>
            </w:r>
          </w:p>
        </w:tc>
        <w:tc>
          <w:tcPr>
            <w:tcW w:w="851" w:type="dxa"/>
            <w:vAlign w:val="center"/>
          </w:tcPr>
          <w:p w:rsidR="005A01D9" w:rsidRPr="00E22D21" w:rsidRDefault="005A01D9" w:rsidP="00B122A1">
            <w:pPr>
              <w:spacing w:after="0" w:line="240" w:lineRule="auto"/>
              <w:rPr>
                <w:rFonts w:ascii="Verdana" w:hAnsi="Verdana"/>
                <w:sz w:val="16"/>
                <w:szCs w:val="16"/>
              </w:rPr>
            </w:pPr>
            <w:proofErr w:type="spellStart"/>
            <w:r w:rsidRPr="00E22D21">
              <w:rPr>
                <w:rFonts w:ascii="Verdana" w:hAnsi="Verdana"/>
                <w:sz w:val="16"/>
                <w:szCs w:val="16"/>
              </w:rPr>
              <w:t>Брой</w:t>
            </w:r>
            <w:proofErr w:type="spellEnd"/>
          </w:p>
        </w:tc>
        <w:tc>
          <w:tcPr>
            <w:tcW w:w="992" w:type="dxa"/>
            <w:vAlign w:val="center"/>
          </w:tcPr>
          <w:p w:rsidR="005A01D9" w:rsidRPr="00E22D21" w:rsidRDefault="005A01D9" w:rsidP="00B122A1">
            <w:pPr>
              <w:spacing w:after="0" w:line="240" w:lineRule="auto"/>
              <w:rPr>
                <w:rFonts w:ascii="Verdana" w:hAnsi="Verdana"/>
                <w:sz w:val="16"/>
                <w:szCs w:val="16"/>
              </w:rPr>
            </w:pPr>
            <w:r w:rsidRPr="00E22D21">
              <w:rPr>
                <w:rFonts w:ascii="Verdana" w:hAnsi="Verdana"/>
                <w:sz w:val="16"/>
                <w:szCs w:val="16"/>
              </w:rPr>
              <w:t>84</w:t>
            </w:r>
          </w:p>
        </w:tc>
        <w:tc>
          <w:tcPr>
            <w:tcW w:w="850" w:type="dxa"/>
            <w:vAlign w:val="center"/>
          </w:tcPr>
          <w:p w:rsidR="005A01D9" w:rsidRPr="00E22D21" w:rsidRDefault="005A01D9" w:rsidP="00B122A1">
            <w:pPr>
              <w:spacing w:after="0" w:line="240" w:lineRule="auto"/>
              <w:rPr>
                <w:rFonts w:ascii="Verdana" w:hAnsi="Verdana"/>
                <w:sz w:val="16"/>
                <w:szCs w:val="16"/>
              </w:rPr>
            </w:pPr>
            <w:r w:rsidRPr="00E22D21">
              <w:rPr>
                <w:rFonts w:ascii="Verdana" w:hAnsi="Verdana"/>
                <w:sz w:val="16"/>
                <w:szCs w:val="16"/>
              </w:rPr>
              <w:t>100</w:t>
            </w:r>
          </w:p>
        </w:tc>
        <w:tc>
          <w:tcPr>
            <w:tcW w:w="993" w:type="dxa"/>
            <w:vAlign w:val="center"/>
          </w:tcPr>
          <w:p w:rsidR="005A01D9" w:rsidRPr="00E22D21" w:rsidRDefault="005A01D9" w:rsidP="00B122A1">
            <w:pPr>
              <w:spacing w:after="0" w:line="240" w:lineRule="auto"/>
              <w:rPr>
                <w:rFonts w:ascii="Verdana" w:hAnsi="Verdana"/>
                <w:sz w:val="16"/>
                <w:szCs w:val="16"/>
              </w:rPr>
            </w:pPr>
            <w:r w:rsidRPr="00E22D21">
              <w:rPr>
                <w:rFonts w:ascii="Verdana" w:hAnsi="Verdana"/>
                <w:sz w:val="16"/>
                <w:szCs w:val="16"/>
              </w:rPr>
              <w:t>120</w:t>
            </w:r>
          </w:p>
        </w:tc>
        <w:tc>
          <w:tcPr>
            <w:tcW w:w="3798"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Не е ясна методологията, по която са изчислени стойностите на индикатора. Заложените стойности изглеждат реалистични, предвид на предвидената по програмата подкрепа за включващо обучение.</w:t>
            </w:r>
          </w:p>
        </w:tc>
      </w:tr>
      <w:tr w:rsidR="005A01D9" w:rsidRPr="00983D02" w:rsidTr="00B122A1">
        <w:tc>
          <w:tcPr>
            <w:tcW w:w="14884" w:type="dxa"/>
            <w:gridSpan w:val="9"/>
            <w:shd w:val="clear" w:color="auto" w:fill="F2DBDB" w:themeFill="accent2" w:themeFillTint="33"/>
          </w:tcPr>
          <w:p w:rsidR="005A01D9" w:rsidRPr="00983D02" w:rsidRDefault="005A01D9" w:rsidP="00B122A1">
            <w:pPr>
              <w:widowControl w:val="0"/>
              <w:tabs>
                <w:tab w:val="left" w:pos="0"/>
                <w:tab w:val="right" w:pos="9214"/>
              </w:tabs>
              <w:spacing w:after="0" w:line="240" w:lineRule="auto"/>
              <w:jc w:val="both"/>
              <w:rPr>
                <w:rFonts w:ascii="Verdana" w:hAnsi="Verdana"/>
                <w:bCs/>
                <w:color w:val="000000"/>
                <w:sz w:val="16"/>
                <w:szCs w:val="16"/>
                <w:lang w:val="bg-BG"/>
              </w:rPr>
            </w:pPr>
            <w:r w:rsidRPr="00983D02">
              <w:rPr>
                <w:rFonts w:ascii="Verdana" w:hAnsi="Verdana"/>
                <w:b/>
                <w:bCs/>
                <w:color w:val="000000"/>
                <w:sz w:val="16"/>
                <w:szCs w:val="16"/>
                <w:lang w:val="bg-BG"/>
              </w:rPr>
              <w:t>ИП2.</w:t>
            </w:r>
            <w:r w:rsidRPr="00983D02">
              <w:rPr>
                <w:rFonts w:ascii="Verdana" w:hAnsi="Verdana"/>
                <w:bCs/>
                <w:color w:val="000000"/>
                <w:sz w:val="16"/>
                <w:szCs w:val="16"/>
                <w:lang w:val="bg-BG"/>
              </w:rPr>
              <w:t xml:space="preserve"> </w:t>
            </w:r>
            <w:r w:rsidRPr="00983D02">
              <w:rPr>
                <w:rFonts w:ascii="Verdana" w:hAnsi="Verdana" w:cs="Arial Narrow"/>
                <w:i/>
                <w:color w:val="000000"/>
                <w:sz w:val="16"/>
                <w:szCs w:val="16"/>
                <w:lang w:val="bg-BG"/>
              </w:rPr>
              <w:t xml:space="preserve">Социално-икономическо интегриране на </w:t>
            </w:r>
            <w:proofErr w:type="spellStart"/>
            <w:r w:rsidRPr="00983D02">
              <w:rPr>
                <w:rFonts w:ascii="Verdana" w:hAnsi="Verdana" w:cs="Arial Narrow"/>
                <w:i/>
                <w:color w:val="000000"/>
                <w:sz w:val="16"/>
                <w:szCs w:val="16"/>
                <w:lang w:val="bg-BG"/>
              </w:rPr>
              <w:t>маргинализираните</w:t>
            </w:r>
            <w:proofErr w:type="spellEnd"/>
            <w:r w:rsidRPr="00983D02">
              <w:rPr>
                <w:rFonts w:ascii="Verdana" w:hAnsi="Verdana" w:cs="Arial Narrow"/>
                <w:i/>
                <w:color w:val="000000"/>
                <w:sz w:val="16"/>
                <w:szCs w:val="16"/>
                <w:lang w:val="bg-BG"/>
              </w:rPr>
              <w:t xml:space="preserve"> общности, като например ромите</w:t>
            </w:r>
          </w:p>
        </w:tc>
      </w:tr>
      <w:tr w:rsidR="005A01D9" w:rsidRPr="00B45B4F" w:rsidTr="00B122A1">
        <w:tc>
          <w:tcPr>
            <w:tcW w:w="2581" w:type="dxa"/>
          </w:tcPr>
          <w:p w:rsidR="005A01D9" w:rsidRPr="00B45B4F" w:rsidRDefault="005A01D9" w:rsidP="00B122A1">
            <w:pPr>
              <w:autoSpaceDE w:val="0"/>
              <w:autoSpaceDN w:val="0"/>
              <w:adjustRightInd w:val="0"/>
              <w:spacing w:after="0" w:line="240" w:lineRule="auto"/>
              <w:jc w:val="both"/>
              <w:rPr>
                <w:rFonts w:ascii="Verdana" w:hAnsi="Verdana"/>
                <w:sz w:val="16"/>
                <w:szCs w:val="16"/>
                <w:lang w:val="bg-BG"/>
              </w:rPr>
            </w:pPr>
            <w:r>
              <w:rPr>
                <w:rFonts w:ascii="Verdana" w:hAnsi="Verdana"/>
                <w:sz w:val="16"/>
                <w:szCs w:val="16"/>
                <w:lang w:val="bg-BG"/>
              </w:rPr>
              <w:t>СЦ1.</w:t>
            </w:r>
            <w:r w:rsidRPr="00B45B4F">
              <w:rPr>
                <w:rFonts w:ascii="Verdana" w:hAnsi="Verdana"/>
                <w:sz w:val="16"/>
                <w:szCs w:val="16"/>
                <w:lang w:val="bg-BG"/>
              </w:rPr>
              <w:t>Ефективна интеграция в образователната система на деца, ученици и младежи от етническите малцинства и от други уязвими групи</w:t>
            </w:r>
          </w:p>
        </w:tc>
        <w:tc>
          <w:tcPr>
            <w:tcW w:w="1842" w:type="dxa"/>
            <w:vAlign w:val="center"/>
          </w:tcPr>
          <w:p w:rsidR="005A01D9" w:rsidRPr="00983D02" w:rsidRDefault="005A01D9" w:rsidP="00B122A1">
            <w:pPr>
              <w:pStyle w:val="Default"/>
              <w:rPr>
                <w:rFonts w:ascii="Verdana" w:hAnsi="Verdana"/>
                <w:iCs/>
                <w:color w:val="auto"/>
                <w:sz w:val="16"/>
                <w:szCs w:val="16"/>
                <w:lang w:val="bg-BG"/>
              </w:rPr>
            </w:pPr>
            <w:r>
              <w:rPr>
                <w:rFonts w:ascii="Verdana" w:hAnsi="Verdana"/>
                <w:iCs/>
                <w:color w:val="auto"/>
                <w:sz w:val="16"/>
                <w:szCs w:val="16"/>
                <w:lang w:val="bg-BG"/>
              </w:rPr>
              <w:t>Не е предложен индикатор за резултат</w:t>
            </w:r>
          </w:p>
        </w:tc>
        <w:tc>
          <w:tcPr>
            <w:tcW w:w="1418" w:type="dxa"/>
            <w:vAlign w:val="center"/>
          </w:tcPr>
          <w:p w:rsidR="005A01D9" w:rsidRPr="0097294B" w:rsidRDefault="005A01D9" w:rsidP="00B122A1">
            <w:pPr>
              <w:widowControl w:val="0"/>
              <w:tabs>
                <w:tab w:val="left" w:pos="0"/>
                <w:tab w:val="right" w:pos="9214"/>
              </w:tabs>
              <w:spacing w:after="0" w:line="240" w:lineRule="auto"/>
              <w:rPr>
                <w:rFonts w:ascii="Verdana" w:hAnsi="Verdana"/>
                <w:bCs/>
                <w:color w:val="000000"/>
                <w:sz w:val="16"/>
                <w:szCs w:val="16"/>
                <w:lang w:val="bg-BG"/>
              </w:rPr>
            </w:pPr>
          </w:p>
        </w:tc>
        <w:tc>
          <w:tcPr>
            <w:tcW w:w="1559"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p>
        </w:tc>
        <w:tc>
          <w:tcPr>
            <w:tcW w:w="851"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p>
        </w:tc>
        <w:tc>
          <w:tcPr>
            <w:tcW w:w="992" w:type="dxa"/>
            <w:vAlign w:val="center"/>
          </w:tcPr>
          <w:p w:rsidR="005A01D9" w:rsidRPr="00983D02" w:rsidRDefault="005A01D9" w:rsidP="00B122A1">
            <w:pPr>
              <w:rPr>
                <w:rFonts w:ascii="Verdana" w:hAnsi="Verdana"/>
                <w:sz w:val="16"/>
                <w:szCs w:val="16"/>
                <w:lang w:val="bg-BG"/>
              </w:rPr>
            </w:pPr>
          </w:p>
        </w:tc>
        <w:tc>
          <w:tcPr>
            <w:tcW w:w="850" w:type="dxa"/>
            <w:vAlign w:val="center"/>
          </w:tcPr>
          <w:p w:rsidR="005A01D9" w:rsidRPr="00983D02" w:rsidRDefault="005A01D9" w:rsidP="00B122A1">
            <w:pPr>
              <w:rPr>
                <w:rFonts w:ascii="Verdana" w:hAnsi="Verdana"/>
                <w:sz w:val="16"/>
                <w:szCs w:val="16"/>
                <w:lang w:val="bg-BG"/>
              </w:rPr>
            </w:pPr>
          </w:p>
        </w:tc>
        <w:tc>
          <w:tcPr>
            <w:tcW w:w="993" w:type="dxa"/>
            <w:vAlign w:val="center"/>
          </w:tcPr>
          <w:p w:rsidR="005A01D9" w:rsidRPr="00983D02" w:rsidRDefault="005A01D9" w:rsidP="00B122A1">
            <w:pPr>
              <w:rPr>
                <w:rFonts w:ascii="Verdana" w:hAnsi="Verdana"/>
                <w:sz w:val="16"/>
                <w:szCs w:val="16"/>
                <w:lang w:val="bg-BG"/>
              </w:rPr>
            </w:pPr>
          </w:p>
        </w:tc>
        <w:tc>
          <w:tcPr>
            <w:tcW w:w="3798" w:type="dxa"/>
            <w:vAlign w:val="center"/>
          </w:tcPr>
          <w:p w:rsidR="005A01D9" w:rsidRPr="00B45B4F" w:rsidRDefault="005A01D9" w:rsidP="00B122A1">
            <w:pPr>
              <w:widowControl w:val="0"/>
              <w:tabs>
                <w:tab w:val="left" w:pos="0"/>
                <w:tab w:val="right" w:pos="9214"/>
              </w:tabs>
              <w:spacing w:after="0" w:line="240" w:lineRule="auto"/>
              <w:rPr>
                <w:rFonts w:ascii="Verdana" w:hAnsi="Verdana"/>
                <w:bCs/>
                <w:color w:val="000000"/>
                <w:sz w:val="16"/>
                <w:szCs w:val="16"/>
                <w:lang w:val="bg-BG"/>
              </w:rPr>
            </w:pPr>
            <w:r>
              <w:rPr>
                <w:rFonts w:ascii="Verdana" w:hAnsi="Verdana"/>
                <w:bCs/>
                <w:color w:val="000000"/>
                <w:sz w:val="16"/>
                <w:szCs w:val="16"/>
                <w:lang w:val="bg-BG"/>
              </w:rPr>
              <w:t>Не е заложен индикатор</w:t>
            </w:r>
          </w:p>
        </w:tc>
      </w:tr>
    </w:tbl>
    <w:p w:rsidR="00270CD6" w:rsidRDefault="00270CD6" w:rsidP="0045263B">
      <w:pPr>
        <w:widowControl w:val="0"/>
        <w:tabs>
          <w:tab w:val="left" w:pos="0"/>
          <w:tab w:val="right" w:pos="9214"/>
        </w:tabs>
        <w:spacing w:after="120"/>
        <w:jc w:val="both"/>
        <w:rPr>
          <w:rFonts w:ascii="Verdana" w:hAnsi="Verdana"/>
          <w:bCs/>
          <w:color w:val="000000"/>
          <w:sz w:val="20"/>
          <w:szCs w:val="20"/>
          <w:lang w:val="bg-BG" w:eastAsia="bg-BG"/>
        </w:rPr>
      </w:pPr>
    </w:p>
    <w:p w:rsidR="00D44006" w:rsidRDefault="00D44006" w:rsidP="0045263B">
      <w:pPr>
        <w:widowControl w:val="0"/>
        <w:tabs>
          <w:tab w:val="left" w:pos="0"/>
          <w:tab w:val="right" w:pos="9214"/>
        </w:tabs>
        <w:spacing w:after="120"/>
        <w:jc w:val="both"/>
        <w:rPr>
          <w:rFonts w:ascii="Verdana" w:hAnsi="Verdana"/>
          <w:bCs/>
          <w:color w:val="000000"/>
          <w:sz w:val="20"/>
          <w:szCs w:val="20"/>
          <w:lang w:val="bg-BG" w:eastAsia="bg-BG"/>
        </w:rPr>
      </w:pPr>
    </w:p>
    <w:p w:rsidR="00D44006" w:rsidRPr="00B45B4F" w:rsidRDefault="00D44006" w:rsidP="0045263B">
      <w:pPr>
        <w:widowControl w:val="0"/>
        <w:tabs>
          <w:tab w:val="left" w:pos="0"/>
          <w:tab w:val="right" w:pos="9214"/>
        </w:tabs>
        <w:spacing w:after="120"/>
        <w:jc w:val="both"/>
        <w:rPr>
          <w:rFonts w:ascii="Verdana" w:hAnsi="Verdana"/>
          <w:bCs/>
          <w:color w:val="000000"/>
          <w:sz w:val="20"/>
          <w:szCs w:val="20"/>
          <w:lang w:val="bg-BG" w:eastAsia="bg-BG"/>
        </w:rPr>
        <w:sectPr w:rsidR="00D44006" w:rsidRPr="00B45B4F" w:rsidSect="0032425C">
          <w:headerReference w:type="default" r:id="rId47"/>
          <w:footerReference w:type="default" r:id="rId48"/>
          <w:pgSz w:w="16839" w:h="11907" w:orient="landscape" w:code="9"/>
          <w:pgMar w:top="1440" w:right="2087" w:bottom="1378" w:left="1440" w:header="720" w:footer="726" w:gutter="0"/>
          <w:cols w:space="720"/>
          <w:docGrid w:linePitch="360"/>
        </w:sectPr>
      </w:pPr>
    </w:p>
    <w:tbl>
      <w:tblPr>
        <w:tblW w:w="0" w:type="auto"/>
        <w:tblInd w:w="108" w:type="dxa"/>
        <w:tblBorders>
          <w:top w:val="single" w:sz="4" w:space="0" w:color="auto"/>
          <w:bottom w:val="single" w:sz="4" w:space="0" w:color="auto"/>
        </w:tblBorders>
        <w:tblLook w:val="04A0" w:firstRow="1" w:lastRow="0" w:firstColumn="1" w:lastColumn="0" w:noHBand="0" w:noVBand="1"/>
      </w:tblPr>
      <w:tblGrid>
        <w:gridCol w:w="567"/>
        <w:gridCol w:w="8364"/>
      </w:tblGrid>
      <w:tr w:rsidR="00F6002F" w:rsidRPr="005757F7" w:rsidTr="0054272A">
        <w:tc>
          <w:tcPr>
            <w:tcW w:w="567" w:type="dxa"/>
            <w:vAlign w:val="center"/>
          </w:tcPr>
          <w:p w:rsidR="00F6002F" w:rsidRPr="005757F7" w:rsidRDefault="00F6002F" w:rsidP="0048685C">
            <w:pPr>
              <w:spacing w:after="0"/>
              <w:jc w:val="center"/>
              <w:rPr>
                <w:rFonts w:ascii="Verdana" w:eastAsia="Times New Roman" w:hAnsi="Verdana"/>
                <w:color w:val="548DD4"/>
                <w:sz w:val="36"/>
                <w:szCs w:val="36"/>
                <w:lang w:val="bg-BG" w:eastAsia="bg-BG"/>
              </w:rPr>
            </w:pPr>
            <w:r w:rsidRPr="005757F7">
              <w:rPr>
                <w:rFonts w:ascii="Verdana" w:eastAsia="Times New Roman" w:hAnsi="Verdana"/>
                <w:color w:val="548DD4"/>
                <w:sz w:val="36"/>
                <w:szCs w:val="36"/>
                <w:lang w:val="bg-BG" w:eastAsia="bg-BG"/>
              </w:rPr>
              <w:lastRenderedPageBreak/>
              <w:t>?</w:t>
            </w:r>
          </w:p>
        </w:tc>
        <w:tc>
          <w:tcPr>
            <w:tcW w:w="8364" w:type="dxa"/>
            <w:shd w:val="clear" w:color="auto" w:fill="B8CCE4"/>
          </w:tcPr>
          <w:p w:rsidR="00F6002F" w:rsidRPr="005757F7" w:rsidRDefault="00F6002F" w:rsidP="0048685C">
            <w:pPr>
              <w:autoSpaceDE w:val="0"/>
              <w:autoSpaceDN w:val="0"/>
              <w:adjustRightInd w:val="0"/>
              <w:spacing w:before="120" w:after="120"/>
              <w:ind w:left="113"/>
              <w:rPr>
                <w:rFonts w:ascii="Verdana" w:eastAsia="Times New Roman" w:hAnsi="Verdana"/>
                <w:sz w:val="20"/>
                <w:szCs w:val="20"/>
                <w:lang w:val="bg-BG"/>
              </w:rPr>
            </w:pPr>
            <w:r w:rsidRPr="005757F7">
              <w:rPr>
                <w:rFonts w:ascii="Verdana" w:hAnsi="Verdana"/>
                <w:sz w:val="20"/>
                <w:szCs w:val="20"/>
                <w:lang w:val="bg-BG"/>
              </w:rPr>
              <w:t>Оценка на реалистичността при количественото изразяване на базовите и целевите стойности на индикаторите</w:t>
            </w:r>
          </w:p>
        </w:tc>
      </w:tr>
    </w:tbl>
    <w:p w:rsidR="00F6002F" w:rsidRDefault="00F6002F" w:rsidP="0048685C">
      <w:pPr>
        <w:widowControl w:val="0"/>
        <w:tabs>
          <w:tab w:val="left" w:pos="0"/>
          <w:tab w:val="right" w:pos="9214"/>
        </w:tabs>
        <w:spacing w:after="120"/>
        <w:rPr>
          <w:rFonts w:ascii="Verdana" w:eastAsia="Times New Roman" w:hAnsi="Verdana"/>
          <w:bCs/>
          <w:color w:val="000000"/>
          <w:sz w:val="20"/>
          <w:szCs w:val="20"/>
          <w:lang w:val="bg-BG" w:eastAsia="bg-BG"/>
        </w:rPr>
      </w:pPr>
    </w:p>
    <w:p w:rsidR="00A9342B" w:rsidRDefault="00A9342B" w:rsidP="00B122A1">
      <w:pPr>
        <w:widowControl w:val="0"/>
        <w:tabs>
          <w:tab w:val="left" w:pos="0"/>
          <w:tab w:val="right" w:pos="9214"/>
        </w:tabs>
        <w:spacing w:after="120"/>
        <w:jc w:val="both"/>
        <w:rPr>
          <w:rFonts w:ascii="Verdana" w:hAnsi="Verdana"/>
          <w:bCs/>
          <w:color w:val="000000"/>
          <w:sz w:val="20"/>
          <w:szCs w:val="20"/>
          <w:lang w:val="bg-BG" w:eastAsia="bg-BG"/>
        </w:rPr>
      </w:pPr>
      <w:r>
        <w:rPr>
          <w:rFonts w:ascii="Verdana" w:hAnsi="Verdana"/>
          <w:bCs/>
          <w:color w:val="000000"/>
          <w:sz w:val="20"/>
          <w:szCs w:val="20"/>
          <w:lang w:val="bg-BG" w:eastAsia="bg-BG"/>
        </w:rPr>
        <w:t>През м. август 2014 ГД СФМОП предостави таблица с нова система от индикатори, включително с целеви и базови стойности, която все още не е инкорпорирана в текста на оперативната програма.</w:t>
      </w:r>
      <w:r>
        <w:rPr>
          <w:rFonts w:ascii="Verdana" w:hAnsi="Verdana"/>
          <w:bCs/>
          <w:color w:val="000000"/>
          <w:sz w:val="20"/>
          <w:szCs w:val="20"/>
          <w:lang w:eastAsia="bg-BG"/>
        </w:rPr>
        <w:t xml:space="preserve"> </w:t>
      </w:r>
      <w:r>
        <w:rPr>
          <w:rFonts w:ascii="Verdana" w:hAnsi="Verdana"/>
          <w:bCs/>
          <w:color w:val="000000"/>
          <w:sz w:val="20"/>
          <w:szCs w:val="20"/>
          <w:lang w:val="bg-BG" w:eastAsia="bg-BG"/>
        </w:rPr>
        <w:t>Тези индикатори, включително базовите им и целеви стойности са коментирани в таблици 36 и 37 по-горе.</w:t>
      </w:r>
    </w:p>
    <w:p w:rsidR="00E7363C" w:rsidRDefault="00E7363C" w:rsidP="00E7363C">
      <w:pPr>
        <w:widowControl w:val="0"/>
        <w:tabs>
          <w:tab w:val="left" w:pos="0"/>
          <w:tab w:val="right" w:pos="9214"/>
        </w:tabs>
        <w:spacing w:after="120"/>
        <w:jc w:val="both"/>
        <w:rPr>
          <w:rFonts w:ascii="Verdana" w:hAnsi="Verdana"/>
          <w:bCs/>
          <w:color w:val="000000"/>
          <w:sz w:val="20"/>
          <w:szCs w:val="20"/>
          <w:lang w:val="bg-BG" w:eastAsia="bg-BG"/>
        </w:rPr>
      </w:pPr>
      <w:r>
        <w:rPr>
          <w:rFonts w:ascii="Verdana" w:hAnsi="Verdana"/>
          <w:bCs/>
          <w:color w:val="000000"/>
          <w:sz w:val="20"/>
          <w:szCs w:val="20"/>
          <w:lang w:val="bg-BG" w:eastAsia="bg-BG"/>
        </w:rPr>
        <w:t>Насоките на ЕК</w:t>
      </w:r>
      <w:r>
        <w:rPr>
          <w:rStyle w:val="FootnoteReference"/>
          <w:rFonts w:ascii="Verdana" w:hAnsi="Verdana"/>
          <w:bCs/>
          <w:color w:val="000000"/>
          <w:sz w:val="20"/>
          <w:szCs w:val="20"/>
          <w:lang w:val="bg-BG" w:eastAsia="bg-BG"/>
        </w:rPr>
        <w:footnoteReference w:id="7"/>
      </w:r>
      <w:r>
        <w:rPr>
          <w:rFonts w:ascii="Verdana" w:hAnsi="Verdana"/>
          <w:bCs/>
          <w:color w:val="000000"/>
          <w:sz w:val="20"/>
          <w:szCs w:val="20"/>
          <w:lang w:val="bg-BG" w:eastAsia="bg-BG"/>
        </w:rPr>
        <w:t xml:space="preserve"> по отношение на залагане на стойности на индикаторите предполагат залагане на базова стойност за индикаторите за резултат, което не е спазено за всички заложени индикатори. </w:t>
      </w:r>
    </w:p>
    <w:p w:rsidR="00A9342B" w:rsidRDefault="00E7363C">
      <w:pPr>
        <w:widowControl w:val="0"/>
        <w:tabs>
          <w:tab w:val="left" w:pos="0"/>
          <w:tab w:val="right" w:pos="9214"/>
        </w:tabs>
        <w:spacing w:after="120"/>
        <w:jc w:val="both"/>
        <w:rPr>
          <w:rFonts w:ascii="Verdana" w:hAnsi="Verdana"/>
          <w:bCs/>
          <w:color w:val="000000"/>
          <w:sz w:val="20"/>
          <w:szCs w:val="20"/>
          <w:lang w:val="bg-BG" w:eastAsia="bg-BG"/>
        </w:rPr>
      </w:pPr>
      <w:r>
        <w:rPr>
          <w:rFonts w:ascii="Verdana" w:hAnsi="Verdana"/>
          <w:bCs/>
          <w:color w:val="000000"/>
          <w:sz w:val="20"/>
          <w:szCs w:val="20"/>
          <w:lang w:val="bg-BG" w:eastAsia="bg-BG"/>
        </w:rPr>
        <w:t>Съгласно информация от ГД СФМОП, б</w:t>
      </w:r>
      <w:r w:rsidR="00A9342B">
        <w:rPr>
          <w:rFonts w:ascii="Verdana" w:hAnsi="Verdana"/>
          <w:bCs/>
          <w:color w:val="000000"/>
          <w:sz w:val="20"/>
          <w:szCs w:val="20"/>
          <w:lang w:val="bg-BG" w:eastAsia="bg-BG"/>
        </w:rPr>
        <w:t xml:space="preserve">азовите и целевите стойности, както и </w:t>
      </w:r>
      <w:r w:rsidR="001D1A00">
        <w:rPr>
          <w:rFonts w:ascii="Verdana" w:hAnsi="Verdana"/>
          <w:bCs/>
          <w:color w:val="000000"/>
          <w:sz w:val="20"/>
          <w:szCs w:val="20"/>
          <w:lang w:val="bg-BG" w:eastAsia="bg-BG"/>
        </w:rPr>
        <w:t xml:space="preserve">междинните стойности </w:t>
      </w:r>
      <w:r w:rsidR="00A9342B">
        <w:rPr>
          <w:rFonts w:ascii="Verdana" w:hAnsi="Verdana"/>
          <w:bCs/>
          <w:color w:val="000000"/>
          <w:sz w:val="20"/>
          <w:szCs w:val="20"/>
          <w:lang w:val="bg-BG" w:eastAsia="bg-BG"/>
        </w:rPr>
        <w:t xml:space="preserve">са изчислявани </w:t>
      </w:r>
      <w:r w:rsidR="00086655">
        <w:rPr>
          <w:rFonts w:ascii="Verdana" w:hAnsi="Verdana"/>
          <w:bCs/>
          <w:color w:val="000000"/>
          <w:sz w:val="20"/>
          <w:szCs w:val="20"/>
          <w:lang w:val="bg-BG" w:eastAsia="bg-BG"/>
        </w:rPr>
        <w:t xml:space="preserve">като е взет предвид </w:t>
      </w:r>
      <w:r w:rsidR="00A9342B">
        <w:rPr>
          <w:rFonts w:ascii="Verdana" w:hAnsi="Verdana"/>
          <w:bCs/>
          <w:color w:val="000000"/>
          <w:sz w:val="20"/>
          <w:szCs w:val="20"/>
          <w:lang w:val="bg-BG" w:eastAsia="bg-BG"/>
        </w:rPr>
        <w:t>опита в изпълнение на подобни мерки в периода 2007-2013 по ОПРЧР, както и съобразно разчети на специализирани дирекции в МОН. ГД СФМОП не предостави методологията за изчисляване на стойностите на индикаторите, което затруднява оценката на тяхната реалистичност. Поради това, коментарите предоставени в таблици 36 и 37 по-горе се основават на наличната информация относно предишен опит в изпълнение на подобни мерки, заложения бюджет по програмата, наличния административен капацитет и информация в самата програма относно естеството на дейностите и целите, които индикаторите измерват.</w:t>
      </w:r>
    </w:p>
    <w:p w:rsidR="00A9342B" w:rsidRPr="00A9342B" w:rsidRDefault="00A9342B" w:rsidP="0048685C">
      <w:pPr>
        <w:widowControl w:val="0"/>
        <w:tabs>
          <w:tab w:val="left" w:pos="0"/>
          <w:tab w:val="right" w:pos="9214"/>
        </w:tabs>
        <w:spacing w:after="120"/>
        <w:rPr>
          <w:rFonts w:ascii="Verdana" w:eastAsia="Times New Roman" w:hAnsi="Verdana"/>
          <w:bCs/>
          <w:color w:val="000000"/>
          <w:sz w:val="20"/>
          <w:szCs w:val="20"/>
          <w:lang w:val="bg-BG" w:eastAsia="bg-BG"/>
        </w:rPr>
      </w:pPr>
    </w:p>
    <w:tbl>
      <w:tblPr>
        <w:tblW w:w="0" w:type="auto"/>
        <w:tblInd w:w="108" w:type="dxa"/>
        <w:tblBorders>
          <w:top w:val="single" w:sz="4" w:space="0" w:color="auto"/>
          <w:bottom w:val="single" w:sz="4" w:space="0" w:color="auto"/>
        </w:tblBorders>
        <w:tblLook w:val="04A0" w:firstRow="1" w:lastRow="0" w:firstColumn="1" w:lastColumn="0" w:noHBand="0" w:noVBand="1"/>
      </w:tblPr>
      <w:tblGrid>
        <w:gridCol w:w="567"/>
        <w:gridCol w:w="8364"/>
      </w:tblGrid>
      <w:tr w:rsidR="00E13DF8" w:rsidRPr="005757F7" w:rsidTr="0054272A">
        <w:tc>
          <w:tcPr>
            <w:tcW w:w="567" w:type="dxa"/>
            <w:vAlign w:val="center"/>
          </w:tcPr>
          <w:p w:rsidR="00E13DF8" w:rsidRPr="005757F7" w:rsidRDefault="00E13DF8" w:rsidP="0048685C">
            <w:pPr>
              <w:spacing w:after="0"/>
              <w:jc w:val="center"/>
              <w:rPr>
                <w:rFonts w:ascii="Verdana" w:eastAsia="Times New Roman" w:hAnsi="Verdana"/>
                <w:color w:val="548DD4"/>
                <w:sz w:val="36"/>
                <w:szCs w:val="36"/>
                <w:lang w:val="bg-BG" w:eastAsia="bg-BG"/>
              </w:rPr>
            </w:pPr>
            <w:r w:rsidRPr="005757F7">
              <w:rPr>
                <w:rFonts w:ascii="Verdana" w:eastAsia="Times New Roman" w:hAnsi="Verdana"/>
                <w:color w:val="548DD4"/>
                <w:sz w:val="36"/>
                <w:szCs w:val="36"/>
                <w:lang w:val="bg-BG" w:eastAsia="bg-BG"/>
              </w:rPr>
              <w:t>?</w:t>
            </w:r>
          </w:p>
        </w:tc>
        <w:tc>
          <w:tcPr>
            <w:tcW w:w="8364" w:type="dxa"/>
            <w:shd w:val="clear" w:color="auto" w:fill="B8CCE4"/>
          </w:tcPr>
          <w:p w:rsidR="00E13DF8" w:rsidRPr="005757F7" w:rsidRDefault="00E13DF8" w:rsidP="0048685C">
            <w:pPr>
              <w:autoSpaceDE w:val="0"/>
              <w:autoSpaceDN w:val="0"/>
              <w:adjustRightInd w:val="0"/>
              <w:spacing w:before="120" w:after="120"/>
              <w:ind w:left="113"/>
              <w:rPr>
                <w:rFonts w:ascii="Verdana" w:eastAsia="Times New Roman" w:hAnsi="Verdana"/>
                <w:sz w:val="20"/>
                <w:szCs w:val="20"/>
                <w:lang w:val="bg-BG"/>
              </w:rPr>
            </w:pPr>
            <w:r w:rsidRPr="005757F7">
              <w:rPr>
                <w:rFonts w:ascii="Verdana" w:hAnsi="Verdana"/>
                <w:sz w:val="20"/>
                <w:szCs w:val="20"/>
                <w:lang w:val="bg-BG"/>
              </w:rPr>
              <w:t>Уместност на дефинираните етапни цели</w:t>
            </w:r>
          </w:p>
        </w:tc>
      </w:tr>
    </w:tbl>
    <w:p w:rsidR="00E13DF8" w:rsidRDefault="00E13DF8" w:rsidP="00E13DF8">
      <w:pPr>
        <w:widowControl w:val="0"/>
        <w:tabs>
          <w:tab w:val="left" w:pos="0"/>
          <w:tab w:val="right" w:pos="9214"/>
        </w:tabs>
        <w:spacing w:after="120"/>
        <w:jc w:val="both"/>
        <w:rPr>
          <w:rFonts w:ascii="Verdana" w:eastAsia="Times New Roman" w:hAnsi="Verdana"/>
          <w:bCs/>
          <w:noProof/>
          <w:color w:val="000000"/>
          <w:sz w:val="20"/>
          <w:szCs w:val="20"/>
          <w:lang w:val="bg-BG" w:eastAsia="bg-BG"/>
        </w:rPr>
      </w:pPr>
    </w:p>
    <w:p w:rsidR="004837EB" w:rsidRDefault="004837EB" w:rsidP="004837EB">
      <w:pPr>
        <w:widowControl w:val="0"/>
        <w:tabs>
          <w:tab w:val="left" w:pos="0"/>
          <w:tab w:val="right" w:pos="9214"/>
        </w:tabs>
        <w:spacing w:after="120"/>
        <w:jc w:val="both"/>
        <w:rPr>
          <w:rFonts w:ascii="Verdana" w:eastAsia="Times New Roman" w:hAnsi="Verdana"/>
          <w:bCs/>
          <w:color w:val="000000"/>
          <w:sz w:val="20"/>
          <w:szCs w:val="20"/>
          <w:lang w:val="bg-BG" w:eastAsia="bg-BG"/>
        </w:rPr>
      </w:pPr>
      <w:r>
        <w:rPr>
          <w:rFonts w:ascii="Verdana" w:eastAsia="Times New Roman" w:hAnsi="Verdana"/>
          <w:bCs/>
          <w:color w:val="000000"/>
          <w:sz w:val="20"/>
          <w:szCs w:val="20"/>
          <w:lang w:val="bg-BG" w:eastAsia="bg-BG"/>
        </w:rPr>
        <w:t xml:space="preserve">Разделът не е възможно да бъде разработен на настоящия етап тъй като </w:t>
      </w:r>
      <w:r w:rsidR="00E7363C">
        <w:rPr>
          <w:rFonts w:ascii="Verdana" w:eastAsia="Times New Roman" w:hAnsi="Verdana"/>
          <w:bCs/>
          <w:color w:val="000000"/>
          <w:sz w:val="20"/>
          <w:szCs w:val="20"/>
          <w:lang w:val="bg-BG" w:eastAsia="bg-BG"/>
        </w:rPr>
        <w:t>все още не са определени индикаторите,</w:t>
      </w:r>
      <w:r w:rsidR="00DF33CD">
        <w:rPr>
          <w:rFonts w:ascii="Verdana" w:eastAsia="Times New Roman" w:hAnsi="Verdana"/>
          <w:bCs/>
          <w:color w:val="000000"/>
          <w:sz w:val="20"/>
          <w:szCs w:val="20"/>
          <w:lang w:eastAsia="bg-BG"/>
        </w:rPr>
        <w:t xml:space="preserve"> </w:t>
      </w:r>
      <w:r w:rsidR="00E7363C">
        <w:rPr>
          <w:rFonts w:ascii="Verdana" w:eastAsia="Times New Roman" w:hAnsi="Verdana"/>
          <w:bCs/>
          <w:color w:val="000000"/>
          <w:sz w:val="20"/>
          <w:szCs w:val="20"/>
          <w:lang w:val="bg-BG" w:eastAsia="bg-BG"/>
        </w:rPr>
        <w:t xml:space="preserve">които ще залегнат </w:t>
      </w:r>
      <w:r w:rsidR="00DF33CD">
        <w:rPr>
          <w:rFonts w:ascii="Verdana" w:eastAsia="Times New Roman" w:hAnsi="Verdana"/>
          <w:bCs/>
          <w:color w:val="000000"/>
          <w:sz w:val="20"/>
          <w:szCs w:val="20"/>
          <w:lang w:val="bg-BG" w:eastAsia="bg-BG"/>
        </w:rPr>
        <w:t>в общата рамка на изпълнение</w:t>
      </w:r>
      <w:r>
        <w:rPr>
          <w:rFonts w:ascii="Verdana" w:eastAsia="Times New Roman" w:hAnsi="Verdana"/>
          <w:bCs/>
          <w:color w:val="000000"/>
          <w:sz w:val="20"/>
          <w:szCs w:val="20"/>
          <w:lang w:val="bg-BG" w:eastAsia="bg-BG"/>
        </w:rPr>
        <w:t>.</w:t>
      </w:r>
    </w:p>
    <w:p w:rsidR="0015412F" w:rsidRPr="00032004" w:rsidRDefault="0015412F" w:rsidP="00032004">
      <w:pPr>
        <w:widowControl w:val="0"/>
        <w:tabs>
          <w:tab w:val="left" w:pos="1276"/>
        </w:tabs>
        <w:overflowPunct w:val="0"/>
        <w:autoSpaceDE w:val="0"/>
        <w:autoSpaceDN w:val="0"/>
        <w:adjustRightInd w:val="0"/>
        <w:spacing w:before="360" w:after="120"/>
        <w:jc w:val="both"/>
        <w:textAlignment w:val="baseline"/>
        <w:outlineLvl w:val="2"/>
        <w:rPr>
          <w:rFonts w:ascii="Verdana" w:eastAsia="Times New Roman" w:hAnsi="Verdana" w:cs="Calibri"/>
          <w:b/>
          <w:color w:val="365F91"/>
          <w:lang w:val="bg-BG" w:eastAsia="cs-CZ"/>
        </w:rPr>
      </w:pPr>
      <w:bookmarkStart w:id="130" w:name="_Toc362617579"/>
      <w:bookmarkStart w:id="131" w:name="_Toc395612521"/>
      <w:r w:rsidRPr="00032004">
        <w:rPr>
          <w:rFonts w:ascii="Verdana" w:eastAsia="Times New Roman" w:hAnsi="Verdana" w:cs="Calibri"/>
          <w:b/>
          <w:color w:val="365F91"/>
          <w:lang w:val="bg-BG" w:eastAsia="cs-CZ"/>
        </w:rPr>
        <w:t>Изводи</w:t>
      </w:r>
      <w:bookmarkEnd w:id="130"/>
      <w:r w:rsidRPr="00032004">
        <w:rPr>
          <w:rFonts w:ascii="Verdana" w:eastAsia="Times New Roman" w:hAnsi="Verdana" w:cs="Calibri"/>
          <w:b/>
          <w:color w:val="365F91"/>
          <w:lang w:val="bg-BG" w:eastAsia="cs-CZ"/>
        </w:rPr>
        <w:t xml:space="preserve"> и препоръки</w:t>
      </w:r>
      <w:bookmarkEnd w:id="131"/>
    </w:p>
    <w:p w:rsidR="0015412F" w:rsidRDefault="004837EB" w:rsidP="00E13DF8">
      <w:pPr>
        <w:widowControl w:val="0"/>
        <w:tabs>
          <w:tab w:val="left" w:pos="0"/>
          <w:tab w:val="right" w:pos="9214"/>
        </w:tabs>
        <w:spacing w:after="120"/>
        <w:jc w:val="both"/>
        <w:rPr>
          <w:rFonts w:ascii="Verdana" w:eastAsia="Times New Roman" w:hAnsi="Verdana"/>
          <w:bCs/>
          <w:noProof/>
          <w:color w:val="000000"/>
          <w:sz w:val="20"/>
          <w:szCs w:val="20"/>
          <w:lang w:val="bg-BG" w:eastAsia="bg-BG"/>
        </w:rPr>
      </w:pPr>
      <w:r>
        <w:rPr>
          <w:rFonts w:ascii="Verdana" w:eastAsia="Times New Roman" w:hAnsi="Verdana"/>
          <w:bCs/>
          <w:noProof/>
          <w:color w:val="000000"/>
          <w:sz w:val="20"/>
          <w:szCs w:val="20"/>
          <w:lang w:val="bg-BG" w:eastAsia="bg-BG"/>
        </w:rPr>
        <w:t xml:space="preserve">Системата от индикатори беше прецизирана и значително подобрена спрямо първоначалния си вариант. Въпреки това се очакват редакции в някои от индикаторите. </w:t>
      </w:r>
      <w:r w:rsidR="009120D3">
        <w:rPr>
          <w:rFonts w:ascii="Verdana" w:eastAsia="Times New Roman" w:hAnsi="Verdana"/>
          <w:bCs/>
          <w:noProof/>
          <w:color w:val="000000"/>
          <w:sz w:val="20"/>
          <w:szCs w:val="20"/>
          <w:lang w:val="bg-BG" w:eastAsia="bg-BG"/>
        </w:rPr>
        <w:t>През м. август 2014 беше разработена нова система от индикатори с базови и целеви стойности, които все още не са инкорпорирани в текста на програмата. Оценителният доклад прави преглед на предложената нова система от индикатори, включително на заложените стойности. Прегледът на заложените стойности беше затруднен, тъй като не беше предоставена методология за тяхното изчисляване. Все още не са дефинирани</w:t>
      </w:r>
      <w:r>
        <w:rPr>
          <w:rFonts w:ascii="Verdana" w:eastAsia="Times New Roman" w:hAnsi="Verdana"/>
          <w:bCs/>
          <w:noProof/>
          <w:color w:val="000000"/>
          <w:sz w:val="20"/>
          <w:szCs w:val="20"/>
          <w:lang w:val="bg-BG" w:eastAsia="bg-BG"/>
        </w:rPr>
        <w:t xml:space="preserve"> етапни цели.</w:t>
      </w:r>
    </w:p>
    <w:p w:rsidR="004837EB" w:rsidRDefault="004837EB" w:rsidP="00E13DF8">
      <w:pPr>
        <w:widowControl w:val="0"/>
        <w:tabs>
          <w:tab w:val="left" w:pos="0"/>
          <w:tab w:val="right" w:pos="9214"/>
        </w:tabs>
        <w:spacing w:after="120"/>
        <w:jc w:val="both"/>
        <w:rPr>
          <w:rFonts w:ascii="Verdana" w:eastAsia="Times New Roman" w:hAnsi="Verdana"/>
          <w:bCs/>
          <w:noProof/>
          <w:color w:val="000000"/>
          <w:sz w:val="20"/>
          <w:szCs w:val="20"/>
          <w:lang w:val="bg-BG" w:eastAsia="bg-BG"/>
        </w:rPr>
      </w:pPr>
      <w:r>
        <w:rPr>
          <w:rFonts w:ascii="Verdana" w:eastAsia="Times New Roman" w:hAnsi="Verdana"/>
          <w:bCs/>
          <w:noProof/>
          <w:color w:val="000000"/>
          <w:sz w:val="20"/>
          <w:szCs w:val="20"/>
          <w:lang w:val="bg-BG" w:eastAsia="bg-BG"/>
        </w:rPr>
        <w:t>Отправени са специфични преп</w:t>
      </w:r>
      <w:r w:rsidR="002C1A8B">
        <w:rPr>
          <w:rFonts w:ascii="Verdana" w:eastAsia="Times New Roman" w:hAnsi="Verdana"/>
          <w:bCs/>
          <w:noProof/>
          <w:color w:val="000000"/>
          <w:sz w:val="20"/>
          <w:szCs w:val="20"/>
          <w:lang w:val="bg-BG" w:eastAsia="bg-BG"/>
        </w:rPr>
        <w:t>о</w:t>
      </w:r>
      <w:r>
        <w:rPr>
          <w:rFonts w:ascii="Verdana" w:eastAsia="Times New Roman" w:hAnsi="Verdana"/>
          <w:bCs/>
          <w:noProof/>
          <w:color w:val="000000"/>
          <w:sz w:val="20"/>
          <w:szCs w:val="20"/>
          <w:lang w:val="bg-BG" w:eastAsia="bg-BG"/>
        </w:rPr>
        <w:t>ръки по отношение на индикаторите</w:t>
      </w:r>
      <w:r w:rsidR="009120D3">
        <w:rPr>
          <w:rFonts w:ascii="Verdana" w:eastAsia="Times New Roman" w:hAnsi="Verdana"/>
          <w:bCs/>
          <w:noProof/>
          <w:color w:val="000000"/>
          <w:sz w:val="20"/>
          <w:szCs w:val="20"/>
          <w:lang w:val="bg-BG" w:eastAsia="bg-BG"/>
        </w:rPr>
        <w:t>, както и заложените базови и целеви стойности</w:t>
      </w:r>
      <w:r>
        <w:rPr>
          <w:rFonts w:ascii="Verdana" w:eastAsia="Times New Roman" w:hAnsi="Verdana"/>
          <w:bCs/>
          <w:noProof/>
          <w:color w:val="000000"/>
          <w:sz w:val="20"/>
          <w:szCs w:val="20"/>
          <w:lang w:val="bg-BG" w:eastAsia="bg-BG"/>
        </w:rPr>
        <w:t xml:space="preserve"> за всяка от п</w:t>
      </w:r>
      <w:r w:rsidR="002C1A8B">
        <w:rPr>
          <w:rFonts w:ascii="Verdana" w:eastAsia="Times New Roman" w:hAnsi="Verdana"/>
          <w:bCs/>
          <w:noProof/>
          <w:color w:val="000000"/>
          <w:sz w:val="20"/>
          <w:szCs w:val="20"/>
          <w:lang w:val="bg-BG" w:eastAsia="bg-BG"/>
        </w:rPr>
        <w:t>риоритетните</w:t>
      </w:r>
      <w:r>
        <w:rPr>
          <w:rFonts w:ascii="Verdana" w:eastAsia="Times New Roman" w:hAnsi="Verdana"/>
          <w:bCs/>
          <w:noProof/>
          <w:color w:val="000000"/>
          <w:sz w:val="20"/>
          <w:szCs w:val="20"/>
          <w:lang w:val="bg-BG" w:eastAsia="bg-BG"/>
        </w:rPr>
        <w:t xml:space="preserve"> оси.</w:t>
      </w:r>
    </w:p>
    <w:p w:rsidR="00AD796B" w:rsidRPr="00A62214" w:rsidRDefault="00AD796B" w:rsidP="00AD796B">
      <w:pPr>
        <w:pStyle w:val="Heading2"/>
        <w:shd w:val="clear" w:color="auto" w:fill="FFCC99"/>
        <w:spacing w:line="276" w:lineRule="auto"/>
        <w:rPr>
          <w:rFonts w:ascii="Verdana" w:hAnsi="Verdana"/>
          <w:i w:val="0"/>
          <w:iCs/>
          <w:color w:val="0063B8"/>
          <w:sz w:val="26"/>
          <w:szCs w:val="26"/>
          <w:lang w:val="bg-BG"/>
        </w:rPr>
      </w:pPr>
      <w:bookmarkStart w:id="132" w:name="_Toc390262448"/>
      <w:bookmarkStart w:id="133" w:name="_Toc395612522"/>
      <w:r>
        <w:rPr>
          <w:rFonts w:ascii="Verdana" w:hAnsi="Verdana"/>
          <w:i w:val="0"/>
          <w:iCs/>
          <w:color w:val="0063B8"/>
          <w:sz w:val="26"/>
          <w:szCs w:val="26"/>
          <w:lang w:val="bg-BG"/>
        </w:rPr>
        <w:lastRenderedPageBreak/>
        <w:t>Оценка на бюджета на програмата</w:t>
      </w:r>
      <w:bookmarkEnd w:id="132"/>
      <w:bookmarkEnd w:id="133"/>
    </w:p>
    <w:p w:rsidR="00AD796B" w:rsidRPr="00632267" w:rsidRDefault="00AD796B" w:rsidP="00AD796B">
      <w:pPr>
        <w:widowControl w:val="0"/>
        <w:tabs>
          <w:tab w:val="left" w:pos="1276"/>
        </w:tabs>
        <w:overflowPunct w:val="0"/>
        <w:autoSpaceDE w:val="0"/>
        <w:autoSpaceDN w:val="0"/>
        <w:adjustRightInd w:val="0"/>
        <w:spacing w:before="360" w:after="120"/>
        <w:jc w:val="both"/>
        <w:textAlignment w:val="baseline"/>
        <w:outlineLvl w:val="2"/>
        <w:rPr>
          <w:rFonts w:ascii="Verdana" w:eastAsia="Times New Roman" w:hAnsi="Verdana" w:cs="Calibri"/>
          <w:b/>
          <w:color w:val="365F91"/>
          <w:lang w:val="bg-BG" w:eastAsia="cs-CZ"/>
        </w:rPr>
      </w:pPr>
      <w:bookmarkStart w:id="134" w:name="_Toc390262449"/>
      <w:bookmarkStart w:id="135" w:name="_Toc395612523"/>
      <w:r w:rsidRPr="00632267">
        <w:rPr>
          <w:rFonts w:ascii="Verdana" w:eastAsia="Times New Roman" w:hAnsi="Verdana" w:cs="Calibri"/>
          <w:b/>
          <w:color w:val="365F91"/>
          <w:lang w:val="bg-BG" w:eastAsia="cs-CZ"/>
        </w:rPr>
        <w:t>Анализ</w:t>
      </w:r>
      <w:bookmarkEnd w:id="134"/>
      <w:bookmarkEnd w:id="135"/>
    </w:p>
    <w:p w:rsidR="00AD796B" w:rsidRPr="00B45B4F" w:rsidRDefault="00AD796B" w:rsidP="00AD796B">
      <w:pPr>
        <w:widowControl w:val="0"/>
        <w:tabs>
          <w:tab w:val="left" w:pos="0"/>
          <w:tab w:val="right" w:pos="9214"/>
        </w:tabs>
        <w:spacing w:before="120" w:after="0"/>
        <w:jc w:val="both"/>
        <w:rPr>
          <w:rFonts w:ascii="Verdana" w:eastAsia="Times New Roman" w:hAnsi="Verdana"/>
          <w:bCs/>
          <w:color w:val="000000"/>
          <w:sz w:val="20"/>
          <w:szCs w:val="20"/>
          <w:lang w:val="bg-BG" w:eastAsia="bg-BG"/>
        </w:rPr>
      </w:pPr>
    </w:p>
    <w:tbl>
      <w:tblPr>
        <w:tblW w:w="9072" w:type="dxa"/>
        <w:tblInd w:w="108" w:type="dxa"/>
        <w:tblBorders>
          <w:top w:val="single" w:sz="4" w:space="0" w:color="auto"/>
          <w:bottom w:val="single" w:sz="4" w:space="0" w:color="auto"/>
        </w:tblBorders>
        <w:tblLook w:val="04A0" w:firstRow="1" w:lastRow="0" w:firstColumn="1" w:lastColumn="0" w:noHBand="0" w:noVBand="1"/>
      </w:tblPr>
      <w:tblGrid>
        <w:gridCol w:w="567"/>
        <w:gridCol w:w="8505"/>
      </w:tblGrid>
      <w:tr w:rsidR="00AD796B" w:rsidRPr="000071C8" w:rsidTr="004020E1">
        <w:tc>
          <w:tcPr>
            <w:tcW w:w="567" w:type="dxa"/>
            <w:vAlign w:val="center"/>
          </w:tcPr>
          <w:p w:rsidR="00AD796B" w:rsidRPr="000071C8" w:rsidRDefault="00AD796B" w:rsidP="004020E1">
            <w:pPr>
              <w:spacing w:after="0"/>
              <w:jc w:val="center"/>
              <w:rPr>
                <w:rFonts w:ascii="Verdana" w:eastAsia="Times New Roman" w:hAnsi="Verdana"/>
                <w:color w:val="548DD4"/>
                <w:sz w:val="36"/>
                <w:szCs w:val="36"/>
                <w:lang w:val="bg-BG" w:eastAsia="bg-BG"/>
              </w:rPr>
            </w:pPr>
            <w:r w:rsidRPr="000071C8">
              <w:rPr>
                <w:rFonts w:ascii="Verdana" w:eastAsia="Times New Roman" w:hAnsi="Verdana"/>
                <w:color w:val="548DD4"/>
                <w:sz w:val="36"/>
                <w:szCs w:val="36"/>
                <w:lang w:val="bg-BG" w:eastAsia="bg-BG"/>
              </w:rPr>
              <w:t>?</w:t>
            </w:r>
          </w:p>
        </w:tc>
        <w:tc>
          <w:tcPr>
            <w:tcW w:w="8505" w:type="dxa"/>
            <w:shd w:val="clear" w:color="auto" w:fill="B8CCE4"/>
          </w:tcPr>
          <w:p w:rsidR="00AD796B" w:rsidRPr="000071C8" w:rsidRDefault="00AD796B" w:rsidP="004020E1">
            <w:pPr>
              <w:autoSpaceDE w:val="0"/>
              <w:autoSpaceDN w:val="0"/>
              <w:adjustRightInd w:val="0"/>
              <w:spacing w:before="120" w:after="120" w:line="240" w:lineRule="auto"/>
              <w:ind w:left="135"/>
              <w:rPr>
                <w:rFonts w:ascii="Verdana" w:eastAsia="Times New Roman" w:hAnsi="Verdana" w:cs="TimesNewRomanPSMT"/>
                <w:sz w:val="20"/>
                <w:szCs w:val="20"/>
                <w:lang w:val="bg-BG" w:eastAsia="bg-BG"/>
              </w:rPr>
            </w:pPr>
            <w:r w:rsidRPr="000071C8">
              <w:rPr>
                <w:rFonts w:ascii="Verdana" w:eastAsia="Times New Roman" w:hAnsi="Verdana" w:cs="TimesNewRomanPSMT"/>
                <w:sz w:val="20"/>
                <w:szCs w:val="20"/>
                <w:lang w:val="bg-BG" w:eastAsia="bg-BG"/>
              </w:rPr>
              <w:t>Последователност и обоснованост на разпределението на бюджетните средства спрямо целите на програмата</w:t>
            </w:r>
          </w:p>
        </w:tc>
      </w:tr>
    </w:tbl>
    <w:p w:rsidR="00AD796B" w:rsidRPr="00A65DB8" w:rsidRDefault="00AD796B" w:rsidP="00AD796B">
      <w:pPr>
        <w:keepNext/>
        <w:widowControl w:val="0"/>
        <w:tabs>
          <w:tab w:val="left" w:pos="0"/>
          <w:tab w:val="right" w:pos="9214"/>
        </w:tabs>
        <w:spacing w:before="240" w:after="120"/>
        <w:jc w:val="both"/>
        <w:rPr>
          <w:rFonts w:ascii="Verdana" w:eastAsia="Times New Roman" w:hAnsi="Verdana"/>
          <w:bCs/>
          <w:color w:val="0070C0"/>
          <w:sz w:val="20"/>
          <w:szCs w:val="20"/>
          <w:lang w:val="bg-BG" w:eastAsia="bg-BG"/>
        </w:rPr>
      </w:pPr>
      <w:r w:rsidRPr="00A65DB8">
        <w:rPr>
          <w:rFonts w:ascii="Verdana" w:eastAsia="Times New Roman" w:hAnsi="Verdana"/>
          <w:bCs/>
          <w:color w:val="0070C0"/>
          <w:sz w:val="20"/>
          <w:szCs w:val="20"/>
          <w:lang w:val="bg-BG" w:eastAsia="bg-BG"/>
        </w:rPr>
        <w:t>Структура на финансовата рамка по инвестиционни приоритети</w:t>
      </w:r>
      <w:r>
        <w:rPr>
          <w:rFonts w:ascii="Verdana" w:eastAsia="Times New Roman" w:hAnsi="Verdana"/>
          <w:bCs/>
          <w:color w:val="0070C0"/>
          <w:sz w:val="20"/>
          <w:szCs w:val="20"/>
          <w:lang w:val="bg-BG" w:eastAsia="bg-BG"/>
        </w:rPr>
        <w:t xml:space="preserve"> и с</w:t>
      </w:r>
      <w:r w:rsidRPr="00940625">
        <w:rPr>
          <w:rFonts w:ascii="Verdana" w:eastAsia="Times New Roman" w:hAnsi="Verdana"/>
          <w:bCs/>
          <w:color w:val="0070C0"/>
          <w:sz w:val="20"/>
          <w:szCs w:val="20"/>
          <w:lang w:val="bg-BG" w:eastAsia="bg-BG"/>
        </w:rPr>
        <w:t>равнение с финансиране на сходни дейности през</w:t>
      </w:r>
      <w:r>
        <w:rPr>
          <w:rFonts w:ascii="Verdana" w:eastAsia="Times New Roman" w:hAnsi="Verdana"/>
          <w:bCs/>
          <w:color w:val="0070C0"/>
          <w:sz w:val="20"/>
          <w:szCs w:val="20"/>
          <w:lang w:val="bg-BG" w:eastAsia="bg-BG"/>
        </w:rPr>
        <w:t xml:space="preserve"> програмния период 2007-2013 г.</w:t>
      </w:r>
    </w:p>
    <w:p w:rsidR="00AD796B" w:rsidRDefault="00AD796B" w:rsidP="00AD796B">
      <w:pPr>
        <w:tabs>
          <w:tab w:val="left" w:pos="0"/>
          <w:tab w:val="right" w:pos="9214"/>
        </w:tabs>
        <w:spacing w:after="120"/>
        <w:jc w:val="both"/>
        <w:rPr>
          <w:rFonts w:ascii="Verdana" w:eastAsia="Calibri" w:hAnsi="Verdana"/>
          <w:sz w:val="20"/>
          <w:szCs w:val="20"/>
        </w:rPr>
      </w:pPr>
      <w:r>
        <w:rPr>
          <w:rFonts w:ascii="Verdana" w:eastAsia="Calibri" w:hAnsi="Verdana"/>
          <w:sz w:val="20"/>
          <w:szCs w:val="20"/>
          <w:lang w:val="bg-BG"/>
        </w:rPr>
        <w:t xml:space="preserve">В програмния документ на ОПНОИР 2014-2020 г. е предвидено европейско финансиране от </w:t>
      </w:r>
      <w:r w:rsidRPr="00EE1268">
        <w:rPr>
          <w:rFonts w:ascii="Verdana" w:eastAsia="Calibri" w:hAnsi="Verdana"/>
          <w:sz w:val="20"/>
          <w:szCs w:val="20"/>
          <w:lang w:val="bg-BG"/>
        </w:rPr>
        <w:t>582</w:t>
      </w:r>
      <w:r>
        <w:rPr>
          <w:rFonts w:ascii="Verdana" w:eastAsia="Calibri" w:hAnsi="Verdana"/>
          <w:sz w:val="20"/>
          <w:szCs w:val="20"/>
          <w:lang w:val="bg-BG"/>
        </w:rPr>
        <w:t> </w:t>
      </w:r>
      <w:r w:rsidRPr="00EE1268">
        <w:rPr>
          <w:rFonts w:ascii="Verdana" w:eastAsia="Calibri" w:hAnsi="Verdana"/>
          <w:sz w:val="20"/>
          <w:szCs w:val="20"/>
          <w:lang w:val="bg-BG"/>
        </w:rPr>
        <w:t>760</w:t>
      </w:r>
      <w:r>
        <w:rPr>
          <w:rFonts w:ascii="Verdana" w:eastAsia="Calibri" w:hAnsi="Verdana"/>
          <w:sz w:val="20"/>
          <w:szCs w:val="20"/>
          <w:lang w:val="bg-BG"/>
        </w:rPr>
        <w:t> </w:t>
      </w:r>
      <w:r w:rsidRPr="00EE1268">
        <w:rPr>
          <w:rFonts w:ascii="Verdana" w:eastAsia="Calibri" w:hAnsi="Verdana"/>
          <w:sz w:val="20"/>
          <w:szCs w:val="20"/>
          <w:lang w:val="bg-BG"/>
        </w:rPr>
        <w:t>62</w:t>
      </w:r>
      <w:r>
        <w:rPr>
          <w:rFonts w:ascii="Verdana" w:eastAsia="Calibri" w:hAnsi="Verdana"/>
          <w:sz w:val="20"/>
          <w:szCs w:val="20"/>
          <w:lang w:val="bg-BG"/>
        </w:rPr>
        <w:t xml:space="preserve">2 евро, което, увеличено с 15% национално съфинансиране, се равнява на </w:t>
      </w:r>
      <w:r w:rsidRPr="00EE1268">
        <w:rPr>
          <w:rFonts w:ascii="Verdana" w:eastAsia="Calibri" w:hAnsi="Verdana"/>
          <w:sz w:val="20"/>
          <w:szCs w:val="20"/>
          <w:lang w:val="bg-BG"/>
        </w:rPr>
        <w:t>685</w:t>
      </w:r>
      <w:r>
        <w:rPr>
          <w:rFonts w:ascii="Verdana" w:eastAsia="Calibri" w:hAnsi="Verdana"/>
          <w:sz w:val="20"/>
          <w:szCs w:val="20"/>
          <w:lang w:val="bg-BG"/>
        </w:rPr>
        <w:t> </w:t>
      </w:r>
      <w:r w:rsidRPr="00EE1268">
        <w:rPr>
          <w:rFonts w:ascii="Verdana" w:eastAsia="Calibri" w:hAnsi="Verdana"/>
          <w:sz w:val="20"/>
          <w:szCs w:val="20"/>
          <w:lang w:val="bg-BG"/>
        </w:rPr>
        <w:t>600</w:t>
      </w:r>
      <w:r>
        <w:rPr>
          <w:rFonts w:ascii="Verdana" w:eastAsia="Calibri" w:hAnsi="Verdana"/>
          <w:sz w:val="20"/>
          <w:szCs w:val="20"/>
          <w:lang w:val="bg-BG"/>
        </w:rPr>
        <w:t xml:space="preserve"> </w:t>
      </w:r>
      <w:r w:rsidRPr="00EE1268">
        <w:rPr>
          <w:rFonts w:ascii="Verdana" w:eastAsia="Calibri" w:hAnsi="Verdana"/>
          <w:sz w:val="20"/>
          <w:szCs w:val="20"/>
          <w:lang w:val="bg-BG"/>
        </w:rPr>
        <w:t>73</w:t>
      </w:r>
      <w:r>
        <w:rPr>
          <w:rFonts w:ascii="Verdana" w:eastAsia="Calibri" w:hAnsi="Verdana"/>
          <w:sz w:val="20"/>
          <w:szCs w:val="20"/>
        </w:rPr>
        <w:t>1</w:t>
      </w:r>
      <w:r>
        <w:rPr>
          <w:rFonts w:ascii="Verdana" w:eastAsia="Calibri" w:hAnsi="Verdana"/>
          <w:sz w:val="20"/>
          <w:szCs w:val="20"/>
          <w:lang w:val="bg-BG"/>
        </w:rPr>
        <w:t xml:space="preserve"> евро общо финансиране по програмата. </w:t>
      </w:r>
    </w:p>
    <w:p w:rsidR="00AD796B" w:rsidRPr="002F203A" w:rsidRDefault="00AD796B" w:rsidP="00AD796B">
      <w:pPr>
        <w:tabs>
          <w:tab w:val="left" w:pos="0"/>
          <w:tab w:val="right" w:pos="9214"/>
        </w:tabs>
        <w:spacing w:after="120"/>
        <w:jc w:val="center"/>
        <w:rPr>
          <w:rFonts w:ascii="Verdana" w:eastAsia="Calibri" w:hAnsi="Verdana"/>
          <w:sz w:val="16"/>
          <w:szCs w:val="16"/>
        </w:rPr>
      </w:pPr>
      <w:r>
        <w:rPr>
          <w:rFonts w:ascii="Verdana" w:eastAsia="Times New Roman" w:hAnsi="Verdana"/>
          <w:b/>
          <w:bCs/>
          <w:i/>
          <w:noProof/>
          <w:color w:val="000000"/>
          <w:sz w:val="16"/>
          <w:szCs w:val="16"/>
          <w:lang w:val="bg-BG" w:eastAsia="bg-BG"/>
        </w:rPr>
        <w:drawing>
          <wp:inline distT="0" distB="0" distL="0" distR="0">
            <wp:extent cx="5661660" cy="2758440"/>
            <wp:effectExtent l="0" t="0" r="0" b="3810"/>
            <wp:docPr id="20" name="Picture 20" descr="OPNOIR_sha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OPNOIR_shares"/>
                    <pic:cNvPicPr>
                      <a:picLocks noChangeAspect="1" noChangeArrowheads="1"/>
                    </pic:cNvPicPr>
                  </pic:nvPicPr>
                  <pic:blipFill>
                    <a:blip r:embed="rId49">
                      <a:extLst>
                        <a:ext uri="{28A0092B-C50C-407E-A947-70E740481C1C}">
                          <a14:useLocalDpi xmlns:a14="http://schemas.microsoft.com/office/drawing/2010/main" val="0"/>
                        </a:ext>
                      </a:extLst>
                    </a:blip>
                    <a:srcRect l="1849" t="7240" b="10860"/>
                    <a:stretch>
                      <a:fillRect/>
                    </a:stretch>
                  </pic:blipFill>
                  <pic:spPr bwMode="auto">
                    <a:xfrm>
                      <a:off x="0" y="0"/>
                      <a:ext cx="5661660" cy="2758440"/>
                    </a:xfrm>
                    <a:prstGeom prst="rect">
                      <a:avLst/>
                    </a:prstGeom>
                    <a:noFill/>
                    <a:ln>
                      <a:noFill/>
                    </a:ln>
                  </pic:spPr>
                </pic:pic>
              </a:graphicData>
            </a:graphic>
          </wp:inline>
        </w:drawing>
      </w:r>
      <w:r w:rsidRPr="002F203A">
        <w:rPr>
          <w:rFonts w:ascii="Verdana" w:eastAsia="Times New Roman" w:hAnsi="Verdana"/>
          <w:b/>
          <w:bCs/>
          <w:i/>
          <w:color w:val="000000"/>
          <w:sz w:val="16"/>
          <w:szCs w:val="16"/>
          <w:lang w:val="bg-BG" w:eastAsia="bg-BG"/>
        </w:rPr>
        <w:t>Източник</w:t>
      </w:r>
      <w:r w:rsidRPr="002F203A">
        <w:rPr>
          <w:rFonts w:ascii="Verdana" w:eastAsia="Times New Roman" w:hAnsi="Verdana"/>
          <w:bCs/>
          <w:color w:val="000000"/>
          <w:sz w:val="16"/>
          <w:szCs w:val="16"/>
          <w:lang w:val="bg-BG" w:eastAsia="bg-BG"/>
        </w:rPr>
        <w:t>: Оперативна програма „Наука и образование за интелигентен растеж”, собствени изчисления</w:t>
      </w:r>
    </w:p>
    <w:p w:rsidR="00AD796B" w:rsidRPr="00417505" w:rsidRDefault="00AD796B" w:rsidP="00AD796B">
      <w:pPr>
        <w:jc w:val="center"/>
        <w:rPr>
          <w:rFonts w:ascii="Verdana" w:hAnsi="Verdana"/>
          <w:b/>
          <w:color w:val="548DD4" w:themeColor="text2" w:themeTint="99"/>
          <w:sz w:val="20"/>
          <w:szCs w:val="20"/>
          <w:lang w:val="bg-BG" w:eastAsia="cs-CZ"/>
        </w:rPr>
      </w:pPr>
      <w:bookmarkStart w:id="136" w:name="_Toc395609460"/>
      <w:r w:rsidRPr="00DD3A56">
        <w:rPr>
          <w:rFonts w:ascii="Verdana" w:hAnsi="Verdana"/>
          <w:b/>
          <w:color w:val="006CB6"/>
          <w:sz w:val="20"/>
          <w:szCs w:val="20"/>
          <w:lang w:val="bg-BG"/>
        </w:rPr>
        <w:t xml:space="preserve">Фигура </w:t>
      </w:r>
      <w:r w:rsidRPr="00AF42CF">
        <w:rPr>
          <w:rFonts w:ascii="Verdana" w:hAnsi="Verdana"/>
          <w:b/>
          <w:color w:val="006CB6"/>
          <w:sz w:val="20"/>
          <w:szCs w:val="20"/>
        </w:rPr>
        <w:fldChar w:fldCharType="begin"/>
      </w:r>
      <w:r w:rsidRPr="00AF42CF">
        <w:rPr>
          <w:rFonts w:ascii="Verdana" w:hAnsi="Verdana"/>
          <w:b/>
          <w:color w:val="006CB6"/>
          <w:sz w:val="20"/>
          <w:szCs w:val="20"/>
        </w:rPr>
        <w:instrText>SEQ</w:instrText>
      </w:r>
      <w:r w:rsidRPr="00DD3A56">
        <w:rPr>
          <w:rFonts w:ascii="Verdana" w:hAnsi="Verdana"/>
          <w:b/>
          <w:color w:val="006CB6"/>
          <w:sz w:val="20"/>
          <w:szCs w:val="20"/>
          <w:lang w:val="bg-BG"/>
        </w:rPr>
        <w:instrText xml:space="preserve"> Фигура \* </w:instrText>
      </w:r>
      <w:r w:rsidRPr="00AF42CF">
        <w:rPr>
          <w:rFonts w:ascii="Verdana" w:hAnsi="Verdana"/>
          <w:b/>
          <w:color w:val="006CB6"/>
          <w:sz w:val="20"/>
          <w:szCs w:val="20"/>
        </w:rPr>
        <w:instrText>ARABIC</w:instrText>
      </w:r>
      <w:r w:rsidRPr="00AF42CF">
        <w:rPr>
          <w:rFonts w:ascii="Verdana" w:hAnsi="Verdana"/>
          <w:b/>
          <w:color w:val="006CB6"/>
          <w:sz w:val="20"/>
          <w:szCs w:val="20"/>
        </w:rPr>
        <w:fldChar w:fldCharType="separate"/>
      </w:r>
      <w:r w:rsidR="001361E0">
        <w:rPr>
          <w:rFonts w:ascii="Verdana" w:hAnsi="Verdana"/>
          <w:b/>
          <w:noProof/>
          <w:color w:val="006CB6"/>
          <w:sz w:val="20"/>
          <w:szCs w:val="20"/>
        </w:rPr>
        <w:t>6</w:t>
      </w:r>
      <w:r w:rsidRPr="00AF42CF">
        <w:rPr>
          <w:rFonts w:ascii="Verdana" w:hAnsi="Verdana"/>
          <w:b/>
          <w:color w:val="006CB6"/>
          <w:sz w:val="20"/>
          <w:szCs w:val="20"/>
        </w:rPr>
        <w:fldChar w:fldCharType="end"/>
      </w:r>
      <w:r>
        <w:rPr>
          <w:rFonts w:ascii="Verdana" w:hAnsi="Verdana"/>
          <w:b/>
          <w:color w:val="006CB6"/>
          <w:sz w:val="20"/>
          <w:szCs w:val="20"/>
          <w:lang w:val="bg-BG"/>
        </w:rPr>
        <w:t>: Структура на бюджета на ОП НОИР 2014-2020 по приоритетни оси и по фондове</w:t>
      </w:r>
      <w:bookmarkEnd w:id="136"/>
    </w:p>
    <w:p w:rsidR="00AD796B" w:rsidRDefault="00AD796B" w:rsidP="00AD796B">
      <w:pPr>
        <w:tabs>
          <w:tab w:val="left" w:pos="0"/>
          <w:tab w:val="right" w:pos="9214"/>
        </w:tabs>
        <w:spacing w:after="120"/>
        <w:jc w:val="both"/>
        <w:rPr>
          <w:rFonts w:ascii="Verdana" w:eastAsia="Calibri" w:hAnsi="Verdana"/>
          <w:sz w:val="20"/>
          <w:szCs w:val="20"/>
          <w:lang w:val="bg-BG"/>
        </w:rPr>
      </w:pPr>
      <w:bookmarkStart w:id="137" w:name="_Toc373747273"/>
      <w:bookmarkStart w:id="138" w:name="_Toc381712211"/>
      <w:r>
        <w:rPr>
          <w:rFonts w:ascii="Verdana" w:eastAsia="Calibri" w:hAnsi="Verdana"/>
          <w:sz w:val="20"/>
          <w:szCs w:val="20"/>
          <w:lang w:val="bg-BG"/>
        </w:rPr>
        <w:t xml:space="preserve">Бюджетът на ОПНОИР, най-общо казано, е разпределен между образование и учене през целия живот, включително и приобщаване към образованието (ПО 2 и ПО 3) и научни изследвания и технологично развитие (ПО 1), като общият ресурс за образование малко надвишава този за научни изследвания и иновации. За техническа помощ са заделени </w:t>
      </w:r>
      <w:r>
        <w:rPr>
          <w:rFonts w:ascii="Verdana" w:eastAsia="Calibri" w:hAnsi="Verdana"/>
          <w:sz w:val="20"/>
          <w:szCs w:val="20"/>
        </w:rPr>
        <w:t>4.1</w:t>
      </w:r>
      <w:r>
        <w:rPr>
          <w:rFonts w:ascii="Verdana" w:eastAsia="Calibri" w:hAnsi="Verdana"/>
          <w:sz w:val="20"/>
          <w:szCs w:val="20"/>
          <w:lang w:val="bg-BG"/>
        </w:rPr>
        <w:t xml:space="preserve">% от финансовия ресурс по програмата. </w:t>
      </w:r>
      <w:r w:rsidRPr="00D24790">
        <w:rPr>
          <w:rFonts w:ascii="Verdana" w:eastAsia="Calibri" w:hAnsi="Verdana"/>
          <w:sz w:val="20"/>
          <w:szCs w:val="20"/>
          <w:lang w:val="bg-BG"/>
        </w:rPr>
        <w:t xml:space="preserve">По отношение на техническата помощ в настоящия вариант на ОП НОИР са направени две важни промени спрямо предишните версии – осигурено е финансиране за техническа помощ и по ЕСФ и по ЕФРР и така общата сума по </w:t>
      </w:r>
      <w:proofErr w:type="spellStart"/>
      <w:r w:rsidRPr="00D24790">
        <w:rPr>
          <w:rFonts w:ascii="Verdana" w:eastAsia="Calibri" w:hAnsi="Verdana"/>
          <w:sz w:val="20"/>
          <w:szCs w:val="20"/>
          <w:lang w:val="bg-BG"/>
        </w:rPr>
        <w:t>ПО</w:t>
      </w:r>
      <w:proofErr w:type="spellEnd"/>
      <w:r w:rsidRPr="00D24790">
        <w:rPr>
          <w:rFonts w:ascii="Verdana" w:eastAsia="Calibri" w:hAnsi="Verdana"/>
          <w:sz w:val="20"/>
          <w:szCs w:val="20"/>
          <w:lang w:val="bg-BG"/>
        </w:rPr>
        <w:t xml:space="preserve"> 4 е увеличена. Оценителят подкрепя тази промяна, дори и надминаването на 4%-та граница за техническа помощ на ниво отделни фондове, с оглед на факта, че ОП НОИР е новосформирана оперативна програма и, тъй като общият й бюджет не е много </w:t>
      </w:r>
      <w:r w:rsidRPr="00D24790">
        <w:rPr>
          <w:rFonts w:ascii="Verdana" w:eastAsia="Calibri" w:hAnsi="Verdana"/>
          <w:sz w:val="20"/>
          <w:szCs w:val="20"/>
          <w:lang w:val="bg-BG"/>
        </w:rPr>
        <w:lastRenderedPageBreak/>
        <w:t>висок, има нужда от по-висок дял на техническата помощ в него, за да се осигури успешното програмиране, изпълнение и мониторинг на програмата.</w:t>
      </w:r>
    </w:p>
    <w:p w:rsidR="00AD796B" w:rsidRDefault="00AD796B" w:rsidP="00AD796B">
      <w:pPr>
        <w:tabs>
          <w:tab w:val="left" w:pos="0"/>
          <w:tab w:val="right" w:pos="9214"/>
        </w:tabs>
        <w:spacing w:after="120"/>
        <w:jc w:val="both"/>
        <w:rPr>
          <w:rFonts w:ascii="Verdana" w:eastAsia="Calibri" w:hAnsi="Verdana"/>
          <w:sz w:val="20"/>
          <w:szCs w:val="20"/>
          <w:lang w:val="bg-BG"/>
        </w:rPr>
      </w:pPr>
      <w:r>
        <w:rPr>
          <w:rFonts w:ascii="Verdana" w:eastAsia="Calibri" w:hAnsi="Verdana"/>
          <w:sz w:val="20"/>
          <w:szCs w:val="20"/>
          <w:lang w:val="bg-BG"/>
        </w:rPr>
        <w:t xml:space="preserve">По </w:t>
      </w:r>
      <w:r w:rsidRPr="0022413E">
        <w:rPr>
          <w:rFonts w:ascii="Verdana" w:eastAsia="Calibri" w:hAnsi="Verdana"/>
          <w:color w:val="548DD4" w:themeColor="text2" w:themeTint="99"/>
          <w:sz w:val="20"/>
          <w:szCs w:val="20"/>
          <w:lang w:val="bg-BG"/>
        </w:rPr>
        <w:t xml:space="preserve">първата приоритетна ос </w:t>
      </w:r>
      <w:r>
        <w:rPr>
          <w:rFonts w:ascii="Verdana" w:eastAsia="Calibri" w:hAnsi="Verdana"/>
          <w:sz w:val="20"/>
          <w:szCs w:val="20"/>
          <w:lang w:val="bg-BG"/>
        </w:rPr>
        <w:t>ще се подкрепят основно инвестиции за модернизиране на научната инфраструктура, основно центрове за компетенции и центрове за върхови постижения и лаборатории. Ще бъде обърнато специално внимание на финансирането на приложни изследвания. От сравнителната таблица по-долу, се вижда, че за този тип инвестиции, през периода 2014-2020 г. са предвидени 6 пъти по-голям ресурс в номинално изражение, което е в пряка връзка с целите на стратегията „Европа 2020” за интелигентен растеж и с значимостта на предизвикателството за постигане на целта за разходи за научно-изследователска и развойна дейност в размер на 1.5% от БВП през 2020 г.</w:t>
      </w:r>
    </w:p>
    <w:p w:rsidR="00390DD1" w:rsidRDefault="00390DD1" w:rsidP="00AD796B">
      <w:pPr>
        <w:tabs>
          <w:tab w:val="left" w:pos="0"/>
          <w:tab w:val="right" w:pos="9214"/>
        </w:tabs>
        <w:spacing w:after="120"/>
        <w:jc w:val="both"/>
        <w:rPr>
          <w:rFonts w:ascii="Verdana" w:eastAsia="Calibri" w:hAnsi="Verdana"/>
          <w:sz w:val="20"/>
          <w:szCs w:val="20"/>
          <w:lang w:val="bg-BG"/>
        </w:rPr>
      </w:pPr>
    </w:p>
    <w:p w:rsidR="00AD796B" w:rsidRPr="00F12AE3" w:rsidRDefault="00AD796B" w:rsidP="00AD796B">
      <w:pPr>
        <w:pStyle w:val="Caption"/>
        <w:rPr>
          <w:rFonts w:ascii="Verdana" w:hAnsi="Verdana"/>
          <w:color w:val="548DD4" w:themeColor="text2" w:themeTint="99"/>
        </w:rPr>
      </w:pPr>
      <w:bookmarkStart w:id="139" w:name="_Toc390257092"/>
      <w:bookmarkStart w:id="140" w:name="_Toc395612594"/>
      <w:r w:rsidRPr="00173D95">
        <w:rPr>
          <w:rFonts w:ascii="Verdana" w:hAnsi="Verdana"/>
          <w:color w:val="548DD4" w:themeColor="text2" w:themeTint="99"/>
        </w:rPr>
        <w:t xml:space="preserve">Таблица </w:t>
      </w:r>
      <w:r w:rsidRPr="00173D95">
        <w:rPr>
          <w:rFonts w:ascii="Verdana" w:hAnsi="Verdana"/>
          <w:color w:val="548DD4" w:themeColor="text2" w:themeTint="99"/>
        </w:rPr>
        <w:fldChar w:fldCharType="begin"/>
      </w:r>
      <w:r w:rsidRPr="00173D95">
        <w:rPr>
          <w:rFonts w:ascii="Verdana" w:hAnsi="Verdana"/>
          <w:color w:val="548DD4" w:themeColor="text2" w:themeTint="99"/>
        </w:rPr>
        <w:instrText xml:space="preserve"> SEQ таблица \* ARABIC </w:instrText>
      </w:r>
      <w:r w:rsidRPr="00173D95">
        <w:rPr>
          <w:rFonts w:ascii="Verdana" w:hAnsi="Verdana"/>
          <w:color w:val="548DD4" w:themeColor="text2" w:themeTint="99"/>
        </w:rPr>
        <w:fldChar w:fldCharType="separate"/>
      </w:r>
      <w:r w:rsidR="001361E0">
        <w:rPr>
          <w:rFonts w:ascii="Verdana" w:hAnsi="Verdana"/>
          <w:noProof/>
          <w:color w:val="548DD4" w:themeColor="text2" w:themeTint="99"/>
        </w:rPr>
        <w:t>38</w:t>
      </w:r>
      <w:r w:rsidRPr="00173D95">
        <w:rPr>
          <w:rFonts w:ascii="Verdana" w:hAnsi="Verdana"/>
          <w:color w:val="548DD4" w:themeColor="text2" w:themeTint="99"/>
        </w:rPr>
        <w:fldChar w:fldCharType="end"/>
      </w:r>
      <w:r w:rsidRPr="00173D95">
        <w:rPr>
          <w:rFonts w:ascii="Verdana" w:hAnsi="Verdana"/>
          <w:color w:val="548DD4" w:themeColor="text2" w:themeTint="99"/>
        </w:rPr>
        <w:t>. Сравнение на бюджета на ОП</w:t>
      </w:r>
      <w:r>
        <w:rPr>
          <w:rFonts w:ascii="Verdana" w:hAnsi="Verdana"/>
          <w:color w:val="548DD4" w:themeColor="text2" w:themeTint="99"/>
        </w:rPr>
        <w:t>НОИР</w:t>
      </w:r>
      <w:r w:rsidRPr="00173D95">
        <w:rPr>
          <w:rFonts w:ascii="Verdana" w:hAnsi="Verdana"/>
          <w:color w:val="548DD4" w:themeColor="text2" w:themeTint="99"/>
        </w:rPr>
        <w:t xml:space="preserve"> 2014-2020 г. спрямо този </w:t>
      </w:r>
      <w:r>
        <w:rPr>
          <w:rFonts w:ascii="Verdana" w:hAnsi="Verdana"/>
          <w:color w:val="548DD4" w:themeColor="text2" w:themeTint="99"/>
        </w:rPr>
        <w:t xml:space="preserve">за сходни дейности през програмния период 2007-2013 г. </w:t>
      </w:r>
      <w:r w:rsidRPr="00173D95">
        <w:rPr>
          <w:rFonts w:ascii="Verdana" w:hAnsi="Verdana"/>
          <w:color w:val="548DD4" w:themeColor="text2" w:themeTint="99"/>
        </w:rPr>
        <w:t>по приоритетни оси</w:t>
      </w:r>
      <w:bookmarkEnd w:id="137"/>
      <w:bookmarkEnd w:id="138"/>
      <w:bookmarkEnd w:id="139"/>
      <w:bookmarkEnd w:id="140"/>
    </w:p>
    <w:tbl>
      <w:tblPr>
        <w:tblW w:w="5757" w:type="pct"/>
        <w:tblInd w:w="-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72"/>
        <w:gridCol w:w="708"/>
        <w:gridCol w:w="1134"/>
        <w:gridCol w:w="1134"/>
        <w:gridCol w:w="1134"/>
        <w:gridCol w:w="1134"/>
        <w:gridCol w:w="1220"/>
        <w:gridCol w:w="1042"/>
      </w:tblGrid>
      <w:tr w:rsidR="00AD796B" w:rsidRPr="008C6702" w:rsidTr="004020E1">
        <w:trPr>
          <w:trHeight w:val="545"/>
        </w:trPr>
        <w:tc>
          <w:tcPr>
            <w:tcW w:w="1418" w:type="pct"/>
            <w:shd w:val="clear" w:color="auto" w:fill="auto"/>
            <w:noWrap/>
            <w:vAlign w:val="center"/>
            <w:hideMark/>
          </w:tcPr>
          <w:p w:rsidR="00AD796B" w:rsidRPr="00FE5A49" w:rsidRDefault="00AD796B" w:rsidP="004020E1">
            <w:pPr>
              <w:spacing w:after="0"/>
              <w:rPr>
                <w:rFonts w:ascii="Verdana" w:hAnsi="Verdana"/>
                <w:color w:val="000000"/>
                <w:sz w:val="16"/>
                <w:szCs w:val="16"/>
                <w:lang w:val="bg-BG"/>
              </w:rPr>
            </w:pPr>
            <w:r w:rsidRPr="00FE5A49">
              <w:rPr>
                <w:rFonts w:ascii="Verdana" w:hAnsi="Verdana"/>
                <w:color w:val="000000"/>
                <w:sz w:val="16"/>
                <w:szCs w:val="16"/>
                <w:lang w:val="bg-BG"/>
              </w:rPr>
              <w:t> </w:t>
            </w:r>
          </w:p>
        </w:tc>
        <w:tc>
          <w:tcPr>
            <w:tcW w:w="338" w:type="pct"/>
            <w:vMerge w:val="restart"/>
            <w:shd w:val="clear" w:color="auto" w:fill="auto"/>
            <w:noWrap/>
            <w:vAlign w:val="center"/>
            <w:hideMark/>
          </w:tcPr>
          <w:p w:rsidR="00AD796B" w:rsidRPr="00FE5A49" w:rsidRDefault="00AD796B" w:rsidP="004020E1">
            <w:pPr>
              <w:spacing w:after="0"/>
              <w:jc w:val="right"/>
              <w:rPr>
                <w:rFonts w:ascii="Verdana" w:hAnsi="Verdana"/>
                <w:b/>
                <w:bCs/>
                <w:color w:val="000000"/>
                <w:sz w:val="16"/>
                <w:szCs w:val="16"/>
                <w:lang w:val="bg-BG"/>
              </w:rPr>
            </w:pPr>
            <w:r w:rsidRPr="00FE5A49">
              <w:rPr>
                <w:rFonts w:ascii="Verdana" w:hAnsi="Verdana"/>
                <w:b/>
                <w:bCs/>
                <w:color w:val="000000"/>
                <w:sz w:val="16"/>
                <w:szCs w:val="16"/>
                <w:lang w:val="bg-BG"/>
              </w:rPr>
              <w:t>Фонд*</w:t>
            </w:r>
          </w:p>
        </w:tc>
        <w:tc>
          <w:tcPr>
            <w:tcW w:w="1082" w:type="pct"/>
            <w:gridSpan w:val="2"/>
            <w:shd w:val="clear" w:color="auto" w:fill="auto"/>
            <w:noWrap/>
            <w:vAlign w:val="center"/>
            <w:hideMark/>
          </w:tcPr>
          <w:p w:rsidR="00AD796B" w:rsidRPr="00FE5A49" w:rsidRDefault="00AD796B" w:rsidP="004020E1">
            <w:pPr>
              <w:spacing w:after="0"/>
              <w:jc w:val="right"/>
              <w:rPr>
                <w:rFonts w:ascii="Verdana" w:hAnsi="Verdana"/>
                <w:b/>
                <w:bCs/>
                <w:color w:val="000000"/>
                <w:sz w:val="16"/>
                <w:szCs w:val="16"/>
                <w:lang w:val="bg-BG"/>
              </w:rPr>
            </w:pPr>
            <w:r w:rsidRPr="00FE5A49">
              <w:rPr>
                <w:rFonts w:ascii="Verdana" w:hAnsi="Verdana"/>
                <w:b/>
                <w:bCs/>
                <w:color w:val="000000"/>
                <w:sz w:val="16"/>
                <w:szCs w:val="16"/>
                <w:lang w:val="bg-BG"/>
              </w:rPr>
              <w:t>Бюджетни ангажименти</w:t>
            </w:r>
          </w:p>
        </w:tc>
        <w:tc>
          <w:tcPr>
            <w:tcW w:w="1082" w:type="pct"/>
            <w:gridSpan w:val="2"/>
            <w:shd w:val="clear" w:color="auto" w:fill="auto"/>
            <w:noWrap/>
            <w:vAlign w:val="center"/>
            <w:hideMark/>
          </w:tcPr>
          <w:p w:rsidR="00AD796B" w:rsidRPr="00FE5A49" w:rsidRDefault="00AD796B" w:rsidP="004020E1">
            <w:pPr>
              <w:spacing w:after="0"/>
              <w:jc w:val="right"/>
              <w:rPr>
                <w:rFonts w:ascii="Verdana" w:hAnsi="Verdana"/>
                <w:b/>
                <w:bCs/>
                <w:color w:val="000000"/>
                <w:sz w:val="16"/>
                <w:szCs w:val="16"/>
                <w:lang w:val="bg-BG"/>
              </w:rPr>
            </w:pPr>
            <w:r w:rsidRPr="00FE5A49">
              <w:rPr>
                <w:rFonts w:ascii="Verdana" w:hAnsi="Verdana"/>
                <w:b/>
                <w:bCs/>
                <w:color w:val="000000"/>
                <w:sz w:val="16"/>
                <w:szCs w:val="16"/>
                <w:lang w:val="bg-BG"/>
              </w:rPr>
              <w:t>% общия бюджет</w:t>
            </w:r>
          </w:p>
        </w:tc>
        <w:tc>
          <w:tcPr>
            <w:tcW w:w="1079" w:type="pct"/>
            <w:gridSpan w:val="2"/>
            <w:shd w:val="clear" w:color="auto" w:fill="auto"/>
            <w:vAlign w:val="center"/>
            <w:hideMark/>
          </w:tcPr>
          <w:p w:rsidR="00AD796B" w:rsidRPr="00FE5A49" w:rsidRDefault="00AD796B" w:rsidP="004020E1">
            <w:pPr>
              <w:spacing w:after="0"/>
              <w:jc w:val="right"/>
              <w:rPr>
                <w:rFonts w:ascii="Verdana" w:hAnsi="Verdana"/>
                <w:b/>
                <w:bCs/>
                <w:color w:val="000000"/>
                <w:sz w:val="16"/>
                <w:szCs w:val="16"/>
                <w:lang w:val="bg-BG"/>
              </w:rPr>
            </w:pPr>
            <w:r w:rsidRPr="00FE5A49">
              <w:rPr>
                <w:rFonts w:ascii="Verdana" w:hAnsi="Verdana"/>
                <w:b/>
                <w:bCs/>
                <w:color w:val="000000"/>
                <w:sz w:val="16"/>
                <w:szCs w:val="16"/>
                <w:lang w:val="bg-BG"/>
              </w:rPr>
              <w:t>Процентна разлика спрямо 2007-2013</w:t>
            </w:r>
          </w:p>
        </w:tc>
      </w:tr>
      <w:tr w:rsidR="00AD796B" w:rsidRPr="008C6702" w:rsidTr="004020E1">
        <w:trPr>
          <w:trHeight w:val="739"/>
        </w:trPr>
        <w:tc>
          <w:tcPr>
            <w:tcW w:w="1418" w:type="pct"/>
            <w:shd w:val="clear" w:color="auto" w:fill="auto"/>
            <w:noWrap/>
            <w:vAlign w:val="center"/>
            <w:hideMark/>
          </w:tcPr>
          <w:p w:rsidR="00AD796B" w:rsidRPr="00FE5A49" w:rsidRDefault="00AD796B" w:rsidP="004020E1">
            <w:pPr>
              <w:spacing w:after="0"/>
              <w:rPr>
                <w:rFonts w:ascii="Verdana" w:hAnsi="Verdana"/>
                <w:b/>
                <w:bCs/>
                <w:color w:val="000000"/>
                <w:sz w:val="16"/>
                <w:szCs w:val="16"/>
                <w:lang w:val="bg-BG"/>
              </w:rPr>
            </w:pPr>
            <w:r w:rsidRPr="00FE5A49">
              <w:rPr>
                <w:rFonts w:ascii="Verdana" w:hAnsi="Verdana"/>
                <w:b/>
                <w:bCs/>
                <w:color w:val="000000"/>
                <w:sz w:val="16"/>
                <w:szCs w:val="16"/>
                <w:lang w:val="bg-BG"/>
              </w:rPr>
              <w:t> </w:t>
            </w:r>
          </w:p>
        </w:tc>
        <w:tc>
          <w:tcPr>
            <w:tcW w:w="338" w:type="pct"/>
            <w:vMerge/>
            <w:vAlign w:val="center"/>
            <w:hideMark/>
          </w:tcPr>
          <w:p w:rsidR="00AD796B" w:rsidRPr="00FE5A49" w:rsidRDefault="00AD796B" w:rsidP="004020E1">
            <w:pPr>
              <w:spacing w:after="0"/>
              <w:jc w:val="right"/>
              <w:rPr>
                <w:rFonts w:ascii="Verdana" w:hAnsi="Verdana"/>
                <w:b/>
                <w:bCs/>
                <w:color w:val="000000"/>
                <w:sz w:val="16"/>
                <w:szCs w:val="16"/>
                <w:lang w:val="bg-BG"/>
              </w:rPr>
            </w:pPr>
          </w:p>
        </w:tc>
        <w:tc>
          <w:tcPr>
            <w:tcW w:w="541" w:type="pct"/>
            <w:shd w:val="clear" w:color="auto" w:fill="auto"/>
            <w:vAlign w:val="center"/>
            <w:hideMark/>
          </w:tcPr>
          <w:p w:rsidR="00AD796B" w:rsidRPr="00FE5A49" w:rsidRDefault="00AD796B" w:rsidP="004020E1">
            <w:pPr>
              <w:spacing w:after="0"/>
              <w:jc w:val="right"/>
              <w:rPr>
                <w:rFonts w:ascii="Verdana" w:hAnsi="Verdana"/>
                <w:b/>
                <w:bCs/>
                <w:color w:val="000000"/>
                <w:sz w:val="16"/>
                <w:szCs w:val="16"/>
                <w:lang w:val="bg-BG"/>
              </w:rPr>
            </w:pPr>
            <w:r w:rsidRPr="00FE5A49">
              <w:rPr>
                <w:rFonts w:ascii="Verdana" w:hAnsi="Verdana"/>
                <w:b/>
                <w:bCs/>
                <w:color w:val="000000"/>
                <w:sz w:val="16"/>
                <w:szCs w:val="16"/>
                <w:lang w:val="bg-BG"/>
              </w:rPr>
              <w:t>2014-2020</w:t>
            </w:r>
          </w:p>
        </w:tc>
        <w:tc>
          <w:tcPr>
            <w:tcW w:w="541" w:type="pct"/>
            <w:shd w:val="clear" w:color="auto" w:fill="auto"/>
            <w:vAlign w:val="center"/>
            <w:hideMark/>
          </w:tcPr>
          <w:p w:rsidR="00AD796B" w:rsidRPr="00FE5A49" w:rsidRDefault="00AD796B" w:rsidP="004020E1">
            <w:pPr>
              <w:spacing w:after="0"/>
              <w:jc w:val="right"/>
              <w:rPr>
                <w:rFonts w:ascii="Verdana" w:hAnsi="Verdana"/>
                <w:b/>
                <w:bCs/>
                <w:color w:val="000000"/>
                <w:sz w:val="16"/>
                <w:szCs w:val="16"/>
                <w:lang w:val="bg-BG"/>
              </w:rPr>
            </w:pPr>
            <w:r w:rsidRPr="00FE5A49">
              <w:rPr>
                <w:rFonts w:ascii="Verdana" w:hAnsi="Verdana"/>
                <w:b/>
                <w:bCs/>
                <w:color w:val="000000"/>
                <w:sz w:val="16"/>
                <w:szCs w:val="16"/>
                <w:lang w:val="bg-BG"/>
              </w:rPr>
              <w:t>2007-2013</w:t>
            </w:r>
          </w:p>
        </w:tc>
        <w:tc>
          <w:tcPr>
            <w:tcW w:w="541" w:type="pct"/>
            <w:shd w:val="clear" w:color="auto" w:fill="auto"/>
            <w:vAlign w:val="center"/>
            <w:hideMark/>
          </w:tcPr>
          <w:p w:rsidR="00AD796B" w:rsidRPr="00FE5A49" w:rsidRDefault="00AD796B" w:rsidP="004020E1">
            <w:pPr>
              <w:spacing w:after="0"/>
              <w:jc w:val="right"/>
              <w:rPr>
                <w:rFonts w:ascii="Verdana" w:hAnsi="Verdana"/>
                <w:b/>
                <w:bCs/>
                <w:color w:val="000000"/>
                <w:sz w:val="16"/>
                <w:szCs w:val="16"/>
                <w:lang w:val="bg-BG"/>
              </w:rPr>
            </w:pPr>
            <w:r w:rsidRPr="00FE5A49">
              <w:rPr>
                <w:rFonts w:ascii="Verdana" w:hAnsi="Verdana"/>
                <w:b/>
                <w:bCs/>
                <w:color w:val="000000"/>
                <w:sz w:val="16"/>
                <w:szCs w:val="16"/>
                <w:lang w:val="bg-BG"/>
              </w:rPr>
              <w:t>ОП НОИР 2014-2020</w:t>
            </w:r>
          </w:p>
        </w:tc>
        <w:tc>
          <w:tcPr>
            <w:tcW w:w="541" w:type="pct"/>
            <w:shd w:val="clear" w:color="auto" w:fill="auto"/>
            <w:vAlign w:val="center"/>
            <w:hideMark/>
          </w:tcPr>
          <w:p w:rsidR="00AD796B" w:rsidRPr="00FE5A49" w:rsidRDefault="00AD796B" w:rsidP="004020E1">
            <w:pPr>
              <w:spacing w:after="0"/>
              <w:jc w:val="right"/>
              <w:rPr>
                <w:rFonts w:ascii="Verdana" w:hAnsi="Verdana"/>
                <w:b/>
                <w:bCs/>
                <w:color w:val="000000"/>
                <w:sz w:val="16"/>
                <w:szCs w:val="16"/>
                <w:lang w:val="bg-BG"/>
              </w:rPr>
            </w:pPr>
            <w:r w:rsidRPr="00FE5A49">
              <w:rPr>
                <w:rFonts w:ascii="Verdana" w:hAnsi="Verdana"/>
                <w:b/>
                <w:bCs/>
                <w:color w:val="000000"/>
                <w:sz w:val="16"/>
                <w:szCs w:val="16"/>
                <w:lang w:val="bg-BG"/>
              </w:rPr>
              <w:t>сходни дейности 2007-2013</w:t>
            </w:r>
          </w:p>
        </w:tc>
        <w:tc>
          <w:tcPr>
            <w:tcW w:w="582" w:type="pct"/>
            <w:shd w:val="clear" w:color="auto" w:fill="auto"/>
            <w:vAlign w:val="center"/>
            <w:hideMark/>
          </w:tcPr>
          <w:p w:rsidR="00AD796B" w:rsidRPr="00FE5A49" w:rsidRDefault="00AD796B" w:rsidP="004020E1">
            <w:pPr>
              <w:spacing w:after="0"/>
              <w:jc w:val="right"/>
              <w:rPr>
                <w:rFonts w:ascii="Verdana" w:hAnsi="Verdana"/>
                <w:b/>
                <w:bCs/>
                <w:color w:val="000000"/>
                <w:sz w:val="16"/>
                <w:szCs w:val="16"/>
                <w:lang w:val="bg-BG"/>
              </w:rPr>
            </w:pPr>
            <w:r w:rsidRPr="00FE5A49">
              <w:rPr>
                <w:rFonts w:ascii="Verdana" w:hAnsi="Verdana"/>
                <w:b/>
                <w:bCs/>
                <w:color w:val="000000"/>
                <w:sz w:val="16"/>
                <w:szCs w:val="16"/>
                <w:lang w:val="bg-BG"/>
              </w:rPr>
              <w:t>в номинално изражение</w:t>
            </w:r>
          </w:p>
        </w:tc>
        <w:tc>
          <w:tcPr>
            <w:tcW w:w="497" w:type="pct"/>
            <w:shd w:val="clear" w:color="auto" w:fill="auto"/>
            <w:vAlign w:val="center"/>
            <w:hideMark/>
          </w:tcPr>
          <w:p w:rsidR="00AD796B" w:rsidRPr="00FE5A49" w:rsidRDefault="00AD796B" w:rsidP="004020E1">
            <w:pPr>
              <w:spacing w:after="0"/>
              <w:jc w:val="right"/>
              <w:rPr>
                <w:rFonts w:ascii="Verdana" w:hAnsi="Verdana"/>
                <w:b/>
                <w:bCs/>
                <w:color w:val="000000"/>
                <w:sz w:val="16"/>
                <w:szCs w:val="16"/>
                <w:lang w:val="bg-BG"/>
              </w:rPr>
            </w:pPr>
            <w:r w:rsidRPr="00FE5A49">
              <w:rPr>
                <w:rFonts w:ascii="Verdana" w:hAnsi="Verdana"/>
                <w:b/>
                <w:bCs/>
                <w:color w:val="000000"/>
                <w:sz w:val="16"/>
                <w:szCs w:val="16"/>
                <w:lang w:val="bg-BG"/>
              </w:rPr>
              <w:t>в реално изражение</w:t>
            </w:r>
          </w:p>
        </w:tc>
      </w:tr>
      <w:tr w:rsidR="00AD796B" w:rsidRPr="008C6702" w:rsidTr="004020E1">
        <w:trPr>
          <w:trHeight w:val="276"/>
        </w:trPr>
        <w:tc>
          <w:tcPr>
            <w:tcW w:w="1418" w:type="pct"/>
            <w:shd w:val="clear" w:color="auto" w:fill="auto"/>
            <w:vAlign w:val="center"/>
            <w:hideMark/>
          </w:tcPr>
          <w:p w:rsidR="00AD796B" w:rsidRPr="00FE5A49" w:rsidRDefault="00AD796B" w:rsidP="004020E1">
            <w:pPr>
              <w:spacing w:after="0"/>
              <w:rPr>
                <w:rFonts w:ascii="Verdana" w:hAnsi="Verdana"/>
                <w:b/>
                <w:bCs/>
                <w:color w:val="000000"/>
                <w:sz w:val="16"/>
                <w:szCs w:val="16"/>
                <w:lang w:val="bg-BG"/>
              </w:rPr>
            </w:pPr>
            <w:r w:rsidRPr="00FE5A49">
              <w:rPr>
                <w:rFonts w:ascii="Verdana" w:hAnsi="Verdana"/>
                <w:b/>
                <w:bCs/>
                <w:color w:val="000000"/>
                <w:sz w:val="16"/>
                <w:szCs w:val="16"/>
                <w:lang w:val="bg-BG"/>
              </w:rPr>
              <w:t>ПО 1: Научни изследвания и технологично развитие</w:t>
            </w:r>
          </w:p>
        </w:tc>
        <w:tc>
          <w:tcPr>
            <w:tcW w:w="338" w:type="pct"/>
            <w:shd w:val="clear" w:color="auto" w:fill="auto"/>
            <w:noWrap/>
            <w:vAlign w:val="center"/>
            <w:hideMark/>
          </w:tcPr>
          <w:p w:rsidR="00AD796B" w:rsidRPr="00FE5A49" w:rsidRDefault="00AD796B" w:rsidP="004020E1">
            <w:pPr>
              <w:spacing w:after="0"/>
              <w:jc w:val="right"/>
              <w:rPr>
                <w:rFonts w:ascii="Verdana" w:hAnsi="Verdana"/>
                <w:color w:val="000000"/>
                <w:sz w:val="16"/>
                <w:szCs w:val="16"/>
                <w:lang w:val="bg-BG"/>
              </w:rPr>
            </w:pPr>
            <w:r w:rsidRPr="00FE5A49">
              <w:rPr>
                <w:rFonts w:ascii="Verdana" w:hAnsi="Verdana"/>
                <w:color w:val="000000"/>
                <w:sz w:val="16"/>
                <w:szCs w:val="16"/>
                <w:lang w:val="bg-BG"/>
              </w:rPr>
              <w:t>ЕФРР</w:t>
            </w:r>
          </w:p>
        </w:tc>
        <w:tc>
          <w:tcPr>
            <w:tcW w:w="541" w:type="pct"/>
            <w:shd w:val="clear" w:color="auto" w:fill="auto"/>
            <w:noWrap/>
            <w:vAlign w:val="center"/>
            <w:hideMark/>
          </w:tcPr>
          <w:p w:rsidR="00AD796B" w:rsidRPr="006C3B9C" w:rsidRDefault="00AD796B" w:rsidP="004020E1">
            <w:pPr>
              <w:spacing w:after="0"/>
              <w:jc w:val="right"/>
              <w:rPr>
                <w:rFonts w:ascii="Verdana" w:hAnsi="Verdana"/>
                <w:color w:val="000000"/>
                <w:sz w:val="16"/>
                <w:szCs w:val="16"/>
                <w:lang w:val="bg-BG"/>
              </w:rPr>
            </w:pPr>
            <w:r w:rsidRPr="00843FD1">
              <w:rPr>
                <w:rFonts w:ascii="Verdana" w:hAnsi="Verdana"/>
                <w:color w:val="000000"/>
                <w:sz w:val="16"/>
                <w:szCs w:val="16"/>
              </w:rPr>
              <w:t>241 373 557</w:t>
            </w:r>
          </w:p>
        </w:tc>
        <w:tc>
          <w:tcPr>
            <w:tcW w:w="541" w:type="pct"/>
            <w:shd w:val="clear" w:color="auto" w:fill="auto"/>
            <w:noWrap/>
            <w:vAlign w:val="center"/>
            <w:hideMark/>
          </w:tcPr>
          <w:p w:rsidR="00AD796B" w:rsidRPr="006C3B9C" w:rsidRDefault="00AD796B" w:rsidP="004020E1">
            <w:pPr>
              <w:spacing w:after="0"/>
              <w:jc w:val="right"/>
              <w:rPr>
                <w:rFonts w:ascii="Verdana" w:hAnsi="Verdana"/>
                <w:color w:val="FF0000"/>
                <w:sz w:val="16"/>
                <w:szCs w:val="16"/>
                <w:lang w:val="bg-BG"/>
              </w:rPr>
            </w:pPr>
            <w:r w:rsidRPr="00843FD1">
              <w:rPr>
                <w:rFonts w:ascii="Verdana" w:hAnsi="Verdana"/>
                <w:sz w:val="16"/>
                <w:szCs w:val="16"/>
              </w:rPr>
              <w:t>35 251 901</w:t>
            </w:r>
          </w:p>
        </w:tc>
        <w:tc>
          <w:tcPr>
            <w:tcW w:w="541" w:type="pct"/>
            <w:shd w:val="clear" w:color="auto" w:fill="auto"/>
            <w:noWrap/>
            <w:vAlign w:val="center"/>
            <w:hideMark/>
          </w:tcPr>
          <w:p w:rsidR="00AD796B" w:rsidRPr="006C3B9C" w:rsidRDefault="00AD796B" w:rsidP="004020E1">
            <w:pPr>
              <w:spacing w:after="0"/>
              <w:jc w:val="right"/>
              <w:rPr>
                <w:rFonts w:ascii="Verdana" w:hAnsi="Verdana"/>
                <w:color w:val="000000"/>
                <w:sz w:val="16"/>
                <w:szCs w:val="16"/>
                <w:lang w:val="bg-BG"/>
              </w:rPr>
            </w:pPr>
            <w:r w:rsidRPr="00843FD1">
              <w:rPr>
                <w:rFonts w:ascii="Verdana" w:hAnsi="Verdana"/>
                <w:color w:val="000000"/>
                <w:sz w:val="16"/>
                <w:szCs w:val="16"/>
              </w:rPr>
              <w:t>43%</w:t>
            </w:r>
          </w:p>
        </w:tc>
        <w:tc>
          <w:tcPr>
            <w:tcW w:w="541" w:type="pct"/>
            <w:shd w:val="clear" w:color="auto" w:fill="auto"/>
            <w:noWrap/>
            <w:vAlign w:val="center"/>
            <w:hideMark/>
          </w:tcPr>
          <w:p w:rsidR="00AD796B" w:rsidRPr="006C3B9C" w:rsidRDefault="00AD796B" w:rsidP="004020E1">
            <w:pPr>
              <w:spacing w:after="0"/>
              <w:jc w:val="right"/>
              <w:rPr>
                <w:rFonts w:ascii="Verdana" w:hAnsi="Verdana"/>
                <w:color w:val="000000"/>
                <w:sz w:val="16"/>
                <w:szCs w:val="16"/>
                <w:lang w:val="bg-BG"/>
              </w:rPr>
            </w:pPr>
            <w:r w:rsidRPr="00843FD1">
              <w:rPr>
                <w:rFonts w:ascii="Verdana" w:hAnsi="Verdana"/>
                <w:color w:val="000000"/>
                <w:sz w:val="16"/>
                <w:szCs w:val="16"/>
              </w:rPr>
              <w:t>8%</w:t>
            </w:r>
          </w:p>
        </w:tc>
        <w:tc>
          <w:tcPr>
            <w:tcW w:w="582" w:type="pct"/>
            <w:shd w:val="clear" w:color="auto" w:fill="auto"/>
            <w:noWrap/>
            <w:vAlign w:val="center"/>
            <w:hideMark/>
          </w:tcPr>
          <w:p w:rsidR="00AD796B" w:rsidRPr="006C3B9C" w:rsidRDefault="00AD796B" w:rsidP="004020E1">
            <w:pPr>
              <w:spacing w:after="0"/>
              <w:jc w:val="right"/>
              <w:rPr>
                <w:rFonts w:ascii="Verdana" w:hAnsi="Verdana"/>
                <w:color w:val="000000"/>
                <w:sz w:val="16"/>
                <w:szCs w:val="16"/>
                <w:lang w:val="bg-BG"/>
              </w:rPr>
            </w:pPr>
            <w:r w:rsidRPr="00843FD1">
              <w:rPr>
                <w:rFonts w:ascii="Verdana" w:hAnsi="Verdana"/>
                <w:color w:val="000000"/>
                <w:sz w:val="16"/>
                <w:szCs w:val="16"/>
              </w:rPr>
              <w:t>585%</w:t>
            </w:r>
          </w:p>
        </w:tc>
        <w:tc>
          <w:tcPr>
            <w:tcW w:w="497" w:type="pct"/>
            <w:shd w:val="clear" w:color="auto" w:fill="auto"/>
            <w:noWrap/>
            <w:vAlign w:val="center"/>
            <w:hideMark/>
          </w:tcPr>
          <w:p w:rsidR="00AD796B" w:rsidRPr="006C3B9C" w:rsidRDefault="00AD796B" w:rsidP="004020E1">
            <w:pPr>
              <w:spacing w:after="0"/>
              <w:jc w:val="right"/>
              <w:rPr>
                <w:rFonts w:ascii="Verdana" w:hAnsi="Verdana"/>
                <w:color w:val="000000"/>
                <w:sz w:val="16"/>
                <w:szCs w:val="16"/>
                <w:lang w:val="bg-BG"/>
              </w:rPr>
            </w:pPr>
            <w:r w:rsidRPr="00843FD1">
              <w:rPr>
                <w:rFonts w:ascii="Verdana" w:hAnsi="Verdana"/>
                <w:color w:val="000000"/>
                <w:sz w:val="16"/>
                <w:szCs w:val="16"/>
              </w:rPr>
              <w:t>532.6%</w:t>
            </w:r>
          </w:p>
        </w:tc>
      </w:tr>
      <w:tr w:rsidR="00AD796B" w:rsidRPr="008C6702" w:rsidTr="004020E1">
        <w:trPr>
          <w:trHeight w:val="276"/>
        </w:trPr>
        <w:tc>
          <w:tcPr>
            <w:tcW w:w="1418" w:type="pct"/>
            <w:shd w:val="clear" w:color="auto" w:fill="auto"/>
            <w:vAlign w:val="center"/>
            <w:hideMark/>
          </w:tcPr>
          <w:p w:rsidR="00AD796B" w:rsidRPr="00FE5A49" w:rsidRDefault="00AD796B" w:rsidP="004020E1">
            <w:pPr>
              <w:spacing w:after="0"/>
              <w:rPr>
                <w:rFonts w:ascii="Verdana" w:hAnsi="Verdana"/>
                <w:b/>
                <w:bCs/>
                <w:color w:val="000000"/>
                <w:sz w:val="16"/>
                <w:szCs w:val="16"/>
                <w:lang w:val="bg-BG"/>
              </w:rPr>
            </w:pPr>
            <w:r w:rsidRPr="00FE5A49">
              <w:rPr>
                <w:rFonts w:ascii="Verdana" w:hAnsi="Verdana"/>
                <w:b/>
                <w:bCs/>
                <w:color w:val="000000"/>
                <w:sz w:val="16"/>
                <w:szCs w:val="16"/>
                <w:lang w:val="bg-BG"/>
              </w:rPr>
              <w:t>ПО 2: Образование и учене през целия живот</w:t>
            </w:r>
          </w:p>
        </w:tc>
        <w:tc>
          <w:tcPr>
            <w:tcW w:w="338" w:type="pct"/>
            <w:shd w:val="clear" w:color="auto" w:fill="auto"/>
            <w:noWrap/>
            <w:vAlign w:val="center"/>
            <w:hideMark/>
          </w:tcPr>
          <w:p w:rsidR="00AD796B" w:rsidRPr="00FE5A49" w:rsidRDefault="00AD796B" w:rsidP="004020E1">
            <w:pPr>
              <w:spacing w:after="0"/>
              <w:jc w:val="right"/>
              <w:rPr>
                <w:rFonts w:ascii="Verdana" w:hAnsi="Verdana"/>
                <w:color w:val="000000"/>
                <w:sz w:val="16"/>
                <w:szCs w:val="16"/>
                <w:lang w:val="bg-BG"/>
              </w:rPr>
            </w:pPr>
            <w:r w:rsidRPr="00FE5A49">
              <w:rPr>
                <w:rFonts w:ascii="Verdana" w:hAnsi="Verdana"/>
                <w:color w:val="000000"/>
                <w:sz w:val="16"/>
                <w:szCs w:val="16"/>
                <w:lang w:val="bg-BG"/>
              </w:rPr>
              <w:t>ЕСФ</w:t>
            </w:r>
          </w:p>
        </w:tc>
        <w:tc>
          <w:tcPr>
            <w:tcW w:w="541" w:type="pct"/>
            <w:shd w:val="clear" w:color="auto" w:fill="auto"/>
            <w:noWrap/>
            <w:vAlign w:val="center"/>
            <w:hideMark/>
          </w:tcPr>
          <w:p w:rsidR="00AD796B" w:rsidRPr="006C3B9C" w:rsidRDefault="00AD796B" w:rsidP="004020E1">
            <w:pPr>
              <w:spacing w:after="0"/>
              <w:jc w:val="right"/>
              <w:rPr>
                <w:rFonts w:ascii="Verdana" w:hAnsi="Verdana"/>
                <w:color w:val="000000"/>
                <w:sz w:val="16"/>
                <w:szCs w:val="16"/>
                <w:lang w:val="bg-BG"/>
              </w:rPr>
            </w:pPr>
            <w:r w:rsidRPr="00843FD1">
              <w:rPr>
                <w:rFonts w:ascii="Verdana" w:hAnsi="Verdana"/>
                <w:color w:val="000000"/>
                <w:sz w:val="16"/>
                <w:szCs w:val="16"/>
              </w:rPr>
              <w:t>210 608 914</w:t>
            </w:r>
          </w:p>
        </w:tc>
        <w:tc>
          <w:tcPr>
            <w:tcW w:w="541" w:type="pct"/>
            <w:shd w:val="clear" w:color="auto" w:fill="auto"/>
            <w:noWrap/>
            <w:vAlign w:val="center"/>
            <w:hideMark/>
          </w:tcPr>
          <w:p w:rsidR="00AD796B" w:rsidRPr="006C3B9C" w:rsidRDefault="00AD796B" w:rsidP="004020E1">
            <w:pPr>
              <w:spacing w:after="0"/>
              <w:jc w:val="right"/>
              <w:rPr>
                <w:rFonts w:ascii="Verdana" w:hAnsi="Verdana"/>
                <w:color w:val="000000"/>
                <w:sz w:val="16"/>
                <w:szCs w:val="16"/>
                <w:lang w:val="bg-BG"/>
              </w:rPr>
            </w:pPr>
            <w:r w:rsidRPr="00843FD1">
              <w:rPr>
                <w:rFonts w:ascii="Verdana" w:hAnsi="Verdana"/>
                <w:color w:val="000000"/>
                <w:sz w:val="16"/>
                <w:szCs w:val="16"/>
              </w:rPr>
              <w:t>200 619 311</w:t>
            </w:r>
          </w:p>
        </w:tc>
        <w:tc>
          <w:tcPr>
            <w:tcW w:w="541" w:type="pct"/>
            <w:shd w:val="clear" w:color="auto" w:fill="auto"/>
            <w:noWrap/>
            <w:vAlign w:val="center"/>
            <w:hideMark/>
          </w:tcPr>
          <w:p w:rsidR="00AD796B" w:rsidRPr="006C3B9C" w:rsidRDefault="00AD796B" w:rsidP="004020E1">
            <w:pPr>
              <w:spacing w:after="0"/>
              <w:jc w:val="right"/>
              <w:rPr>
                <w:rFonts w:ascii="Verdana" w:hAnsi="Verdana"/>
                <w:color w:val="000000"/>
                <w:sz w:val="16"/>
                <w:szCs w:val="16"/>
                <w:lang w:val="bg-BG"/>
              </w:rPr>
            </w:pPr>
            <w:r w:rsidRPr="00843FD1">
              <w:rPr>
                <w:rFonts w:ascii="Verdana" w:hAnsi="Verdana"/>
                <w:color w:val="000000"/>
                <w:sz w:val="16"/>
                <w:szCs w:val="16"/>
              </w:rPr>
              <w:t>38%</w:t>
            </w:r>
          </w:p>
        </w:tc>
        <w:tc>
          <w:tcPr>
            <w:tcW w:w="541" w:type="pct"/>
            <w:shd w:val="clear" w:color="auto" w:fill="auto"/>
            <w:noWrap/>
            <w:vAlign w:val="center"/>
            <w:hideMark/>
          </w:tcPr>
          <w:p w:rsidR="00AD796B" w:rsidRPr="006C3B9C" w:rsidRDefault="00AD796B" w:rsidP="004020E1">
            <w:pPr>
              <w:spacing w:after="0"/>
              <w:jc w:val="right"/>
              <w:rPr>
                <w:rFonts w:ascii="Verdana" w:hAnsi="Verdana"/>
                <w:color w:val="000000"/>
                <w:sz w:val="16"/>
                <w:szCs w:val="16"/>
                <w:lang w:val="bg-BG"/>
              </w:rPr>
            </w:pPr>
            <w:r w:rsidRPr="00843FD1">
              <w:rPr>
                <w:rFonts w:ascii="Verdana" w:hAnsi="Verdana"/>
                <w:color w:val="000000"/>
                <w:sz w:val="16"/>
                <w:szCs w:val="16"/>
              </w:rPr>
              <w:t>46%</w:t>
            </w:r>
          </w:p>
        </w:tc>
        <w:tc>
          <w:tcPr>
            <w:tcW w:w="582" w:type="pct"/>
            <w:shd w:val="clear" w:color="auto" w:fill="auto"/>
            <w:noWrap/>
            <w:vAlign w:val="center"/>
            <w:hideMark/>
          </w:tcPr>
          <w:p w:rsidR="00AD796B" w:rsidRPr="006C3B9C" w:rsidRDefault="00AD796B" w:rsidP="004020E1">
            <w:pPr>
              <w:spacing w:after="0"/>
              <w:jc w:val="right"/>
              <w:rPr>
                <w:rFonts w:ascii="Verdana" w:hAnsi="Verdana"/>
                <w:color w:val="000000"/>
                <w:sz w:val="16"/>
                <w:szCs w:val="16"/>
                <w:lang w:val="bg-BG"/>
              </w:rPr>
            </w:pPr>
            <w:r w:rsidRPr="00843FD1">
              <w:rPr>
                <w:rFonts w:ascii="Verdana" w:hAnsi="Verdana"/>
                <w:color w:val="000000"/>
                <w:sz w:val="16"/>
                <w:szCs w:val="16"/>
              </w:rPr>
              <w:t>5%</w:t>
            </w:r>
          </w:p>
        </w:tc>
        <w:tc>
          <w:tcPr>
            <w:tcW w:w="497" w:type="pct"/>
            <w:shd w:val="clear" w:color="auto" w:fill="auto"/>
            <w:noWrap/>
            <w:vAlign w:val="center"/>
            <w:hideMark/>
          </w:tcPr>
          <w:p w:rsidR="00AD796B" w:rsidRPr="006C3B9C" w:rsidRDefault="00AD796B" w:rsidP="004020E1">
            <w:pPr>
              <w:spacing w:after="0"/>
              <w:jc w:val="right"/>
              <w:rPr>
                <w:rFonts w:ascii="Verdana" w:hAnsi="Verdana"/>
                <w:color w:val="000000"/>
                <w:sz w:val="16"/>
                <w:szCs w:val="16"/>
                <w:lang w:val="bg-BG"/>
              </w:rPr>
            </w:pPr>
            <w:r w:rsidRPr="00843FD1">
              <w:rPr>
                <w:rFonts w:ascii="Verdana" w:hAnsi="Verdana"/>
                <w:color w:val="000000"/>
                <w:sz w:val="16"/>
                <w:szCs w:val="16"/>
              </w:rPr>
              <w:t>-3.0%</w:t>
            </w:r>
          </w:p>
        </w:tc>
      </w:tr>
      <w:tr w:rsidR="00AD796B" w:rsidRPr="008C6702" w:rsidTr="004020E1">
        <w:trPr>
          <w:trHeight w:val="276"/>
        </w:trPr>
        <w:tc>
          <w:tcPr>
            <w:tcW w:w="1418" w:type="pct"/>
            <w:shd w:val="clear" w:color="auto" w:fill="auto"/>
            <w:vAlign w:val="center"/>
            <w:hideMark/>
          </w:tcPr>
          <w:p w:rsidR="00AD796B" w:rsidRPr="00FE5A49" w:rsidRDefault="00AD796B" w:rsidP="004020E1">
            <w:pPr>
              <w:spacing w:after="0"/>
              <w:rPr>
                <w:rFonts w:ascii="Verdana" w:hAnsi="Verdana"/>
                <w:b/>
                <w:bCs/>
                <w:color w:val="000000"/>
                <w:sz w:val="16"/>
                <w:szCs w:val="16"/>
                <w:lang w:val="bg-BG"/>
              </w:rPr>
            </w:pPr>
            <w:r w:rsidRPr="00FE5A49">
              <w:rPr>
                <w:rFonts w:ascii="Verdana" w:hAnsi="Verdana"/>
                <w:b/>
                <w:bCs/>
                <w:color w:val="000000"/>
                <w:sz w:val="16"/>
                <w:szCs w:val="16"/>
                <w:lang w:val="bg-BG"/>
              </w:rPr>
              <w:t>ПО 3: Образователна среда за активно социално приобщаване</w:t>
            </w:r>
          </w:p>
        </w:tc>
        <w:tc>
          <w:tcPr>
            <w:tcW w:w="338" w:type="pct"/>
            <w:shd w:val="clear" w:color="auto" w:fill="auto"/>
            <w:noWrap/>
            <w:vAlign w:val="center"/>
            <w:hideMark/>
          </w:tcPr>
          <w:p w:rsidR="00AD796B" w:rsidRPr="00FE5A49" w:rsidRDefault="00AD796B" w:rsidP="004020E1">
            <w:pPr>
              <w:spacing w:after="0"/>
              <w:jc w:val="right"/>
              <w:rPr>
                <w:rFonts w:ascii="Verdana" w:hAnsi="Verdana"/>
                <w:color w:val="000000"/>
                <w:sz w:val="16"/>
                <w:szCs w:val="16"/>
                <w:lang w:val="bg-BG"/>
              </w:rPr>
            </w:pPr>
            <w:r w:rsidRPr="00FE5A49">
              <w:rPr>
                <w:rFonts w:ascii="Verdana" w:hAnsi="Verdana"/>
                <w:color w:val="000000"/>
                <w:sz w:val="16"/>
                <w:szCs w:val="16"/>
                <w:lang w:val="bg-BG"/>
              </w:rPr>
              <w:t>ЕСФ</w:t>
            </w:r>
          </w:p>
        </w:tc>
        <w:tc>
          <w:tcPr>
            <w:tcW w:w="541" w:type="pct"/>
            <w:shd w:val="clear" w:color="auto" w:fill="auto"/>
            <w:noWrap/>
            <w:vAlign w:val="center"/>
            <w:hideMark/>
          </w:tcPr>
          <w:p w:rsidR="00AD796B" w:rsidRPr="006C3B9C" w:rsidRDefault="00AD796B" w:rsidP="004020E1">
            <w:pPr>
              <w:spacing w:after="0"/>
              <w:jc w:val="right"/>
              <w:rPr>
                <w:rFonts w:ascii="Verdana" w:hAnsi="Verdana"/>
                <w:color w:val="000000"/>
                <w:sz w:val="16"/>
                <w:szCs w:val="16"/>
                <w:lang w:val="bg-BG"/>
              </w:rPr>
            </w:pPr>
            <w:r w:rsidRPr="00843FD1">
              <w:rPr>
                <w:rFonts w:ascii="Verdana" w:hAnsi="Verdana"/>
                <w:color w:val="000000"/>
                <w:sz w:val="16"/>
                <w:szCs w:val="16"/>
              </w:rPr>
              <w:t>107 000 000</w:t>
            </w:r>
          </w:p>
        </w:tc>
        <w:tc>
          <w:tcPr>
            <w:tcW w:w="541" w:type="pct"/>
            <w:shd w:val="clear" w:color="auto" w:fill="auto"/>
            <w:noWrap/>
            <w:vAlign w:val="center"/>
            <w:hideMark/>
          </w:tcPr>
          <w:p w:rsidR="00AD796B" w:rsidRPr="006C3B9C" w:rsidRDefault="00AD796B" w:rsidP="004020E1">
            <w:pPr>
              <w:spacing w:after="0"/>
              <w:jc w:val="right"/>
              <w:rPr>
                <w:rFonts w:ascii="Verdana" w:hAnsi="Verdana"/>
                <w:color w:val="000000"/>
                <w:sz w:val="16"/>
                <w:szCs w:val="16"/>
                <w:lang w:val="bg-BG"/>
              </w:rPr>
            </w:pPr>
            <w:r w:rsidRPr="00843FD1">
              <w:rPr>
                <w:rFonts w:ascii="Verdana" w:hAnsi="Verdana"/>
                <w:color w:val="000000"/>
                <w:sz w:val="16"/>
                <w:szCs w:val="16"/>
              </w:rPr>
              <w:t>200 970 328</w:t>
            </w:r>
          </w:p>
        </w:tc>
        <w:tc>
          <w:tcPr>
            <w:tcW w:w="541" w:type="pct"/>
            <w:shd w:val="clear" w:color="auto" w:fill="auto"/>
            <w:noWrap/>
            <w:vAlign w:val="center"/>
            <w:hideMark/>
          </w:tcPr>
          <w:p w:rsidR="00AD796B" w:rsidRPr="006C3B9C" w:rsidRDefault="00AD796B" w:rsidP="004020E1">
            <w:pPr>
              <w:spacing w:after="0"/>
              <w:jc w:val="right"/>
              <w:rPr>
                <w:rFonts w:ascii="Verdana" w:hAnsi="Verdana"/>
                <w:color w:val="000000"/>
                <w:sz w:val="16"/>
                <w:szCs w:val="16"/>
                <w:lang w:val="bg-BG"/>
              </w:rPr>
            </w:pPr>
            <w:r w:rsidRPr="00843FD1">
              <w:rPr>
                <w:rFonts w:ascii="Verdana" w:hAnsi="Verdana"/>
                <w:color w:val="000000"/>
                <w:sz w:val="16"/>
                <w:szCs w:val="16"/>
              </w:rPr>
              <w:t>19%</w:t>
            </w:r>
          </w:p>
        </w:tc>
        <w:tc>
          <w:tcPr>
            <w:tcW w:w="541" w:type="pct"/>
            <w:shd w:val="clear" w:color="auto" w:fill="auto"/>
            <w:noWrap/>
            <w:vAlign w:val="center"/>
            <w:hideMark/>
          </w:tcPr>
          <w:p w:rsidR="00AD796B" w:rsidRPr="006C3B9C" w:rsidRDefault="00AD796B" w:rsidP="004020E1">
            <w:pPr>
              <w:spacing w:after="0"/>
              <w:jc w:val="right"/>
              <w:rPr>
                <w:rFonts w:ascii="Verdana" w:hAnsi="Verdana"/>
                <w:color w:val="000000"/>
                <w:sz w:val="16"/>
                <w:szCs w:val="16"/>
                <w:lang w:val="bg-BG"/>
              </w:rPr>
            </w:pPr>
            <w:r w:rsidRPr="00843FD1">
              <w:rPr>
                <w:rFonts w:ascii="Verdana" w:hAnsi="Verdana"/>
                <w:color w:val="000000"/>
                <w:sz w:val="16"/>
                <w:szCs w:val="16"/>
              </w:rPr>
              <w:t>46%</w:t>
            </w:r>
          </w:p>
        </w:tc>
        <w:tc>
          <w:tcPr>
            <w:tcW w:w="582" w:type="pct"/>
            <w:shd w:val="clear" w:color="auto" w:fill="auto"/>
            <w:noWrap/>
            <w:vAlign w:val="center"/>
            <w:hideMark/>
          </w:tcPr>
          <w:p w:rsidR="00AD796B" w:rsidRPr="006C3B9C" w:rsidRDefault="00AD796B" w:rsidP="004020E1">
            <w:pPr>
              <w:spacing w:after="0"/>
              <w:jc w:val="right"/>
              <w:rPr>
                <w:rFonts w:ascii="Verdana" w:hAnsi="Verdana"/>
                <w:color w:val="000000"/>
                <w:sz w:val="16"/>
                <w:szCs w:val="16"/>
                <w:lang w:val="bg-BG"/>
              </w:rPr>
            </w:pPr>
            <w:r w:rsidRPr="00843FD1">
              <w:rPr>
                <w:rFonts w:ascii="Verdana" w:hAnsi="Verdana"/>
                <w:color w:val="000000"/>
                <w:sz w:val="16"/>
                <w:szCs w:val="16"/>
              </w:rPr>
              <w:t>-47%</w:t>
            </w:r>
          </w:p>
        </w:tc>
        <w:tc>
          <w:tcPr>
            <w:tcW w:w="497" w:type="pct"/>
            <w:shd w:val="clear" w:color="auto" w:fill="auto"/>
            <w:noWrap/>
            <w:vAlign w:val="center"/>
            <w:hideMark/>
          </w:tcPr>
          <w:p w:rsidR="00AD796B" w:rsidRPr="006C3B9C" w:rsidRDefault="00AD796B" w:rsidP="004020E1">
            <w:pPr>
              <w:spacing w:after="0"/>
              <w:jc w:val="right"/>
              <w:rPr>
                <w:rFonts w:ascii="Verdana" w:hAnsi="Verdana"/>
                <w:color w:val="000000"/>
                <w:sz w:val="16"/>
                <w:szCs w:val="16"/>
                <w:lang w:val="bg-BG"/>
              </w:rPr>
            </w:pPr>
            <w:r w:rsidRPr="00843FD1">
              <w:rPr>
                <w:rFonts w:ascii="Verdana" w:hAnsi="Verdana"/>
                <w:color w:val="000000"/>
                <w:sz w:val="16"/>
                <w:szCs w:val="16"/>
              </w:rPr>
              <w:t>-50.8%</w:t>
            </w:r>
          </w:p>
        </w:tc>
      </w:tr>
      <w:tr w:rsidR="00AD796B" w:rsidRPr="008C6702" w:rsidTr="004020E1">
        <w:trPr>
          <w:trHeight w:val="276"/>
        </w:trPr>
        <w:tc>
          <w:tcPr>
            <w:tcW w:w="1418" w:type="pct"/>
            <w:shd w:val="clear" w:color="auto" w:fill="auto"/>
            <w:vAlign w:val="center"/>
            <w:hideMark/>
          </w:tcPr>
          <w:p w:rsidR="00AD796B" w:rsidRPr="00FE5A49" w:rsidRDefault="00AD796B" w:rsidP="004020E1">
            <w:pPr>
              <w:spacing w:after="0"/>
              <w:rPr>
                <w:rFonts w:ascii="Verdana" w:hAnsi="Verdana"/>
                <w:b/>
                <w:bCs/>
                <w:color w:val="000000"/>
                <w:sz w:val="16"/>
                <w:szCs w:val="16"/>
                <w:lang w:val="bg-BG"/>
              </w:rPr>
            </w:pPr>
            <w:r w:rsidRPr="00FE5A49">
              <w:rPr>
                <w:rFonts w:ascii="Verdana" w:hAnsi="Verdana"/>
                <w:b/>
                <w:bCs/>
                <w:color w:val="000000"/>
                <w:sz w:val="16"/>
                <w:szCs w:val="16"/>
                <w:lang w:val="bg-BG"/>
              </w:rPr>
              <w:t>ПО 4: Техническа помощ</w:t>
            </w:r>
          </w:p>
        </w:tc>
        <w:tc>
          <w:tcPr>
            <w:tcW w:w="338" w:type="pct"/>
            <w:shd w:val="clear" w:color="auto" w:fill="auto"/>
            <w:noWrap/>
            <w:vAlign w:val="center"/>
            <w:hideMark/>
          </w:tcPr>
          <w:p w:rsidR="00AD796B" w:rsidRPr="00FE5A49" w:rsidRDefault="00AD796B" w:rsidP="004020E1">
            <w:pPr>
              <w:spacing w:after="0"/>
              <w:jc w:val="right"/>
              <w:rPr>
                <w:rFonts w:ascii="Verdana" w:hAnsi="Verdana"/>
                <w:color w:val="000000"/>
                <w:sz w:val="16"/>
                <w:szCs w:val="16"/>
                <w:lang w:val="bg-BG"/>
              </w:rPr>
            </w:pPr>
            <w:r w:rsidRPr="00FE5A49">
              <w:rPr>
                <w:rFonts w:ascii="Verdana" w:hAnsi="Verdana"/>
                <w:color w:val="000000"/>
                <w:sz w:val="16"/>
                <w:szCs w:val="16"/>
                <w:lang w:val="bg-BG"/>
              </w:rPr>
              <w:t>ЕСФ и ЕФРР</w:t>
            </w:r>
          </w:p>
        </w:tc>
        <w:tc>
          <w:tcPr>
            <w:tcW w:w="541" w:type="pct"/>
            <w:shd w:val="clear" w:color="auto" w:fill="auto"/>
            <w:noWrap/>
            <w:vAlign w:val="center"/>
            <w:hideMark/>
          </w:tcPr>
          <w:p w:rsidR="00AD796B" w:rsidRPr="00843FD1" w:rsidRDefault="00AD796B" w:rsidP="004020E1">
            <w:pPr>
              <w:jc w:val="right"/>
              <w:rPr>
                <w:rFonts w:ascii="Verdana" w:hAnsi="Verdana"/>
                <w:color w:val="000000"/>
                <w:sz w:val="16"/>
                <w:szCs w:val="16"/>
              </w:rPr>
            </w:pPr>
            <w:r w:rsidRPr="00843FD1">
              <w:rPr>
                <w:rFonts w:ascii="Verdana" w:hAnsi="Verdana"/>
                <w:color w:val="000000"/>
                <w:sz w:val="16"/>
                <w:szCs w:val="16"/>
              </w:rPr>
              <w:t>23 778 151</w:t>
            </w:r>
          </w:p>
          <w:p w:rsidR="00AD796B" w:rsidRPr="006C3B9C" w:rsidRDefault="00AD796B" w:rsidP="004020E1">
            <w:pPr>
              <w:spacing w:after="0"/>
              <w:jc w:val="right"/>
              <w:rPr>
                <w:rFonts w:ascii="Verdana" w:hAnsi="Verdana"/>
                <w:color w:val="000000"/>
                <w:sz w:val="16"/>
                <w:szCs w:val="16"/>
                <w:lang w:val="bg-BG"/>
              </w:rPr>
            </w:pPr>
          </w:p>
        </w:tc>
        <w:tc>
          <w:tcPr>
            <w:tcW w:w="541" w:type="pct"/>
            <w:shd w:val="clear" w:color="auto" w:fill="auto"/>
            <w:noWrap/>
            <w:vAlign w:val="center"/>
            <w:hideMark/>
          </w:tcPr>
          <w:p w:rsidR="00AD796B" w:rsidRPr="006C3B9C" w:rsidRDefault="00AD796B" w:rsidP="004020E1">
            <w:pPr>
              <w:spacing w:after="0"/>
              <w:jc w:val="right"/>
              <w:rPr>
                <w:rFonts w:ascii="Verdana" w:hAnsi="Verdana"/>
                <w:color w:val="000000"/>
                <w:sz w:val="16"/>
                <w:szCs w:val="16"/>
                <w:lang w:val="bg-BG"/>
              </w:rPr>
            </w:pPr>
          </w:p>
        </w:tc>
        <w:tc>
          <w:tcPr>
            <w:tcW w:w="541" w:type="pct"/>
            <w:shd w:val="clear" w:color="auto" w:fill="auto"/>
            <w:noWrap/>
            <w:vAlign w:val="center"/>
            <w:hideMark/>
          </w:tcPr>
          <w:p w:rsidR="00AD796B" w:rsidRPr="006C3B9C" w:rsidRDefault="00AD796B" w:rsidP="004020E1">
            <w:pPr>
              <w:spacing w:after="0"/>
              <w:jc w:val="right"/>
              <w:rPr>
                <w:rFonts w:ascii="Verdana" w:hAnsi="Verdana"/>
                <w:color w:val="000000"/>
                <w:sz w:val="16"/>
                <w:szCs w:val="16"/>
                <w:lang w:val="bg-BG"/>
              </w:rPr>
            </w:pPr>
          </w:p>
        </w:tc>
        <w:tc>
          <w:tcPr>
            <w:tcW w:w="541" w:type="pct"/>
            <w:shd w:val="clear" w:color="auto" w:fill="auto"/>
            <w:noWrap/>
            <w:vAlign w:val="center"/>
            <w:hideMark/>
          </w:tcPr>
          <w:p w:rsidR="00AD796B" w:rsidRPr="006C3B9C" w:rsidRDefault="00AD796B" w:rsidP="004020E1">
            <w:pPr>
              <w:spacing w:after="0"/>
              <w:jc w:val="right"/>
              <w:rPr>
                <w:rFonts w:ascii="Verdana" w:hAnsi="Verdana"/>
                <w:color w:val="000000"/>
                <w:sz w:val="16"/>
                <w:szCs w:val="16"/>
                <w:lang w:val="bg-BG"/>
              </w:rPr>
            </w:pPr>
          </w:p>
        </w:tc>
        <w:tc>
          <w:tcPr>
            <w:tcW w:w="582" w:type="pct"/>
            <w:shd w:val="clear" w:color="auto" w:fill="auto"/>
            <w:noWrap/>
            <w:vAlign w:val="center"/>
            <w:hideMark/>
          </w:tcPr>
          <w:p w:rsidR="00AD796B" w:rsidRPr="006C3B9C" w:rsidRDefault="00AD796B" w:rsidP="004020E1">
            <w:pPr>
              <w:spacing w:after="0"/>
              <w:jc w:val="right"/>
              <w:rPr>
                <w:rFonts w:ascii="Verdana" w:hAnsi="Verdana"/>
                <w:color w:val="000000"/>
                <w:sz w:val="16"/>
                <w:szCs w:val="16"/>
                <w:lang w:val="bg-BG"/>
              </w:rPr>
            </w:pPr>
          </w:p>
        </w:tc>
        <w:tc>
          <w:tcPr>
            <w:tcW w:w="497" w:type="pct"/>
            <w:shd w:val="clear" w:color="auto" w:fill="auto"/>
            <w:noWrap/>
            <w:vAlign w:val="center"/>
            <w:hideMark/>
          </w:tcPr>
          <w:p w:rsidR="00AD796B" w:rsidRPr="006C3B9C" w:rsidRDefault="00AD796B" w:rsidP="004020E1">
            <w:pPr>
              <w:spacing w:after="0"/>
              <w:jc w:val="right"/>
              <w:rPr>
                <w:rFonts w:ascii="Verdana" w:hAnsi="Verdana"/>
                <w:color w:val="000000"/>
                <w:sz w:val="16"/>
                <w:szCs w:val="16"/>
                <w:lang w:val="bg-BG"/>
              </w:rPr>
            </w:pPr>
            <w:r w:rsidRPr="006C3B9C">
              <w:rPr>
                <w:rFonts w:ascii="Verdana" w:hAnsi="Verdana"/>
                <w:color w:val="000000"/>
                <w:sz w:val="16"/>
                <w:szCs w:val="16"/>
                <w:lang w:val="bg-BG"/>
              </w:rPr>
              <w:t> </w:t>
            </w:r>
          </w:p>
        </w:tc>
      </w:tr>
      <w:tr w:rsidR="00AD796B" w:rsidRPr="008C6702" w:rsidTr="004020E1">
        <w:trPr>
          <w:trHeight w:val="276"/>
        </w:trPr>
        <w:tc>
          <w:tcPr>
            <w:tcW w:w="1418" w:type="pct"/>
            <w:shd w:val="clear" w:color="000000" w:fill="E4DFEC"/>
            <w:vAlign w:val="center"/>
            <w:hideMark/>
          </w:tcPr>
          <w:p w:rsidR="00AD796B" w:rsidRPr="00FE5A49" w:rsidRDefault="00AD796B" w:rsidP="004020E1">
            <w:pPr>
              <w:spacing w:after="0"/>
              <w:rPr>
                <w:rFonts w:ascii="Verdana" w:hAnsi="Verdana"/>
                <w:color w:val="000000"/>
                <w:sz w:val="16"/>
                <w:szCs w:val="16"/>
                <w:lang w:val="bg-BG"/>
              </w:rPr>
            </w:pPr>
            <w:r w:rsidRPr="00FE5A49">
              <w:rPr>
                <w:rFonts w:ascii="Verdana" w:hAnsi="Verdana"/>
                <w:color w:val="000000"/>
                <w:sz w:val="16"/>
                <w:szCs w:val="16"/>
                <w:lang w:val="bg-BG"/>
              </w:rPr>
              <w:t xml:space="preserve">Общо сбор по </w:t>
            </w:r>
            <w:proofErr w:type="spellStart"/>
            <w:r w:rsidRPr="00FE5A49">
              <w:rPr>
                <w:rFonts w:ascii="Verdana" w:hAnsi="Verdana"/>
                <w:color w:val="000000"/>
                <w:sz w:val="16"/>
                <w:szCs w:val="16"/>
                <w:lang w:val="bg-BG"/>
              </w:rPr>
              <w:t>съотносимите</w:t>
            </w:r>
            <w:proofErr w:type="spellEnd"/>
            <w:r w:rsidRPr="00FE5A49">
              <w:rPr>
                <w:rFonts w:ascii="Verdana" w:hAnsi="Verdana"/>
                <w:color w:val="000000"/>
                <w:sz w:val="16"/>
                <w:szCs w:val="16"/>
                <w:lang w:val="bg-BG"/>
              </w:rPr>
              <w:t xml:space="preserve"> пера</w:t>
            </w:r>
          </w:p>
        </w:tc>
        <w:tc>
          <w:tcPr>
            <w:tcW w:w="338" w:type="pct"/>
            <w:shd w:val="clear" w:color="000000" w:fill="E4DFEC"/>
            <w:noWrap/>
            <w:vAlign w:val="center"/>
            <w:hideMark/>
          </w:tcPr>
          <w:p w:rsidR="00AD796B" w:rsidRPr="00FE5A49" w:rsidRDefault="00AD796B" w:rsidP="004020E1">
            <w:pPr>
              <w:spacing w:after="0"/>
              <w:jc w:val="right"/>
              <w:rPr>
                <w:rFonts w:ascii="Verdana" w:hAnsi="Verdana"/>
                <w:color w:val="000000"/>
                <w:sz w:val="16"/>
                <w:szCs w:val="16"/>
                <w:lang w:val="bg-BG"/>
              </w:rPr>
            </w:pPr>
            <w:r w:rsidRPr="00FE5A49">
              <w:rPr>
                <w:rFonts w:ascii="Verdana" w:hAnsi="Verdana"/>
                <w:color w:val="000000"/>
                <w:sz w:val="16"/>
                <w:szCs w:val="16"/>
                <w:lang w:val="bg-BG"/>
              </w:rPr>
              <w:t> </w:t>
            </w:r>
          </w:p>
        </w:tc>
        <w:tc>
          <w:tcPr>
            <w:tcW w:w="541" w:type="pct"/>
            <w:shd w:val="clear" w:color="000000" w:fill="E4DFEC"/>
            <w:noWrap/>
            <w:vAlign w:val="center"/>
            <w:hideMark/>
          </w:tcPr>
          <w:p w:rsidR="00AD796B" w:rsidRPr="006C3B9C" w:rsidRDefault="00AD796B" w:rsidP="004020E1">
            <w:pPr>
              <w:spacing w:after="0"/>
              <w:jc w:val="right"/>
              <w:rPr>
                <w:rFonts w:ascii="Verdana" w:hAnsi="Verdana"/>
                <w:color w:val="000000"/>
                <w:sz w:val="16"/>
                <w:szCs w:val="16"/>
                <w:lang w:val="bg-BG"/>
              </w:rPr>
            </w:pPr>
            <w:r w:rsidRPr="00843FD1">
              <w:rPr>
                <w:rFonts w:ascii="Verdana" w:hAnsi="Verdana"/>
                <w:color w:val="000000"/>
                <w:sz w:val="16"/>
                <w:szCs w:val="16"/>
              </w:rPr>
              <w:t>558 982 470</w:t>
            </w:r>
          </w:p>
        </w:tc>
        <w:tc>
          <w:tcPr>
            <w:tcW w:w="541" w:type="pct"/>
            <w:shd w:val="clear" w:color="000000" w:fill="E4DFEC"/>
            <w:noWrap/>
            <w:vAlign w:val="center"/>
            <w:hideMark/>
          </w:tcPr>
          <w:p w:rsidR="00AD796B" w:rsidRPr="006C3B9C" w:rsidRDefault="00AD796B" w:rsidP="004020E1">
            <w:pPr>
              <w:spacing w:after="0"/>
              <w:jc w:val="right"/>
              <w:rPr>
                <w:rFonts w:ascii="Verdana" w:hAnsi="Verdana"/>
                <w:color w:val="000000"/>
                <w:sz w:val="16"/>
                <w:szCs w:val="16"/>
                <w:lang w:val="bg-BG"/>
              </w:rPr>
            </w:pPr>
            <w:r w:rsidRPr="00843FD1">
              <w:rPr>
                <w:rFonts w:ascii="Verdana" w:hAnsi="Verdana"/>
                <w:color w:val="000000"/>
                <w:sz w:val="16"/>
                <w:szCs w:val="16"/>
              </w:rPr>
              <w:t>436 841 540</w:t>
            </w:r>
          </w:p>
        </w:tc>
        <w:tc>
          <w:tcPr>
            <w:tcW w:w="541" w:type="pct"/>
            <w:shd w:val="clear" w:color="000000" w:fill="E4DFEC"/>
            <w:noWrap/>
            <w:vAlign w:val="center"/>
            <w:hideMark/>
          </w:tcPr>
          <w:p w:rsidR="00AD796B" w:rsidRPr="006C3B9C" w:rsidRDefault="00AD796B" w:rsidP="004020E1">
            <w:pPr>
              <w:spacing w:after="0"/>
              <w:jc w:val="right"/>
              <w:rPr>
                <w:rFonts w:ascii="Verdana" w:hAnsi="Verdana"/>
                <w:color w:val="000000"/>
                <w:sz w:val="16"/>
                <w:szCs w:val="16"/>
                <w:lang w:val="bg-BG"/>
              </w:rPr>
            </w:pPr>
            <w:r w:rsidRPr="00843FD1">
              <w:rPr>
                <w:rFonts w:ascii="Verdana" w:hAnsi="Verdana"/>
                <w:color w:val="000000"/>
                <w:sz w:val="16"/>
                <w:szCs w:val="16"/>
              </w:rPr>
              <w:t>100%</w:t>
            </w:r>
          </w:p>
        </w:tc>
        <w:tc>
          <w:tcPr>
            <w:tcW w:w="541" w:type="pct"/>
            <w:shd w:val="clear" w:color="000000" w:fill="E4DFEC"/>
            <w:noWrap/>
            <w:vAlign w:val="center"/>
            <w:hideMark/>
          </w:tcPr>
          <w:p w:rsidR="00AD796B" w:rsidRPr="006C3B9C" w:rsidRDefault="00AD796B" w:rsidP="004020E1">
            <w:pPr>
              <w:spacing w:after="0"/>
              <w:jc w:val="right"/>
              <w:rPr>
                <w:rFonts w:ascii="Verdana" w:hAnsi="Verdana"/>
                <w:color w:val="000000"/>
                <w:sz w:val="16"/>
                <w:szCs w:val="16"/>
                <w:lang w:val="bg-BG"/>
              </w:rPr>
            </w:pPr>
            <w:r w:rsidRPr="00843FD1">
              <w:rPr>
                <w:rFonts w:ascii="Verdana" w:hAnsi="Verdana"/>
                <w:color w:val="000000"/>
                <w:sz w:val="16"/>
                <w:szCs w:val="16"/>
              </w:rPr>
              <w:t>100%</w:t>
            </w:r>
          </w:p>
        </w:tc>
        <w:tc>
          <w:tcPr>
            <w:tcW w:w="582" w:type="pct"/>
            <w:shd w:val="clear" w:color="000000" w:fill="E4DFEC"/>
            <w:noWrap/>
            <w:vAlign w:val="center"/>
            <w:hideMark/>
          </w:tcPr>
          <w:p w:rsidR="00AD796B" w:rsidRPr="006C3B9C" w:rsidRDefault="00AD796B" w:rsidP="004020E1">
            <w:pPr>
              <w:spacing w:after="0"/>
              <w:jc w:val="right"/>
              <w:rPr>
                <w:rFonts w:ascii="Verdana" w:hAnsi="Verdana"/>
                <w:color w:val="000000"/>
                <w:sz w:val="16"/>
                <w:szCs w:val="16"/>
                <w:lang w:val="bg-BG"/>
              </w:rPr>
            </w:pPr>
            <w:r w:rsidRPr="00843FD1">
              <w:rPr>
                <w:rFonts w:ascii="Verdana" w:hAnsi="Verdana"/>
                <w:color w:val="000000"/>
                <w:sz w:val="16"/>
                <w:szCs w:val="16"/>
              </w:rPr>
              <w:t>28%</w:t>
            </w:r>
          </w:p>
        </w:tc>
        <w:tc>
          <w:tcPr>
            <w:tcW w:w="497" w:type="pct"/>
            <w:shd w:val="clear" w:color="000000" w:fill="E4DFEC"/>
            <w:noWrap/>
            <w:vAlign w:val="center"/>
            <w:hideMark/>
          </w:tcPr>
          <w:p w:rsidR="00AD796B" w:rsidRPr="006C3B9C" w:rsidRDefault="00AD796B" w:rsidP="004020E1">
            <w:pPr>
              <w:spacing w:after="0"/>
              <w:jc w:val="right"/>
              <w:rPr>
                <w:rFonts w:ascii="Verdana" w:hAnsi="Verdana"/>
                <w:color w:val="000000"/>
                <w:sz w:val="16"/>
                <w:szCs w:val="16"/>
                <w:lang w:val="bg-BG"/>
              </w:rPr>
            </w:pPr>
            <w:r w:rsidRPr="00843FD1">
              <w:rPr>
                <w:rFonts w:ascii="Verdana" w:hAnsi="Verdana"/>
                <w:color w:val="000000"/>
                <w:sz w:val="16"/>
                <w:szCs w:val="16"/>
              </w:rPr>
              <w:t>18.2%</w:t>
            </w:r>
          </w:p>
        </w:tc>
      </w:tr>
      <w:tr w:rsidR="00AD796B" w:rsidRPr="008C6702" w:rsidTr="004020E1">
        <w:trPr>
          <w:trHeight w:val="288"/>
        </w:trPr>
        <w:tc>
          <w:tcPr>
            <w:tcW w:w="1418" w:type="pct"/>
            <w:shd w:val="clear" w:color="000000" w:fill="E4DFEC"/>
            <w:vAlign w:val="center"/>
            <w:hideMark/>
          </w:tcPr>
          <w:p w:rsidR="00AD796B" w:rsidRPr="00FE5A49" w:rsidRDefault="00AD796B" w:rsidP="004020E1">
            <w:pPr>
              <w:spacing w:after="0"/>
              <w:rPr>
                <w:rFonts w:ascii="Verdana" w:hAnsi="Verdana"/>
                <w:b/>
                <w:bCs/>
                <w:color w:val="000000"/>
                <w:sz w:val="16"/>
                <w:szCs w:val="16"/>
                <w:lang w:val="bg-BG"/>
              </w:rPr>
            </w:pPr>
            <w:r w:rsidRPr="00FE5A49">
              <w:rPr>
                <w:rFonts w:ascii="Verdana" w:hAnsi="Verdana"/>
                <w:b/>
                <w:bCs/>
                <w:color w:val="000000"/>
                <w:sz w:val="16"/>
                <w:szCs w:val="16"/>
                <w:lang w:val="bg-BG"/>
              </w:rPr>
              <w:t>Общо сбор</w:t>
            </w:r>
          </w:p>
        </w:tc>
        <w:tc>
          <w:tcPr>
            <w:tcW w:w="338" w:type="pct"/>
            <w:shd w:val="clear" w:color="000000" w:fill="E4DFEC"/>
            <w:noWrap/>
            <w:vAlign w:val="center"/>
            <w:hideMark/>
          </w:tcPr>
          <w:p w:rsidR="00AD796B" w:rsidRPr="00FE5A49" w:rsidRDefault="00AD796B" w:rsidP="004020E1">
            <w:pPr>
              <w:spacing w:after="0"/>
              <w:jc w:val="right"/>
              <w:rPr>
                <w:rFonts w:ascii="Verdana" w:hAnsi="Verdana"/>
                <w:b/>
                <w:bCs/>
                <w:color w:val="000000"/>
                <w:sz w:val="16"/>
                <w:szCs w:val="16"/>
                <w:lang w:val="bg-BG"/>
              </w:rPr>
            </w:pPr>
            <w:r w:rsidRPr="00FE5A49">
              <w:rPr>
                <w:rFonts w:ascii="Verdana" w:hAnsi="Verdana"/>
                <w:b/>
                <w:bCs/>
                <w:color w:val="000000"/>
                <w:sz w:val="16"/>
                <w:szCs w:val="16"/>
                <w:lang w:val="bg-BG"/>
              </w:rPr>
              <w:t> </w:t>
            </w:r>
          </w:p>
        </w:tc>
        <w:tc>
          <w:tcPr>
            <w:tcW w:w="541" w:type="pct"/>
            <w:shd w:val="clear" w:color="000000" w:fill="E4DFEC"/>
            <w:noWrap/>
            <w:vAlign w:val="center"/>
            <w:hideMark/>
          </w:tcPr>
          <w:p w:rsidR="00AD796B" w:rsidRPr="006C3B9C" w:rsidRDefault="00AD796B" w:rsidP="004020E1">
            <w:pPr>
              <w:spacing w:after="0"/>
              <w:jc w:val="right"/>
              <w:rPr>
                <w:rFonts w:ascii="Verdana" w:hAnsi="Verdana"/>
                <w:color w:val="000000"/>
                <w:sz w:val="16"/>
                <w:szCs w:val="16"/>
                <w:lang w:val="bg-BG"/>
              </w:rPr>
            </w:pPr>
            <w:r w:rsidRPr="00843FD1">
              <w:rPr>
                <w:rFonts w:ascii="Verdana" w:hAnsi="Verdana"/>
                <w:color w:val="000000"/>
                <w:sz w:val="16"/>
                <w:szCs w:val="16"/>
              </w:rPr>
              <w:t>582 760 622</w:t>
            </w:r>
          </w:p>
        </w:tc>
        <w:tc>
          <w:tcPr>
            <w:tcW w:w="541" w:type="pct"/>
            <w:shd w:val="clear" w:color="000000" w:fill="E4DFEC"/>
            <w:noWrap/>
            <w:vAlign w:val="center"/>
            <w:hideMark/>
          </w:tcPr>
          <w:p w:rsidR="00AD796B" w:rsidRPr="006C3B9C" w:rsidRDefault="00AD796B" w:rsidP="004020E1">
            <w:pPr>
              <w:spacing w:after="0"/>
              <w:jc w:val="right"/>
              <w:rPr>
                <w:rFonts w:ascii="Verdana" w:hAnsi="Verdana"/>
                <w:color w:val="000000"/>
                <w:sz w:val="16"/>
                <w:szCs w:val="16"/>
                <w:lang w:val="bg-BG"/>
              </w:rPr>
            </w:pPr>
            <w:r w:rsidRPr="00843FD1">
              <w:rPr>
                <w:rFonts w:ascii="Verdana" w:hAnsi="Verdana"/>
                <w:color w:val="000000"/>
                <w:sz w:val="16"/>
                <w:szCs w:val="16"/>
              </w:rPr>
              <w:t> </w:t>
            </w:r>
          </w:p>
        </w:tc>
        <w:tc>
          <w:tcPr>
            <w:tcW w:w="541" w:type="pct"/>
            <w:shd w:val="clear" w:color="000000" w:fill="E4DFEC"/>
            <w:noWrap/>
            <w:vAlign w:val="center"/>
            <w:hideMark/>
          </w:tcPr>
          <w:p w:rsidR="00AD796B" w:rsidRPr="006C3B9C" w:rsidRDefault="00AD796B" w:rsidP="004020E1">
            <w:pPr>
              <w:spacing w:after="0"/>
              <w:jc w:val="right"/>
              <w:rPr>
                <w:rFonts w:ascii="Verdana" w:hAnsi="Verdana"/>
                <w:color w:val="000000"/>
                <w:sz w:val="16"/>
                <w:szCs w:val="16"/>
                <w:lang w:val="bg-BG"/>
              </w:rPr>
            </w:pPr>
            <w:r w:rsidRPr="00843FD1">
              <w:rPr>
                <w:rFonts w:ascii="Verdana" w:hAnsi="Verdana"/>
                <w:color w:val="000000"/>
                <w:sz w:val="16"/>
                <w:szCs w:val="16"/>
              </w:rPr>
              <w:t> </w:t>
            </w:r>
          </w:p>
        </w:tc>
        <w:tc>
          <w:tcPr>
            <w:tcW w:w="541" w:type="pct"/>
            <w:shd w:val="clear" w:color="000000" w:fill="E4DFEC"/>
            <w:noWrap/>
            <w:vAlign w:val="center"/>
            <w:hideMark/>
          </w:tcPr>
          <w:p w:rsidR="00AD796B" w:rsidRPr="006C3B9C" w:rsidRDefault="00AD796B" w:rsidP="004020E1">
            <w:pPr>
              <w:spacing w:after="0"/>
              <w:jc w:val="right"/>
              <w:rPr>
                <w:rFonts w:ascii="Verdana" w:hAnsi="Verdana"/>
                <w:color w:val="000000"/>
                <w:sz w:val="16"/>
                <w:szCs w:val="16"/>
                <w:lang w:val="bg-BG"/>
              </w:rPr>
            </w:pPr>
            <w:r w:rsidRPr="00843FD1">
              <w:rPr>
                <w:rFonts w:ascii="Verdana" w:hAnsi="Verdana"/>
                <w:color w:val="000000"/>
                <w:sz w:val="16"/>
                <w:szCs w:val="16"/>
              </w:rPr>
              <w:t> </w:t>
            </w:r>
          </w:p>
        </w:tc>
        <w:tc>
          <w:tcPr>
            <w:tcW w:w="582" w:type="pct"/>
            <w:shd w:val="clear" w:color="000000" w:fill="E4DFEC"/>
            <w:noWrap/>
            <w:vAlign w:val="center"/>
            <w:hideMark/>
          </w:tcPr>
          <w:p w:rsidR="00AD796B" w:rsidRPr="006C3B9C" w:rsidRDefault="00AD796B" w:rsidP="004020E1">
            <w:pPr>
              <w:spacing w:after="0"/>
              <w:jc w:val="right"/>
              <w:rPr>
                <w:rFonts w:ascii="Verdana" w:hAnsi="Verdana"/>
                <w:color w:val="000000"/>
                <w:sz w:val="16"/>
                <w:szCs w:val="16"/>
                <w:lang w:val="bg-BG"/>
              </w:rPr>
            </w:pPr>
            <w:r w:rsidRPr="00843FD1">
              <w:rPr>
                <w:rFonts w:ascii="Verdana" w:hAnsi="Verdana"/>
                <w:color w:val="000000"/>
                <w:sz w:val="16"/>
                <w:szCs w:val="16"/>
              </w:rPr>
              <w:t> </w:t>
            </w:r>
          </w:p>
        </w:tc>
        <w:tc>
          <w:tcPr>
            <w:tcW w:w="497" w:type="pct"/>
            <w:shd w:val="clear" w:color="000000" w:fill="E4DFEC"/>
            <w:noWrap/>
            <w:vAlign w:val="center"/>
            <w:hideMark/>
          </w:tcPr>
          <w:p w:rsidR="00AD796B" w:rsidRPr="006C3B9C" w:rsidRDefault="00AD796B" w:rsidP="004020E1">
            <w:pPr>
              <w:spacing w:after="0"/>
              <w:jc w:val="right"/>
              <w:rPr>
                <w:rFonts w:ascii="Verdana" w:hAnsi="Verdana"/>
                <w:color w:val="000000"/>
                <w:sz w:val="16"/>
                <w:szCs w:val="16"/>
                <w:lang w:val="bg-BG"/>
              </w:rPr>
            </w:pPr>
            <w:r w:rsidRPr="00843FD1">
              <w:rPr>
                <w:rFonts w:ascii="Verdana" w:hAnsi="Verdana"/>
                <w:color w:val="000000"/>
                <w:sz w:val="16"/>
                <w:szCs w:val="16"/>
              </w:rPr>
              <w:t> </w:t>
            </w:r>
          </w:p>
        </w:tc>
      </w:tr>
    </w:tbl>
    <w:p w:rsidR="00AD796B" w:rsidRDefault="00AD796B" w:rsidP="00AD796B">
      <w:pPr>
        <w:tabs>
          <w:tab w:val="left" w:pos="0"/>
          <w:tab w:val="right" w:pos="9214"/>
        </w:tabs>
        <w:spacing w:after="120"/>
        <w:jc w:val="both"/>
        <w:rPr>
          <w:rFonts w:ascii="Verdana" w:eastAsia="Calibri" w:hAnsi="Verdana"/>
          <w:sz w:val="16"/>
          <w:szCs w:val="16"/>
          <w:lang w:val="bg-BG"/>
        </w:rPr>
      </w:pPr>
      <w:r w:rsidRPr="0022413E">
        <w:rPr>
          <w:rFonts w:ascii="Verdana" w:eastAsia="Calibri" w:hAnsi="Verdana"/>
          <w:i/>
          <w:sz w:val="16"/>
          <w:szCs w:val="16"/>
          <w:lang w:val="bg-BG"/>
        </w:rPr>
        <w:t>Източник</w:t>
      </w:r>
      <w:r w:rsidRPr="0022413E">
        <w:rPr>
          <w:rFonts w:ascii="Verdana" w:eastAsia="Calibri" w:hAnsi="Verdana"/>
          <w:sz w:val="16"/>
          <w:szCs w:val="16"/>
          <w:lang w:val="bg-BG"/>
        </w:rPr>
        <w:t>: ИСУН, Оперативна програма „</w:t>
      </w:r>
      <w:r w:rsidRPr="0022413E">
        <w:rPr>
          <w:rFonts w:ascii="Verdana" w:eastAsia="Times New Roman" w:hAnsi="Verdana"/>
          <w:bCs/>
          <w:color w:val="000000"/>
          <w:sz w:val="16"/>
          <w:szCs w:val="16"/>
          <w:lang w:val="bg-BG" w:eastAsia="bg-BG"/>
        </w:rPr>
        <w:t>Наука и образование за интелигентен растеж</w:t>
      </w:r>
      <w:r>
        <w:rPr>
          <w:rFonts w:ascii="Verdana" w:eastAsia="Calibri" w:hAnsi="Verdana"/>
          <w:sz w:val="16"/>
          <w:szCs w:val="16"/>
          <w:lang w:val="bg-BG"/>
        </w:rPr>
        <w:t xml:space="preserve"> 2014-2020 г.”</w:t>
      </w:r>
      <w:r w:rsidRPr="0022413E">
        <w:rPr>
          <w:rFonts w:ascii="Verdana" w:eastAsia="Calibri" w:hAnsi="Verdana"/>
          <w:sz w:val="16"/>
          <w:szCs w:val="16"/>
          <w:lang w:val="bg-BG"/>
        </w:rPr>
        <w:t>, собствени изчисления.</w:t>
      </w:r>
    </w:p>
    <w:p w:rsidR="00390DD1" w:rsidRPr="0022413E" w:rsidRDefault="00390DD1" w:rsidP="00AD796B">
      <w:pPr>
        <w:tabs>
          <w:tab w:val="left" w:pos="0"/>
          <w:tab w:val="right" w:pos="9214"/>
        </w:tabs>
        <w:spacing w:after="120"/>
        <w:jc w:val="both"/>
        <w:rPr>
          <w:rFonts w:ascii="Verdana" w:eastAsia="Calibri" w:hAnsi="Verdana"/>
          <w:sz w:val="16"/>
          <w:szCs w:val="16"/>
          <w:lang w:val="bg-BG"/>
        </w:rPr>
      </w:pPr>
    </w:p>
    <w:p w:rsidR="00AD796B" w:rsidRDefault="00AD796B" w:rsidP="00AD796B">
      <w:pPr>
        <w:tabs>
          <w:tab w:val="left" w:pos="0"/>
          <w:tab w:val="right" w:pos="9214"/>
        </w:tabs>
        <w:spacing w:after="120"/>
        <w:jc w:val="both"/>
        <w:rPr>
          <w:rFonts w:ascii="Verdana" w:eastAsia="Calibri" w:hAnsi="Verdana"/>
          <w:sz w:val="20"/>
          <w:szCs w:val="20"/>
          <w:lang w:val="bg-BG"/>
        </w:rPr>
      </w:pPr>
      <w:r>
        <w:rPr>
          <w:rFonts w:ascii="Verdana" w:eastAsia="Calibri" w:hAnsi="Verdana"/>
          <w:sz w:val="20"/>
          <w:szCs w:val="20"/>
          <w:lang w:val="bg-BG"/>
        </w:rPr>
        <w:t xml:space="preserve">За подобряването на </w:t>
      </w:r>
      <w:r w:rsidRPr="0022413E">
        <w:rPr>
          <w:rFonts w:ascii="Verdana" w:eastAsia="Calibri" w:hAnsi="Verdana"/>
          <w:color w:val="548DD4" w:themeColor="text2" w:themeTint="99"/>
          <w:sz w:val="20"/>
          <w:szCs w:val="20"/>
          <w:lang w:val="bg-BG"/>
        </w:rPr>
        <w:t xml:space="preserve">образованието и ученето през целия живот (ПО 2) </w:t>
      </w:r>
      <w:r>
        <w:rPr>
          <w:rFonts w:ascii="Verdana" w:eastAsia="Calibri" w:hAnsi="Verdana"/>
          <w:sz w:val="20"/>
          <w:szCs w:val="20"/>
          <w:lang w:val="bg-BG"/>
        </w:rPr>
        <w:t>са заделени около 36% от всички предвидени към момента средства по програмата.</w:t>
      </w:r>
      <w:r>
        <w:rPr>
          <w:rFonts w:ascii="Verdana" w:eastAsia="Calibri" w:hAnsi="Verdana"/>
          <w:sz w:val="20"/>
          <w:szCs w:val="20"/>
        </w:rPr>
        <w:t xml:space="preserve"> </w:t>
      </w:r>
      <w:r>
        <w:rPr>
          <w:rFonts w:ascii="Verdana" w:eastAsia="Calibri" w:hAnsi="Verdana"/>
          <w:sz w:val="20"/>
          <w:szCs w:val="20"/>
          <w:lang w:val="bg-BG"/>
        </w:rPr>
        <w:t xml:space="preserve">С предвидените над 200 млн. евро европейско финансиране се цели подобрение на ключовите компетентности на децата в предучилищните и училищни институции, задържане и повишаване на мотивацията на децата в училищата, управление на качеството в образователната система, подобряване на дела и качеството на завършилите висше образование и оптимизиране на системата за висше образование и стимулиране на ученето приз целия живот. </w:t>
      </w:r>
    </w:p>
    <w:p w:rsidR="00AD796B" w:rsidRDefault="00AD796B" w:rsidP="00AD796B">
      <w:pPr>
        <w:tabs>
          <w:tab w:val="left" w:pos="0"/>
          <w:tab w:val="right" w:pos="9214"/>
        </w:tabs>
        <w:spacing w:after="120"/>
        <w:jc w:val="both"/>
        <w:rPr>
          <w:rFonts w:ascii="Verdana" w:eastAsia="Calibri" w:hAnsi="Verdana"/>
          <w:sz w:val="20"/>
          <w:szCs w:val="20"/>
          <w:lang w:val="bg-BG"/>
        </w:rPr>
      </w:pPr>
      <w:r>
        <w:rPr>
          <w:rFonts w:ascii="Verdana" w:eastAsia="Calibri" w:hAnsi="Verdana"/>
          <w:sz w:val="20"/>
          <w:szCs w:val="20"/>
          <w:lang w:val="bg-BG"/>
        </w:rPr>
        <w:t xml:space="preserve">Предвид високата </w:t>
      </w:r>
      <w:proofErr w:type="spellStart"/>
      <w:r>
        <w:rPr>
          <w:rFonts w:ascii="Verdana" w:eastAsia="Calibri" w:hAnsi="Verdana"/>
          <w:sz w:val="20"/>
          <w:szCs w:val="20"/>
          <w:lang w:val="bg-BG"/>
        </w:rPr>
        <w:t>приоритетност</w:t>
      </w:r>
      <w:proofErr w:type="spellEnd"/>
      <w:r>
        <w:rPr>
          <w:rFonts w:ascii="Verdana" w:eastAsia="Calibri" w:hAnsi="Verdana"/>
          <w:sz w:val="20"/>
          <w:szCs w:val="20"/>
          <w:lang w:val="bg-BG"/>
        </w:rPr>
        <w:t xml:space="preserve"> на образованието за постигането на интелигентния растеж в дългосрочен план, увеличението от 5%, което на практика се изразява в намаление в реално изражение, изглежда недостатъчно. Оценителят обаче не може да препоръча неговото увеличение, предвид, че общите суми по фондове за ОП </w:t>
      </w:r>
      <w:r>
        <w:rPr>
          <w:rFonts w:ascii="Verdana" w:eastAsia="Calibri" w:hAnsi="Verdana"/>
          <w:sz w:val="20"/>
          <w:szCs w:val="20"/>
          <w:lang w:val="bg-BG"/>
        </w:rPr>
        <w:lastRenderedPageBreak/>
        <w:t>НОИР са определени на ниво Споразумение за партньорство, а от ресурсът по ЕСФ за ПО 3 и ПО 4 не би следвало да бъде намаляван.</w:t>
      </w:r>
    </w:p>
    <w:p w:rsidR="00AD796B" w:rsidRDefault="00AD796B" w:rsidP="00AD796B">
      <w:pPr>
        <w:tabs>
          <w:tab w:val="left" w:pos="0"/>
          <w:tab w:val="right" w:pos="9214"/>
        </w:tabs>
        <w:spacing w:after="120"/>
        <w:jc w:val="both"/>
        <w:rPr>
          <w:rFonts w:ascii="Verdana" w:eastAsia="Calibri" w:hAnsi="Verdana"/>
          <w:sz w:val="20"/>
          <w:szCs w:val="20"/>
          <w:lang w:val="bg-BG"/>
        </w:rPr>
      </w:pPr>
      <w:r>
        <w:rPr>
          <w:rFonts w:ascii="Verdana" w:eastAsia="Calibri" w:hAnsi="Verdana"/>
          <w:sz w:val="20"/>
          <w:szCs w:val="20"/>
          <w:lang w:val="bg-BG"/>
        </w:rPr>
        <w:t xml:space="preserve">Друг важен въпрос е свързан и с разпределението на средствата по </w:t>
      </w:r>
      <w:proofErr w:type="spellStart"/>
      <w:r>
        <w:rPr>
          <w:rFonts w:ascii="Verdana" w:eastAsia="Calibri" w:hAnsi="Verdana"/>
          <w:sz w:val="20"/>
          <w:szCs w:val="20"/>
          <w:lang w:val="bg-BG"/>
        </w:rPr>
        <w:t>ПО</w:t>
      </w:r>
      <w:proofErr w:type="spellEnd"/>
      <w:r>
        <w:rPr>
          <w:rFonts w:ascii="Verdana" w:eastAsia="Calibri" w:hAnsi="Verdana"/>
          <w:sz w:val="20"/>
          <w:szCs w:val="20"/>
          <w:lang w:val="bg-BG"/>
        </w:rPr>
        <w:t xml:space="preserve"> 2 между цялото многообразие от дейности, обхванати в тази приоритетна ос, за което, на този етап, няма информация. Вероятно това разпределение ще може да бъде оценено, когато се разпише инвестиционната стратегия и във финансовата обосновка се даде информация относно начина, по който ще бъде спазено изискването за фокусиране на поне 60% от всички средства по ЕСФ в рамките на най-много 5 инвестиционни приоритета.</w:t>
      </w:r>
    </w:p>
    <w:p w:rsidR="00AD796B" w:rsidRDefault="00AD796B" w:rsidP="00AD796B">
      <w:pPr>
        <w:tabs>
          <w:tab w:val="left" w:pos="0"/>
          <w:tab w:val="right" w:pos="9214"/>
        </w:tabs>
        <w:spacing w:after="120"/>
        <w:jc w:val="both"/>
        <w:rPr>
          <w:rFonts w:ascii="Verdana" w:eastAsia="Calibri" w:hAnsi="Verdana"/>
          <w:sz w:val="20"/>
          <w:szCs w:val="20"/>
          <w:lang w:val="bg-BG"/>
        </w:rPr>
      </w:pPr>
      <w:r>
        <w:rPr>
          <w:rFonts w:ascii="Verdana" w:eastAsia="Calibri" w:hAnsi="Verdana"/>
          <w:sz w:val="20"/>
          <w:szCs w:val="20"/>
          <w:lang w:val="bg-BG"/>
        </w:rPr>
        <w:t xml:space="preserve">В рамките на </w:t>
      </w:r>
      <w:r w:rsidRPr="0022413E">
        <w:rPr>
          <w:rFonts w:ascii="Verdana" w:eastAsia="Calibri" w:hAnsi="Verdana"/>
          <w:color w:val="548DD4" w:themeColor="text2" w:themeTint="99"/>
          <w:sz w:val="20"/>
          <w:szCs w:val="20"/>
          <w:lang w:val="bg-BG"/>
        </w:rPr>
        <w:t xml:space="preserve">приоритетна ос 3 „Образователна среда за активно социално приобщаване” </w:t>
      </w:r>
      <w:r>
        <w:rPr>
          <w:rFonts w:ascii="Verdana" w:eastAsia="Calibri" w:hAnsi="Verdana"/>
          <w:sz w:val="20"/>
          <w:szCs w:val="20"/>
          <w:lang w:val="bg-BG"/>
        </w:rPr>
        <w:t xml:space="preserve">са предвидени редица мерки за подобряване на достъпа до образование на уязвимите групи в обществото,  хора с увреждания, социално слаби и други, както и на ученици с девиантно поведение и етнически малцинства. Основна цел ще бъде да се насърчи разгръщането на максималния потенциал на всяко дете, ученик или студент. </w:t>
      </w:r>
    </w:p>
    <w:p w:rsidR="00AD796B" w:rsidRDefault="00AD796B" w:rsidP="00AD796B">
      <w:pPr>
        <w:tabs>
          <w:tab w:val="left" w:pos="0"/>
          <w:tab w:val="right" w:pos="9214"/>
        </w:tabs>
        <w:spacing w:after="120"/>
        <w:jc w:val="both"/>
        <w:rPr>
          <w:rFonts w:ascii="Verdana" w:eastAsia="Calibri" w:hAnsi="Verdana"/>
          <w:sz w:val="20"/>
          <w:szCs w:val="20"/>
          <w:lang w:val="bg-BG"/>
        </w:rPr>
      </w:pPr>
      <w:r>
        <w:rPr>
          <w:rFonts w:ascii="Verdana" w:eastAsia="Calibri" w:hAnsi="Verdana"/>
          <w:sz w:val="20"/>
          <w:szCs w:val="20"/>
          <w:lang w:val="bg-BG"/>
        </w:rPr>
        <w:t xml:space="preserve">За постигането на поставените цели във връзка с приобщаването към образованието, са заделени 107 млн. евро, европейско финансиране. Този ресурс е значително по-малък от финансирането по аналогични дейности през 2007-2013 г. по ОПРЧР. Отново, обаче, е невъзможно да се препоръча увеличение на ресурса по </w:t>
      </w:r>
      <w:proofErr w:type="spellStart"/>
      <w:r>
        <w:rPr>
          <w:rFonts w:ascii="Verdana" w:eastAsia="Calibri" w:hAnsi="Verdana"/>
          <w:sz w:val="20"/>
          <w:szCs w:val="20"/>
          <w:lang w:val="bg-BG"/>
        </w:rPr>
        <w:t>ПО</w:t>
      </w:r>
      <w:proofErr w:type="spellEnd"/>
      <w:r>
        <w:rPr>
          <w:rFonts w:ascii="Verdana" w:eastAsia="Calibri" w:hAnsi="Verdana"/>
          <w:sz w:val="20"/>
          <w:szCs w:val="20"/>
          <w:lang w:val="bg-BG"/>
        </w:rPr>
        <w:t xml:space="preserve"> 3, предвид недостатъчното общо финансиране по ЕСФ, заделено за ОП НОИР.</w:t>
      </w:r>
    </w:p>
    <w:p w:rsidR="00AD796B" w:rsidRPr="000515A1" w:rsidRDefault="00AD796B" w:rsidP="00AD796B">
      <w:pPr>
        <w:tabs>
          <w:tab w:val="left" w:pos="0"/>
          <w:tab w:val="right" w:pos="9214"/>
        </w:tabs>
        <w:spacing w:after="120"/>
        <w:jc w:val="both"/>
        <w:rPr>
          <w:rFonts w:ascii="Verdana" w:eastAsia="Calibri" w:hAnsi="Verdana"/>
          <w:sz w:val="20"/>
          <w:szCs w:val="20"/>
          <w:lang w:val="bg-BG"/>
        </w:rPr>
      </w:pPr>
      <w:r w:rsidRPr="0022413E">
        <w:rPr>
          <w:rFonts w:ascii="Verdana" w:eastAsia="Calibri" w:hAnsi="Verdana"/>
          <w:color w:val="548DD4" w:themeColor="text2" w:themeTint="99"/>
          <w:sz w:val="20"/>
          <w:szCs w:val="20"/>
          <w:lang w:val="bg-BG"/>
        </w:rPr>
        <w:t xml:space="preserve">Приоритетна ос 4 </w:t>
      </w:r>
      <w:r>
        <w:rPr>
          <w:rFonts w:ascii="Verdana" w:eastAsia="Calibri" w:hAnsi="Verdana"/>
          <w:sz w:val="20"/>
          <w:szCs w:val="20"/>
          <w:lang w:val="bg-BG"/>
        </w:rPr>
        <w:t>се отнася за техническа помощ. Нейният обхват включва материално-техническо осигуряване на УО на ОП НОИР, комуникационни дейности, разработване на информационна система и други. Предвид, че ОПНОИР е формирана като оперативна програма едва през настоящия програмен период, тези близо 24 млн. заделени средства за техническа помощ биха могли да имат висока добавена стойност за постигането на целите на програмата, ако бъдат ефективно и ефикасно разходвани.</w:t>
      </w:r>
    </w:p>
    <w:p w:rsidR="00AD796B" w:rsidRPr="00A65DB8" w:rsidRDefault="00AD796B" w:rsidP="00AD796B">
      <w:pPr>
        <w:keepNext/>
        <w:widowControl w:val="0"/>
        <w:tabs>
          <w:tab w:val="left" w:pos="0"/>
          <w:tab w:val="right" w:pos="9214"/>
        </w:tabs>
        <w:spacing w:before="240" w:after="120"/>
        <w:jc w:val="both"/>
        <w:rPr>
          <w:rFonts w:ascii="Verdana" w:eastAsia="Times New Roman" w:hAnsi="Verdana"/>
          <w:bCs/>
          <w:color w:val="0070C0"/>
          <w:sz w:val="20"/>
          <w:szCs w:val="20"/>
          <w:lang w:val="bg-BG" w:eastAsia="bg-BG"/>
        </w:rPr>
      </w:pPr>
      <w:r w:rsidRPr="00A65DB8">
        <w:rPr>
          <w:rFonts w:ascii="Verdana" w:eastAsia="Times New Roman" w:hAnsi="Verdana"/>
          <w:bCs/>
          <w:color w:val="0070C0"/>
          <w:sz w:val="20"/>
          <w:szCs w:val="20"/>
          <w:lang w:val="bg-BG" w:eastAsia="bg-BG"/>
        </w:rPr>
        <w:t xml:space="preserve">Сравнение на разпределението на бюджета за сходни дейности по години спрямо програмния период 2007-2013 г. </w:t>
      </w:r>
    </w:p>
    <w:p w:rsidR="00AD796B" w:rsidRDefault="00AD796B" w:rsidP="00AD796B">
      <w:pPr>
        <w:tabs>
          <w:tab w:val="left" w:pos="0"/>
          <w:tab w:val="right" w:pos="9214"/>
        </w:tabs>
        <w:spacing w:after="120"/>
        <w:jc w:val="both"/>
        <w:rPr>
          <w:rFonts w:ascii="Verdana" w:eastAsia="Calibri" w:hAnsi="Verdana"/>
          <w:sz w:val="20"/>
          <w:szCs w:val="20"/>
          <w:lang w:val="bg-BG"/>
        </w:rPr>
      </w:pPr>
      <w:r>
        <w:rPr>
          <w:rFonts w:ascii="Verdana" w:eastAsia="Calibri" w:hAnsi="Verdana"/>
          <w:sz w:val="20"/>
          <w:szCs w:val="20"/>
          <w:lang w:val="bg-BG"/>
        </w:rPr>
        <w:t>Финансовото разпределение по ОПНОИР е разгледано и от гледна точка на заложения профил на бюджетни ангажименти по години.</w:t>
      </w:r>
    </w:p>
    <w:p w:rsidR="00AD796B" w:rsidRDefault="00AD796B" w:rsidP="00AD796B">
      <w:pPr>
        <w:widowControl w:val="0"/>
        <w:tabs>
          <w:tab w:val="left" w:pos="0"/>
          <w:tab w:val="right" w:pos="9072"/>
        </w:tabs>
        <w:spacing w:before="120" w:after="120"/>
        <w:ind w:right="108"/>
        <w:jc w:val="center"/>
        <w:rPr>
          <w:rFonts w:ascii="Verdana" w:eastAsia="Times New Roman" w:hAnsi="Verdana"/>
          <w:bCs/>
          <w:color w:val="000000"/>
          <w:sz w:val="14"/>
          <w:szCs w:val="14"/>
          <w:lang w:val="bg-BG" w:eastAsia="bg-BG"/>
        </w:rPr>
      </w:pPr>
      <w:r>
        <w:rPr>
          <w:rFonts w:ascii="Verdana" w:eastAsia="Times New Roman" w:hAnsi="Verdana"/>
          <w:bCs/>
          <w:noProof/>
          <w:color w:val="000000"/>
          <w:sz w:val="14"/>
          <w:szCs w:val="14"/>
          <w:lang w:val="bg-BG" w:eastAsia="bg-BG"/>
        </w:rPr>
        <w:lastRenderedPageBreak/>
        <w:drawing>
          <wp:inline distT="0" distB="0" distL="0" distR="0">
            <wp:extent cx="4152900" cy="2758440"/>
            <wp:effectExtent l="0" t="0" r="0" b="3810"/>
            <wp:docPr id="19" name="Picture 19" descr="Alloc_yea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lloc_years"/>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152900" cy="2758440"/>
                    </a:xfrm>
                    <a:prstGeom prst="rect">
                      <a:avLst/>
                    </a:prstGeom>
                    <a:noFill/>
                    <a:ln>
                      <a:noFill/>
                    </a:ln>
                  </pic:spPr>
                </pic:pic>
              </a:graphicData>
            </a:graphic>
          </wp:inline>
        </w:drawing>
      </w:r>
    </w:p>
    <w:p w:rsidR="00AD796B" w:rsidRPr="007C793F" w:rsidRDefault="00AD796B" w:rsidP="00AD796B">
      <w:pPr>
        <w:widowControl w:val="0"/>
        <w:tabs>
          <w:tab w:val="left" w:pos="0"/>
          <w:tab w:val="right" w:pos="9072"/>
        </w:tabs>
        <w:spacing w:before="120" w:after="120"/>
        <w:ind w:right="108"/>
        <w:jc w:val="center"/>
        <w:rPr>
          <w:rFonts w:ascii="Verdana" w:eastAsia="Times New Roman" w:hAnsi="Verdana"/>
          <w:bCs/>
          <w:color w:val="000000"/>
          <w:sz w:val="14"/>
          <w:szCs w:val="14"/>
          <w:lang w:val="bg-BG" w:eastAsia="bg-BG"/>
        </w:rPr>
      </w:pPr>
      <w:r w:rsidRPr="007C793F">
        <w:rPr>
          <w:rFonts w:ascii="Verdana" w:eastAsia="Times New Roman" w:hAnsi="Verdana"/>
          <w:bCs/>
          <w:color w:val="000000"/>
          <w:sz w:val="14"/>
          <w:szCs w:val="14"/>
          <w:lang w:val="bg-BG" w:eastAsia="bg-BG"/>
        </w:rPr>
        <w:t>Източник: ИСУН, Оперативна програма „</w:t>
      </w:r>
      <w:r w:rsidRPr="00F12AE3">
        <w:rPr>
          <w:rFonts w:ascii="Verdana" w:eastAsia="Times New Roman" w:hAnsi="Verdana"/>
          <w:bCs/>
          <w:color w:val="000000"/>
          <w:sz w:val="14"/>
          <w:szCs w:val="14"/>
          <w:lang w:val="bg-BG" w:eastAsia="bg-BG"/>
        </w:rPr>
        <w:t>Наука и образование за интелигентен растеж</w:t>
      </w:r>
      <w:r>
        <w:rPr>
          <w:rFonts w:ascii="Verdana" w:eastAsia="Calibri" w:hAnsi="Verdana"/>
          <w:sz w:val="14"/>
          <w:szCs w:val="14"/>
          <w:lang w:val="bg-BG"/>
        </w:rPr>
        <w:t xml:space="preserve"> 2014-2020 , </w:t>
      </w:r>
      <w:r w:rsidRPr="007C793F">
        <w:rPr>
          <w:rFonts w:ascii="Verdana" w:eastAsia="Times New Roman" w:hAnsi="Verdana"/>
          <w:bCs/>
          <w:color w:val="000000"/>
          <w:sz w:val="14"/>
          <w:szCs w:val="14"/>
          <w:lang w:val="bg-BG" w:eastAsia="bg-BG"/>
        </w:rPr>
        <w:t>собствени изчисления</w:t>
      </w:r>
    </w:p>
    <w:p w:rsidR="00AD796B" w:rsidRDefault="00AD796B" w:rsidP="00AD796B">
      <w:pPr>
        <w:pStyle w:val="Caption"/>
        <w:spacing w:before="240"/>
        <w:ind w:left="-142"/>
        <w:jc w:val="center"/>
        <w:rPr>
          <w:rFonts w:ascii="Verdana" w:hAnsi="Verdana"/>
          <w:bCs w:val="0"/>
          <w:color w:val="006CB6"/>
          <w:lang w:eastAsia="en-US"/>
        </w:rPr>
      </w:pPr>
      <w:bookmarkStart w:id="141" w:name="_Toc381712245"/>
      <w:bookmarkStart w:id="142" w:name="_Toc395609461"/>
      <w:r w:rsidRPr="00DD3A56">
        <w:rPr>
          <w:rFonts w:ascii="Verdana" w:hAnsi="Verdana"/>
          <w:bCs w:val="0"/>
          <w:color w:val="006CB6"/>
          <w:lang w:eastAsia="en-US"/>
        </w:rPr>
        <w:t xml:space="preserve">Фигура </w:t>
      </w:r>
      <w:r w:rsidRPr="00D62ACA">
        <w:rPr>
          <w:rFonts w:ascii="Verdana" w:hAnsi="Verdana"/>
          <w:bCs w:val="0"/>
          <w:color w:val="006CB6"/>
          <w:lang w:val="en-US" w:eastAsia="en-US"/>
        </w:rPr>
        <w:fldChar w:fldCharType="begin"/>
      </w:r>
      <w:r w:rsidRPr="00D62ACA">
        <w:rPr>
          <w:rFonts w:ascii="Verdana" w:hAnsi="Verdana"/>
          <w:bCs w:val="0"/>
          <w:color w:val="006CB6"/>
          <w:lang w:val="en-US" w:eastAsia="en-US"/>
        </w:rPr>
        <w:instrText>SEQ</w:instrText>
      </w:r>
      <w:r w:rsidRPr="00DD3A56">
        <w:rPr>
          <w:rFonts w:ascii="Verdana" w:hAnsi="Verdana"/>
          <w:bCs w:val="0"/>
          <w:color w:val="006CB6"/>
          <w:lang w:eastAsia="en-US"/>
        </w:rPr>
        <w:instrText xml:space="preserve"> фигура \* </w:instrText>
      </w:r>
      <w:r w:rsidRPr="00D62ACA">
        <w:rPr>
          <w:rFonts w:ascii="Verdana" w:hAnsi="Verdana"/>
          <w:bCs w:val="0"/>
          <w:color w:val="006CB6"/>
          <w:lang w:val="en-US" w:eastAsia="en-US"/>
        </w:rPr>
        <w:instrText>ARABIC</w:instrText>
      </w:r>
      <w:r w:rsidRPr="00D62ACA">
        <w:rPr>
          <w:rFonts w:ascii="Verdana" w:hAnsi="Verdana"/>
          <w:bCs w:val="0"/>
          <w:color w:val="006CB6"/>
          <w:lang w:val="en-US" w:eastAsia="en-US"/>
        </w:rPr>
        <w:fldChar w:fldCharType="separate"/>
      </w:r>
      <w:r w:rsidR="001361E0">
        <w:rPr>
          <w:rFonts w:ascii="Verdana" w:hAnsi="Verdana"/>
          <w:bCs w:val="0"/>
          <w:noProof/>
          <w:color w:val="006CB6"/>
          <w:lang w:val="en-US" w:eastAsia="en-US"/>
        </w:rPr>
        <w:t>7</w:t>
      </w:r>
      <w:r w:rsidRPr="00D62ACA">
        <w:rPr>
          <w:rFonts w:ascii="Verdana" w:hAnsi="Verdana"/>
          <w:bCs w:val="0"/>
          <w:color w:val="006CB6"/>
          <w:lang w:val="en-US" w:eastAsia="en-US"/>
        </w:rPr>
        <w:fldChar w:fldCharType="end"/>
      </w:r>
      <w:r w:rsidRPr="00DD3A56">
        <w:rPr>
          <w:rFonts w:ascii="Verdana" w:hAnsi="Verdana"/>
          <w:bCs w:val="0"/>
          <w:color w:val="006CB6"/>
          <w:lang w:eastAsia="en-US"/>
        </w:rPr>
        <w:t xml:space="preserve">: Разбивка на </w:t>
      </w:r>
      <w:r>
        <w:rPr>
          <w:rFonts w:ascii="Verdana" w:hAnsi="Verdana"/>
          <w:bCs w:val="0"/>
          <w:color w:val="006CB6"/>
          <w:lang w:eastAsia="en-US"/>
        </w:rPr>
        <w:t xml:space="preserve">бюджетните ангажименти по </w:t>
      </w:r>
      <w:r w:rsidRPr="00DD3A56">
        <w:rPr>
          <w:rFonts w:ascii="Verdana" w:hAnsi="Verdana"/>
          <w:bCs w:val="0"/>
          <w:color w:val="006CB6"/>
          <w:lang w:eastAsia="en-US"/>
        </w:rPr>
        <w:t xml:space="preserve">години на ОП </w:t>
      </w:r>
      <w:r>
        <w:rPr>
          <w:rFonts w:ascii="Verdana" w:hAnsi="Verdana"/>
          <w:bCs w:val="0"/>
          <w:color w:val="006CB6"/>
          <w:lang w:eastAsia="en-US"/>
        </w:rPr>
        <w:t xml:space="preserve">НОИР2014-2020 г. в сравнение със съпоставими инвестиции през </w:t>
      </w:r>
      <w:r w:rsidRPr="00DD3A56">
        <w:rPr>
          <w:rFonts w:ascii="Verdana" w:hAnsi="Verdana"/>
          <w:bCs w:val="0"/>
          <w:color w:val="006CB6"/>
          <w:lang w:eastAsia="en-US"/>
        </w:rPr>
        <w:t>2007-2013</w:t>
      </w:r>
      <w:r>
        <w:rPr>
          <w:rFonts w:ascii="Verdana" w:hAnsi="Verdana"/>
          <w:bCs w:val="0"/>
          <w:color w:val="006CB6"/>
          <w:lang w:eastAsia="en-US"/>
        </w:rPr>
        <w:t> </w:t>
      </w:r>
      <w:r w:rsidRPr="00DD3A56">
        <w:rPr>
          <w:rFonts w:ascii="Verdana" w:hAnsi="Verdana"/>
          <w:bCs w:val="0"/>
          <w:color w:val="006CB6"/>
          <w:lang w:eastAsia="en-US"/>
        </w:rPr>
        <w:t>г.</w:t>
      </w:r>
      <w:bookmarkEnd w:id="141"/>
      <w:bookmarkEnd w:id="142"/>
    </w:p>
    <w:p w:rsidR="00AD796B" w:rsidRDefault="00AD796B" w:rsidP="00AD796B">
      <w:pPr>
        <w:tabs>
          <w:tab w:val="left" w:pos="0"/>
          <w:tab w:val="right" w:pos="9214"/>
        </w:tabs>
        <w:spacing w:after="120"/>
        <w:jc w:val="both"/>
        <w:rPr>
          <w:rFonts w:ascii="Verdana" w:eastAsia="Calibri" w:hAnsi="Verdana"/>
          <w:sz w:val="20"/>
          <w:szCs w:val="20"/>
          <w:lang w:val="bg-BG"/>
        </w:rPr>
      </w:pPr>
    </w:p>
    <w:p w:rsidR="00AD796B" w:rsidRDefault="00AD796B" w:rsidP="00AD796B">
      <w:pPr>
        <w:tabs>
          <w:tab w:val="left" w:pos="0"/>
          <w:tab w:val="right" w:pos="9214"/>
        </w:tabs>
        <w:spacing w:after="120"/>
        <w:jc w:val="both"/>
        <w:rPr>
          <w:rFonts w:ascii="Verdana" w:eastAsia="Calibri" w:hAnsi="Verdana"/>
          <w:sz w:val="20"/>
          <w:szCs w:val="20"/>
          <w:lang w:val="bg-BG"/>
        </w:rPr>
      </w:pPr>
      <w:r w:rsidRPr="00CA5C53">
        <w:rPr>
          <w:rFonts w:ascii="Verdana" w:eastAsia="Calibri" w:hAnsi="Verdana"/>
          <w:sz w:val="20"/>
          <w:szCs w:val="20"/>
          <w:lang w:val="bg-BG"/>
        </w:rPr>
        <w:t xml:space="preserve">Заложеното в програмата разпределение на бюджета по години не изглежда амбициозно, като предполага малко под </w:t>
      </w:r>
      <w:r>
        <w:rPr>
          <w:rFonts w:ascii="Verdana" w:eastAsia="Calibri" w:hAnsi="Verdana"/>
          <w:sz w:val="20"/>
          <w:szCs w:val="20"/>
          <w:lang w:val="bg-BG"/>
        </w:rPr>
        <w:t xml:space="preserve">1/5 </w:t>
      </w:r>
      <w:r w:rsidRPr="00CA5C53">
        <w:rPr>
          <w:rFonts w:ascii="Verdana" w:eastAsia="Calibri" w:hAnsi="Verdana"/>
          <w:sz w:val="20"/>
          <w:szCs w:val="20"/>
          <w:lang w:val="bg-BG"/>
        </w:rPr>
        <w:t>от финансовия ресурс по програмата да бъде сертифициран към края на 20</w:t>
      </w:r>
      <w:r>
        <w:rPr>
          <w:rFonts w:ascii="Verdana" w:eastAsia="Calibri" w:hAnsi="Verdana"/>
          <w:sz w:val="20"/>
          <w:szCs w:val="20"/>
          <w:lang w:val="bg-BG"/>
        </w:rPr>
        <w:t>20</w:t>
      </w:r>
      <w:r w:rsidRPr="00CA5C53">
        <w:rPr>
          <w:rFonts w:ascii="Verdana" w:eastAsia="Calibri" w:hAnsi="Verdana"/>
          <w:sz w:val="20"/>
          <w:szCs w:val="20"/>
          <w:lang w:val="bg-BG"/>
        </w:rPr>
        <w:t xml:space="preserve"> г. </w:t>
      </w:r>
      <w:r>
        <w:rPr>
          <w:rFonts w:ascii="Verdana" w:eastAsia="Calibri" w:hAnsi="Verdana"/>
          <w:sz w:val="20"/>
          <w:szCs w:val="20"/>
          <w:lang w:val="bg-BG"/>
        </w:rPr>
        <w:t xml:space="preserve">През първите години от </w:t>
      </w:r>
      <w:r w:rsidRPr="00384122">
        <w:rPr>
          <w:rFonts w:ascii="Verdana" w:eastAsia="Calibri" w:hAnsi="Verdana"/>
          <w:sz w:val="20"/>
          <w:szCs w:val="20"/>
          <w:lang w:val="bg-BG"/>
        </w:rPr>
        <w:t xml:space="preserve">изпълнението на ОП НОИР 2014-2020 </w:t>
      </w:r>
      <w:r>
        <w:rPr>
          <w:rFonts w:ascii="Verdana" w:eastAsia="Calibri" w:hAnsi="Verdana"/>
          <w:sz w:val="20"/>
          <w:szCs w:val="20"/>
          <w:lang w:val="bg-BG"/>
        </w:rPr>
        <w:t xml:space="preserve">са заложени </w:t>
      </w:r>
      <w:r w:rsidRPr="00384122">
        <w:rPr>
          <w:rFonts w:ascii="Verdana" w:eastAsia="Calibri" w:hAnsi="Verdana"/>
          <w:sz w:val="20"/>
          <w:szCs w:val="20"/>
          <w:lang w:val="bg-BG"/>
        </w:rPr>
        <w:t>по-ниски бюджетни ангажименти за сметка на последващите години, когато се очаква сертифиц</w:t>
      </w:r>
      <w:r>
        <w:rPr>
          <w:rFonts w:ascii="Verdana" w:eastAsia="Calibri" w:hAnsi="Verdana"/>
          <w:sz w:val="20"/>
          <w:szCs w:val="20"/>
          <w:lang w:val="bg-BG"/>
        </w:rPr>
        <w:t>ирането да се ускори значително, като по този начин бюджетните ангажименти плавно нарастват през целия програмен период.</w:t>
      </w:r>
    </w:p>
    <w:p w:rsidR="00AD796B" w:rsidRPr="00CA5C53" w:rsidRDefault="00AD796B" w:rsidP="00AD796B">
      <w:pPr>
        <w:tabs>
          <w:tab w:val="left" w:pos="0"/>
          <w:tab w:val="right" w:pos="9214"/>
        </w:tabs>
        <w:spacing w:after="120"/>
        <w:jc w:val="both"/>
        <w:rPr>
          <w:rFonts w:ascii="Verdana" w:eastAsia="Calibri" w:hAnsi="Verdana"/>
          <w:sz w:val="20"/>
          <w:szCs w:val="20"/>
          <w:lang w:val="bg-BG"/>
        </w:rPr>
      </w:pPr>
      <w:r w:rsidRPr="00CA5C53">
        <w:rPr>
          <w:rFonts w:ascii="Verdana" w:eastAsia="Calibri" w:hAnsi="Verdana"/>
          <w:sz w:val="20"/>
          <w:szCs w:val="20"/>
          <w:lang w:val="bg-BG"/>
        </w:rPr>
        <w:t xml:space="preserve">За да направим тази най-обща проверка на </w:t>
      </w:r>
      <w:r w:rsidRPr="00CA5C53">
        <w:rPr>
          <w:rFonts w:ascii="Verdana" w:eastAsia="Times New Roman" w:hAnsi="Verdana"/>
          <w:bCs/>
          <w:color w:val="000000"/>
          <w:sz w:val="20"/>
          <w:szCs w:val="20"/>
          <w:lang w:val="bg-BG" w:eastAsia="bg-BG"/>
        </w:rPr>
        <w:t>уместността на разпределението на бюджетния ресурс по години, профилът на сертифицираните средства до момента съпоставими средства от програмния период 2007-2013 г. е оценен с логистична регресия. Също така са направени и няколко допускания:</w:t>
      </w:r>
    </w:p>
    <w:p w:rsidR="00AD796B" w:rsidRDefault="00AD796B" w:rsidP="00AD796B">
      <w:pPr>
        <w:pStyle w:val="ListParagraph1"/>
        <w:widowControl w:val="0"/>
        <w:numPr>
          <w:ilvl w:val="0"/>
          <w:numId w:val="60"/>
        </w:numPr>
        <w:tabs>
          <w:tab w:val="left" w:pos="0"/>
          <w:tab w:val="right" w:pos="9214"/>
        </w:tabs>
        <w:spacing w:before="120" w:after="120" w:line="276" w:lineRule="auto"/>
        <w:rPr>
          <w:rFonts w:ascii="Verdana" w:hAnsi="Verdana"/>
          <w:bCs/>
          <w:color w:val="000000"/>
          <w:sz w:val="20"/>
          <w:lang w:val="bg-BG" w:eastAsia="bg-BG"/>
        </w:rPr>
      </w:pPr>
      <w:r>
        <w:rPr>
          <w:rFonts w:ascii="Verdana" w:hAnsi="Verdana"/>
          <w:bCs/>
          <w:color w:val="000000"/>
          <w:sz w:val="20"/>
          <w:lang w:val="bg-BG" w:eastAsia="bg-BG"/>
        </w:rPr>
        <w:t xml:space="preserve">Заложено е следното </w:t>
      </w:r>
      <w:proofErr w:type="spellStart"/>
      <w:r>
        <w:rPr>
          <w:rFonts w:ascii="Verdana" w:hAnsi="Verdana"/>
          <w:bCs/>
          <w:color w:val="000000"/>
          <w:sz w:val="20"/>
          <w:lang w:val="bg-BG" w:eastAsia="bg-BG"/>
        </w:rPr>
        <w:t>префинансиране</w:t>
      </w:r>
      <w:proofErr w:type="spellEnd"/>
      <w:r w:rsidRPr="00173D95">
        <w:rPr>
          <w:rFonts w:ascii="Verdana" w:hAnsi="Verdana"/>
          <w:bCs/>
          <w:color w:val="000000"/>
          <w:sz w:val="20"/>
          <w:lang w:val="bg-BG" w:eastAsia="bg-BG"/>
        </w:rPr>
        <w:t xml:space="preserve"> на програмата от ЕК п</w:t>
      </w:r>
      <w:r>
        <w:rPr>
          <w:rFonts w:ascii="Verdana" w:hAnsi="Verdana"/>
          <w:bCs/>
          <w:color w:val="000000"/>
          <w:sz w:val="20"/>
          <w:lang w:val="bg-BG" w:eastAsia="bg-BG"/>
        </w:rPr>
        <w:t>рез следващия програмен период:</w:t>
      </w:r>
    </w:p>
    <w:tbl>
      <w:tblPr>
        <w:tblStyle w:val="MediumShading1-Accent11"/>
        <w:tblW w:w="9396" w:type="dxa"/>
        <w:tblLook w:val="04A0" w:firstRow="1" w:lastRow="0" w:firstColumn="1" w:lastColumn="0" w:noHBand="0" w:noVBand="1"/>
      </w:tblPr>
      <w:tblGrid>
        <w:gridCol w:w="1893"/>
        <w:gridCol w:w="696"/>
        <w:gridCol w:w="696"/>
        <w:gridCol w:w="696"/>
        <w:gridCol w:w="921"/>
        <w:gridCol w:w="814"/>
        <w:gridCol w:w="921"/>
        <w:gridCol w:w="696"/>
        <w:gridCol w:w="696"/>
        <w:gridCol w:w="696"/>
        <w:gridCol w:w="671"/>
      </w:tblGrid>
      <w:tr w:rsidR="00AD796B" w:rsidRPr="00373EB5" w:rsidTr="004020E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93" w:type="dxa"/>
          </w:tcPr>
          <w:p w:rsidR="00AD796B" w:rsidRPr="00373EB5" w:rsidRDefault="00AD796B" w:rsidP="004020E1">
            <w:pPr>
              <w:widowControl w:val="0"/>
              <w:tabs>
                <w:tab w:val="left" w:pos="0"/>
                <w:tab w:val="right" w:pos="9214"/>
              </w:tabs>
              <w:spacing w:after="0" w:line="240" w:lineRule="auto"/>
              <w:jc w:val="right"/>
              <w:rPr>
                <w:rFonts w:ascii="Verdana" w:eastAsia="Times New Roman" w:hAnsi="Verdana"/>
                <w:bCs w:val="0"/>
                <w:sz w:val="16"/>
                <w:szCs w:val="16"/>
                <w:lang w:val="bg-BG" w:eastAsia="bg-BG"/>
              </w:rPr>
            </w:pPr>
          </w:p>
        </w:tc>
        <w:tc>
          <w:tcPr>
            <w:tcW w:w="696" w:type="dxa"/>
          </w:tcPr>
          <w:p w:rsidR="00AD796B" w:rsidRPr="00373EB5" w:rsidRDefault="00AD796B" w:rsidP="004020E1">
            <w:pPr>
              <w:widowControl w:val="0"/>
              <w:tabs>
                <w:tab w:val="left" w:pos="0"/>
                <w:tab w:val="right" w:pos="9214"/>
              </w:tabs>
              <w:spacing w:after="0" w:line="240" w:lineRule="auto"/>
              <w:jc w:val="right"/>
              <w:cnfStyle w:val="100000000000" w:firstRow="1" w:lastRow="0" w:firstColumn="0" w:lastColumn="0" w:oddVBand="0" w:evenVBand="0" w:oddHBand="0" w:evenHBand="0" w:firstRowFirstColumn="0" w:firstRowLastColumn="0" w:lastRowFirstColumn="0" w:lastRowLastColumn="0"/>
              <w:rPr>
                <w:rFonts w:ascii="Verdana" w:eastAsia="Times New Roman" w:hAnsi="Verdana"/>
                <w:bCs w:val="0"/>
                <w:sz w:val="16"/>
                <w:szCs w:val="16"/>
                <w:lang w:val="bg-BG" w:eastAsia="bg-BG"/>
              </w:rPr>
            </w:pPr>
            <w:r w:rsidRPr="00373EB5">
              <w:rPr>
                <w:rFonts w:ascii="Verdana" w:eastAsia="Times New Roman" w:hAnsi="Verdana"/>
                <w:bCs w:val="0"/>
                <w:sz w:val="16"/>
                <w:szCs w:val="16"/>
                <w:lang w:val="bg-BG" w:eastAsia="bg-BG"/>
              </w:rPr>
              <w:t>2014</w:t>
            </w:r>
          </w:p>
        </w:tc>
        <w:tc>
          <w:tcPr>
            <w:tcW w:w="696" w:type="dxa"/>
          </w:tcPr>
          <w:p w:rsidR="00AD796B" w:rsidRPr="00373EB5" w:rsidRDefault="00AD796B" w:rsidP="004020E1">
            <w:pPr>
              <w:widowControl w:val="0"/>
              <w:tabs>
                <w:tab w:val="left" w:pos="0"/>
                <w:tab w:val="right" w:pos="9214"/>
              </w:tabs>
              <w:spacing w:after="0" w:line="240" w:lineRule="auto"/>
              <w:jc w:val="right"/>
              <w:cnfStyle w:val="100000000000" w:firstRow="1" w:lastRow="0" w:firstColumn="0" w:lastColumn="0" w:oddVBand="0" w:evenVBand="0" w:oddHBand="0" w:evenHBand="0" w:firstRowFirstColumn="0" w:firstRowLastColumn="0" w:lastRowFirstColumn="0" w:lastRowLastColumn="0"/>
              <w:rPr>
                <w:rFonts w:ascii="Verdana" w:eastAsia="Times New Roman" w:hAnsi="Verdana"/>
                <w:bCs w:val="0"/>
                <w:sz w:val="16"/>
                <w:szCs w:val="16"/>
                <w:lang w:val="bg-BG" w:eastAsia="bg-BG"/>
              </w:rPr>
            </w:pPr>
            <w:r w:rsidRPr="00373EB5">
              <w:rPr>
                <w:rFonts w:ascii="Verdana" w:eastAsia="Times New Roman" w:hAnsi="Verdana"/>
                <w:bCs w:val="0"/>
                <w:sz w:val="16"/>
                <w:szCs w:val="16"/>
                <w:lang w:val="bg-BG" w:eastAsia="bg-BG"/>
              </w:rPr>
              <w:t>2015</w:t>
            </w:r>
          </w:p>
        </w:tc>
        <w:tc>
          <w:tcPr>
            <w:tcW w:w="696" w:type="dxa"/>
          </w:tcPr>
          <w:p w:rsidR="00AD796B" w:rsidRPr="00373EB5" w:rsidRDefault="00AD796B" w:rsidP="004020E1">
            <w:pPr>
              <w:widowControl w:val="0"/>
              <w:tabs>
                <w:tab w:val="left" w:pos="0"/>
                <w:tab w:val="right" w:pos="9214"/>
              </w:tabs>
              <w:spacing w:after="0" w:line="240" w:lineRule="auto"/>
              <w:jc w:val="right"/>
              <w:cnfStyle w:val="100000000000" w:firstRow="1" w:lastRow="0" w:firstColumn="0" w:lastColumn="0" w:oddVBand="0" w:evenVBand="0" w:oddHBand="0" w:evenHBand="0" w:firstRowFirstColumn="0" w:firstRowLastColumn="0" w:lastRowFirstColumn="0" w:lastRowLastColumn="0"/>
              <w:rPr>
                <w:rFonts w:ascii="Verdana" w:eastAsia="Times New Roman" w:hAnsi="Verdana"/>
                <w:bCs w:val="0"/>
                <w:sz w:val="16"/>
                <w:szCs w:val="16"/>
                <w:lang w:val="bg-BG" w:eastAsia="bg-BG"/>
              </w:rPr>
            </w:pPr>
            <w:r w:rsidRPr="00373EB5">
              <w:rPr>
                <w:rFonts w:ascii="Verdana" w:eastAsia="Times New Roman" w:hAnsi="Verdana"/>
                <w:bCs w:val="0"/>
                <w:sz w:val="16"/>
                <w:szCs w:val="16"/>
                <w:lang w:val="bg-BG" w:eastAsia="bg-BG"/>
              </w:rPr>
              <w:t>2016</w:t>
            </w:r>
          </w:p>
        </w:tc>
        <w:tc>
          <w:tcPr>
            <w:tcW w:w="921" w:type="dxa"/>
          </w:tcPr>
          <w:p w:rsidR="00AD796B" w:rsidRPr="00373EB5" w:rsidRDefault="00AD796B" w:rsidP="004020E1">
            <w:pPr>
              <w:widowControl w:val="0"/>
              <w:tabs>
                <w:tab w:val="left" w:pos="0"/>
                <w:tab w:val="right" w:pos="9214"/>
              </w:tabs>
              <w:spacing w:after="0" w:line="240" w:lineRule="auto"/>
              <w:jc w:val="right"/>
              <w:cnfStyle w:val="100000000000" w:firstRow="1" w:lastRow="0" w:firstColumn="0" w:lastColumn="0" w:oddVBand="0" w:evenVBand="0" w:oddHBand="0" w:evenHBand="0" w:firstRowFirstColumn="0" w:firstRowLastColumn="0" w:lastRowFirstColumn="0" w:lastRowLastColumn="0"/>
              <w:rPr>
                <w:rFonts w:ascii="Verdana" w:eastAsia="Times New Roman" w:hAnsi="Verdana"/>
                <w:bCs w:val="0"/>
                <w:sz w:val="16"/>
                <w:szCs w:val="16"/>
                <w:lang w:val="bg-BG" w:eastAsia="bg-BG"/>
              </w:rPr>
            </w:pPr>
            <w:r w:rsidRPr="00373EB5">
              <w:rPr>
                <w:rFonts w:ascii="Verdana" w:eastAsia="Times New Roman" w:hAnsi="Verdana"/>
                <w:bCs w:val="0"/>
                <w:sz w:val="16"/>
                <w:szCs w:val="16"/>
                <w:lang w:val="bg-BG" w:eastAsia="bg-BG"/>
              </w:rPr>
              <w:t>2017</w:t>
            </w:r>
          </w:p>
        </w:tc>
        <w:tc>
          <w:tcPr>
            <w:tcW w:w="814" w:type="dxa"/>
          </w:tcPr>
          <w:p w:rsidR="00AD796B" w:rsidRPr="00373EB5" w:rsidRDefault="00AD796B" w:rsidP="004020E1">
            <w:pPr>
              <w:widowControl w:val="0"/>
              <w:tabs>
                <w:tab w:val="left" w:pos="0"/>
                <w:tab w:val="right" w:pos="9214"/>
              </w:tabs>
              <w:spacing w:after="0" w:line="240" w:lineRule="auto"/>
              <w:jc w:val="right"/>
              <w:cnfStyle w:val="100000000000" w:firstRow="1" w:lastRow="0" w:firstColumn="0" w:lastColumn="0" w:oddVBand="0" w:evenVBand="0" w:oddHBand="0" w:evenHBand="0" w:firstRowFirstColumn="0" w:firstRowLastColumn="0" w:lastRowFirstColumn="0" w:lastRowLastColumn="0"/>
              <w:rPr>
                <w:rFonts w:ascii="Verdana" w:eastAsia="Times New Roman" w:hAnsi="Verdana"/>
                <w:bCs w:val="0"/>
                <w:sz w:val="16"/>
                <w:szCs w:val="16"/>
                <w:lang w:val="bg-BG" w:eastAsia="bg-BG"/>
              </w:rPr>
            </w:pPr>
            <w:r w:rsidRPr="00373EB5">
              <w:rPr>
                <w:rFonts w:ascii="Verdana" w:eastAsia="Times New Roman" w:hAnsi="Verdana"/>
                <w:bCs w:val="0"/>
                <w:sz w:val="16"/>
                <w:szCs w:val="16"/>
                <w:lang w:val="bg-BG" w:eastAsia="bg-BG"/>
              </w:rPr>
              <w:t>2018</w:t>
            </w:r>
          </w:p>
        </w:tc>
        <w:tc>
          <w:tcPr>
            <w:tcW w:w="921" w:type="dxa"/>
          </w:tcPr>
          <w:p w:rsidR="00AD796B" w:rsidRPr="00373EB5" w:rsidRDefault="00AD796B" w:rsidP="004020E1">
            <w:pPr>
              <w:widowControl w:val="0"/>
              <w:tabs>
                <w:tab w:val="left" w:pos="0"/>
                <w:tab w:val="right" w:pos="9214"/>
              </w:tabs>
              <w:spacing w:after="0" w:line="240" w:lineRule="auto"/>
              <w:jc w:val="right"/>
              <w:cnfStyle w:val="100000000000" w:firstRow="1" w:lastRow="0" w:firstColumn="0" w:lastColumn="0" w:oddVBand="0" w:evenVBand="0" w:oddHBand="0" w:evenHBand="0" w:firstRowFirstColumn="0" w:firstRowLastColumn="0" w:lastRowFirstColumn="0" w:lastRowLastColumn="0"/>
              <w:rPr>
                <w:rFonts w:ascii="Verdana" w:eastAsia="Times New Roman" w:hAnsi="Verdana"/>
                <w:bCs w:val="0"/>
                <w:sz w:val="16"/>
                <w:szCs w:val="16"/>
                <w:lang w:val="bg-BG" w:eastAsia="bg-BG"/>
              </w:rPr>
            </w:pPr>
            <w:r w:rsidRPr="00373EB5">
              <w:rPr>
                <w:rFonts w:ascii="Verdana" w:eastAsia="Times New Roman" w:hAnsi="Verdana"/>
                <w:bCs w:val="0"/>
                <w:sz w:val="16"/>
                <w:szCs w:val="16"/>
                <w:lang w:val="bg-BG" w:eastAsia="bg-BG"/>
              </w:rPr>
              <w:t>2019</w:t>
            </w:r>
          </w:p>
        </w:tc>
        <w:tc>
          <w:tcPr>
            <w:tcW w:w="696" w:type="dxa"/>
          </w:tcPr>
          <w:p w:rsidR="00AD796B" w:rsidRPr="00373EB5" w:rsidRDefault="00AD796B" w:rsidP="004020E1">
            <w:pPr>
              <w:widowControl w:val="0"/>
              <w:tabs>
                <w:tab w:val="left" w:pos="0"/>
                <w:tab w:val="right" w:pos="9214"/>
              </w:tabs>
              <w:spacing w:after="0" w:line="240" w:lineRule="auto"/>
              <w:jc w:val="right"/>
              <w:cnfStyle w:val="100000000000" w:firstRow="1" w:lastRow="0" w:firstColumn="0" w:lastColumn="0" w:oddVBand="0" w:evenVBand="0" w:oddHBand="0" w:evenHBand="0" w:firstRowFirstColumn="0" w:firstRowLastColumn="0" w:lastRowFirstColumn="0" w:lastRowLastColumn="0"/>
              <w:rPr>
                <w:rFonts w:ascii="Verdana" w:eastAsia="Times New Roman" w:hAnsi="Verdana"/>
                <w:bCs w:val="0"/>
                <w:sz w:val="16"/>
                <w:szCs w:val="16"/>
                <w:lang w:val="bg-BG" w:eastAsia="bg-BG"/>
              </w:rPr>
            </w:pPr>
            <w:r w:rsidRPr="00373EB5">
              <w:rPr>
                <w:rFonts w:ascii="Verdana" w:eastAsia="Times New Roman" w:hAnsi="Verdana"/>
                <w:bCs w:val="0"/>
                <w:sz w:val="16"/>
                <w:szCs w:val="16"/>
                <w:lang w:val="bg-BG" w:eastAsia="bg-BG"/>
              </w:rPr>
              <w:t>2020</w:t>
            </w:r>
          </w:p>
        </w:tc>
        <w:tc>
          <w:tcPr>
            <w:tcW w:w="696" w:type="dxa"/>
          </w:tcPr>
          <w:p w:rsidR="00AD796B" w:rsidRPr="00373EB5" w:rsidRDefault="00AD796B" w:rsidP="004020E1">
            <w:pPr>
              <w:widowControl w:val="0"/>
              <w:tabs>
                <w:tab w:val="left" w:pos="0"/>
                <w:tab w:val="right" w:pos="9214"/>
              </w:tabs>
              <w:spacing w:after="0" w:line="240" w:lineRule="auto"/>
              <w:jc w:val="right"/>
              <w:cnfStyle w:val="100000000000" w:firstRow="1" w:lastRow="0" w:firstColumn="0" w:lastColumn="0" w:oddVBand="0" w:evenVBand="0" w:oddHBand="0" w:evenHBand="0" w:firstRowFirstColumn="0" w:firstRowLastColumn="0" w:lastRowFirstColumn="0" w:lastRowLastColumn="0"/>
              <w:rPr>
                <w:rFonts w:ascii="Verdana" w:eastAsia="Times New Roman" w:hAnsi="Verdana"/>
                <w:bCs w:val="0"/>
                <w:sz w:val="16"/>
                <w:szCs w:val="16"/>
                <w:lang w:val="bg-BG" w:eastAsia="bg-BG"/>
              </w:rPr>
            </w:pPr>
            <w:r w:rsidRPr="00373EB5">
              <w:rPr>
                <w:rFonts w:ascii="Verdana" w:eastAsia="Times New Roman" w:hAnsi="Verdana"/>
                <w:bCs w:val="0"/>
                <w:sz w:val="16"/>
                <w:szCs w:val="16"/>
                <w:lang w:val="bg-BG" w:eastAsia="bg-BG"/>
              </w:rPr>
              <w:t>2021</w:t>
            </w:r>
          </w:p>
        </w:tc>
        <w:tc>
          <w:tcPr>
            <w:tcW w:w="696" w:type="dxa"/>
          </w:tcPr>
          <w:p w:rsidR="00AD796B" w:rsidRPr="00373EB5" w:rsidRDefault="00AD796B" w:rsidP="004020E1">
            <w:pPr>
              <w:widowControl w:val="0"/>
              <w:tabs>
                <w:tab w:val="left" w:pos="0"/>
                <w:tab w:val="right" w:pos="9214"/>
              </w:tabs>
              <w:spacing w:after="0" w:line="240" w:lineRule="auto"/>
              <w:jc w:val="right"/>
              <w:cnfStyle w:val="100000000000" w:firstRow="1" w:lastRow="0" w:firstColumn="0" w:lastColumn="0" w:oddVBand="0" w:evenVBand="0" w:oddHBand="0" w:evenHBand="0" w:firstRowFirstColumn="0" w:firstRowLastColumn="0" w:lastRowFirstColumn="0" w:lastRowLastColumn="0"/>
              <w:rPr>
                <w:rFonts w:ascii="Verdana" w:eastAsia="Times New Roman" w:hAnsi="Verdana"/>
                <w:bCs w:val="0"/>
                <w:sz w:val="16"/>
                <w:szCs w:val="16"/>
                <w:lang w:val="bg-BG" w:eastAsia="bg-BG"/>
              </w:rPr>
            </w:pPr>
            <w:r w:rsidRPr="00373EB5">
              <w:rPr>
                <w:rFonts w:ascii="Verdana" w:eastAsia="Times New Roman" w:hAnsi="Verdana"/>
                <w:bCs w:val="0"/>
                <w:sz w:val="16"/>
                <w:szCs w:val="16"/>
                <w:lang w:val="bg-BG" w:eastAsia="bg-BG"/>
              </w:rPr>
              <w:t>2022</w:t>
            </w:r>
          </w:p>
        </w:tc>
        <w:tc>
          <w:tcPr>
            <w:tcW w:w="671" w:type="dxa"/>
          </w:tcPr>
          <w:p w:rsidR="00AD796B" w:rsidRPr="00373EB5" w:rsidRDefault="00AD796B" w:rsidP="004020E1">
            <w:pPr>
              <w:widowControl w:val="0"/>
              <w:tabs>
                <w:tab w:val="left" w:pos="0"/>
                <w:tab w:val="right" w:pos="9214"/>
              </w:tabs>
              <w:spacing w:after="0" w:line="240" w:lineRule="auto"/>
              <w:jc w:val="right"/>
              <w:cnfStyle w:val="100000000000" w:firstRow="1" w:lastRow="0" w:firstColumn="0" w:lastColumn="0" w:oddVBand="0" w:evenVBand="0" w:oddHBand="0" w:evenHBand="0" w:firstRowFirstColumn="0" w:firstRowLastColumn="0" w:lastRowFirstColumn="0" w:lastRowLastColumn="0"/>
              <w:rPr>
                <w:rFonts w:ascii="Verdana" w:eastAsia="Times New Roman" w:hAnsi="Verdana"/>
                <w:bCs w:val="0"/>
                <w:sz w:val="16"/>
                <w:szCs w:val="16"/>
                <w:lang w:val="bg-BG" w:eastAsia="bg-BG"/>
              </w:rPr>
            </w:pPr>
            <w:r w:rsidRPr="00373EB5">
              <w:rPr>
                <w:rFonts w:ascii="Verdana" w:eastAsia="Times New Roman" w:hAnsi="Verdana"/>
                <w:bCs w:val="0"/>
                <w:sz w:val="16"/>
                <w:szCs w:val="16"/>
                <w:lang w:val="bg-BG" w:eastAsia="bg-BG"/>
              </w:rPr>
              <w:t>2023</w:t>
            </w:r>
          </w:p>
        </w:tc>
      </w:tr>
      <w:tr w:rsidR="00AD796B" w:rsidRPr="00373EB5" w:rsidTr="004020E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93" w:type="dxa"/>
          </w:tcPr>
          <w:p w:rsidR="00AD796B" w:rsidRPr="00373EB5" w:rsidRDefault="00AD796B" w:rsidP="004020E1">
            <w:pPr>
              <w:spacing w:after="0" w:line="240" w:lineRule="auto"/>
              <w:jc w:val="right"/>
              <w:rPr>
                <w:rFonts w:ascii="Verdana" w:hAnsi="Verdana"/>
                <w:color w:val="000000"/>
                <w:sz w:val="16"/>
                <w:szCs w:val="16"/>
                <w:lang w:val="bg-BG"/>
              </w:rPr>
            </w:pPr>
            <w:r w:rsidRPr="00373EB5">
              <w:rPr>
                <w:rFonts w:ascii="Verdana" w:hAnsi="Verdana"/>
                <w:color w:val="000000"/>
                <w:sz w:val="16"/>
                <w:szCs w:val="16"/>
                <w:lang w:val="bg-BG"/>
              </w:rPr>
              <w:t>Първоначално</w:t>
            </w:r>
          </w:p>
          <w:p w:rsidR="00AD796B" w:rsidRPr="00373EB5" w:rsidRDefault="00AD796B" w:rsidP="004020E1">
            <w:pPr>
              <w:spacing w:after="0" w:line="240" w:lineRule="auto"/>
              <w:jc w:val="right"/>
              <w:rPr>
                <w:rFonts w:ascii="Verdana" w:hAnsi="Verdana"/>
                <w:color w:val="000000"/>
                <w:sz w:val="16"/>
                <w:szCs w:val="16"/>
                <w:lang w:val="bg-BG"/>
              </w:rPr>
            </w:pPr>
            <w:proofErr w:type="spellStart"/>
            <w:r w:rsidRPr="00373EB5">
              <w:rPr>
                <w:rFonts w:ascii="Verdana" w:hAnsi="Verdana"/>
                <w:color w:val="000000"/>
                <w:sz w:val="16"/>
                <w:szCs w:val="16"/>
                <w:lang w:val="bg-BG"/>
              </w:rPr>
              <w:t>префинансиране</w:t>
            </w:r>
            <w:proofErr w:type="spellEnd"/>
          </w:p>
        </w:tc>
        <w:tc>
          <w:tcPr>
            <w:tcW w:w="696" w:type="dxa"/>
          </w:tcPr>
          <w:p w:rsidR="00AD796B" w:rsidRPr="00373EB5" w:rsidRDefault="00AD796B" w:rsidP="004020E1">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lang w:val="bg-BG"/>
              </w:rPr>
            </w:pPr>
            <w:r w:rsidRPr="00373EB5">
              <w:rPr>
                <w:rFonts w:ascii="Verdana" w:hAnsi="Verdana"/>
                <w:color w:val="000000"/>
                <w:sz w:val="16"/>
                <w:szCs w:val="16"/>
                <w:lang w:val="bg-BG"/>
              </w:rPr>
              <w:t>0.01</w:t>
            </w:r>
          </w:p>
        </w:tc>
        <w:tc>
          <w:tcPr>
            <w:tcW w:w="696" w:type="dxa"/>
          </w:tcPr>
          <w:p w:rsidR="00AD796B" w:rsidRPr="00373EB5" w:rsidRDefault="00AD796B" w:rsidP="004020E1">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lang w:val="bg-BG"/>
              </w:rPr>
            </w:pPr>
            <w:r w:rsidRPr="00373EB5">
              <w:rPr>
                <w:rFonts w:ascii="Verdana" w:hAnsi="Verdana"/>
                <w:color w:val="000000"/>
                <w:sz w:val="16"/>
                <w:szCs w:val="16"/>
                <w:lang w:val="bg-BG"/>
              </w:rPr>
              <w:t>0.01</w:t>
            </w:r>
          </w:p>
        </w:tc>
        <w:tc>
          <w:tcPr>
            <w:tcW w:w="696" w:type="dxa"/>
          </w:tcPr>
          <w:p w:rsidR="00AD796B" w:rsidRPr="00373EB5" w:rsidRDefault="00AD796B" w:rsidP="004020E1">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lang w:val="bg-BG"/>
              </w:rPr>
            </w:pPr>
            <w:r w:rsidRPr="00373EB5">
              <w:rPr>
                <w:rFonts w:ascii="Verdana" w:hAnsi="Verdana"/>
                <w:color w:val="000000"/>
                <w:sz w:val="16"/>
                <w:szCs w:val="16"/>
                <w:lang w:val="bg-BG"/>
              </w:rPr>
              <w:t>0.01</w:t>
            </w:r>
          </w:p>
        </w:tc>
        <w:tc>
          <w:tcPr>
            <w:tcW w:w="921" w:type="dxa"/>
          </w:tcPr>
          <w:p w:rsidR="00AD796B" w:rsidRPr="00373EB5" w:rsidRDefault="00AD796B" w:rsidP="004020E1">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lang w:val="bg-BG"/>
              </w:rPr>
            </w:pPr>
          </w:p>
        </w:tc>
        <w:tc>
          <w:tcPr>
            <w:tcW w:w="814" w:type="dxa"/>
          </w:tcPr>
          <w:p w:rsidR="00AD796B" w:rsidRPr="00373EB5" w:rsidRDefault="00AD796B" w:rsidP="004020E1">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lang w:val="bg-BG"/>
              </w:rPr>
            </w:pPr>
          </w:p>
        </w:tc>
        <w:tc>
          <w:tcPr>
            <w:tcW w:w="921" w:type="dxa"/>
          </w:tcPr>
          <w:p w:rsidR="00AD796B" w:rsidRPr="00373EB5" w:rsidRDefault="00AD796B" w:rsidP="004020E1">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lang w:val="bg-BG"/>
              </w:rPr>
            </w:pPr>
          </w:p>
        </w:tc>
        <w:tc>
          <w:tcPr>
            <w:tcW w:w="696" w:type="dxa"/>
          </w:tcPr>
          <w:p w:rsidR="00AD796B" w:rsidRPr="00373EB5" w:rsidRDefault="00AD796B" w:rsidP="004020E1">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lang w:val="bg-BG"/>
              </w:rPr>
            </w:pPr>
          </w:p>
        </w:tc>
        <w:tc>
          <w:tcPr>
            <w:tcW w:w="696" w:type="dxa"/>
          </w:tcPr>
          <w:p w:rsidR="00AD796B" w:rsidRPr="00373EB5" w:rsidRDefault="00AD796B" w:rsidP="004020E1">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lang w:val="bg-BG"/>
              </w:rPr>
            </w:pPr>
          </w:p>
        </w:tc>
        <w:tc>
          <w:tcPr>
            <w:tcW w:w="696" w:type="dxa"/>
          </w:tcPr>
          <w:p w:rsidR="00AD796B" w:rsidRPr="00373EB5" w:rsidRDefault="00AD796B" w:rsidP="004020E1">
            <w:pPr>
              <w:widowControl w:val="0"/>
              <w:tabs>
                <w:tab w:val="left" w:pos="0"/>
                <w:tab w:val="right" w:pos="9214"/>
              </w:tabs>
              <w:spacing w:after="0" w:line="240" w:lineRule="auto"/>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bCs/>
                <w:color w:val="000000"/>
                <w:sz w:val="16"/>
                <w:szCs w:val="16"/>
                <w:lang w:val="bg-BG" w:eastAsia="bg-BG"/>
              </w:rPr>
            </w:pPr>
          </w:p>
        </w:tc>
        <w:tc>
          <w:tcPr>
            <w:tcW w:w="671" w:type="dxa"/>
          </w:tcPr>
          <w:p w:rsidR="00AD796B" w:rsidRPr="00373EB5" w:rsidRDefault="00AD796B" w:rsidP="004020E1">
            <w:pPr>
              <w:widowControl w:val="0"/>
              <w:tabs>
                <w:tab w:val="left" w:pos="0"/>
                <w:tab w:val="right" w:pos="9214"/>
              </w:tabs>
              <w:spacing w:after="0" w:line="240" w:lineRule="auto"/>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bCs/>
                <w:color w:val="000000"/>
                <w:sz w:val="16"/>
                <w:szCs w:val="16"/>
                <w:lang w:val="bg-BG" w:eastAsia="bg-BG"/>
              </w:rPr>
            </w:pPr>
          </w:p>
        </w:tc>
      </w:tr>
      <w:tr w:rsidR="00AD796B" w:rsidRPr="00373EB5" w:rsidTr="004020E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93" w:type="dxa"/>
          </w:tcPr>
          <w:p w:rsidR="00AD796B" w:rsidRPr="00373EB5" w:rsidRDefault="00AD796B" w:rsidP="004020E1">
            <w:pPr>
              <w:spacing w:after="0" w:line="240" w:lineRule="auto"/>
              <w:jc w:val="right"/>
              <w:rPr>
                <w:rFonts w:ascii="Verdana" w:hAnsi="Verdana"/>
                <w:color w:val="000000"/>
                <w:sz w:val="16"/>
                <w:szCs w:val="16"/>
                <w:lang w:val="bg-BG"/>
              </w:rPr>
            </w:pPr>
            <w:r w:rsidRPr="00373EB5">
              <w:rPr>
                <w:rFonts w:ascii="Verdana" w:hAnsi="Verdana"/>
                <w:color w:val="000000"/>
                <w:sz w:val="16"/>
                <w:szCs w:val="16"/>
                <w:lang w:val="bg-BG"/>
              </w:rPr>
              <w:t xml:space="preserve">Годишно </w:t>
            </w:r>
            <w:proofErr w:type="spellStart"/>
            <w:r w:rsidRPr="00373EB5">
              <w:rPr>
                <w:rFonts w:ascii="Verdana" w:hAnsi="Verdana"/>
                <w:color w:val="000000"/>
                <w:sz w:val="16"/>
                <w:szCs w:val="16"/>
                <w:lang w:val="bg-BG"/>
              </w:rPr>
              <w:t>префинансиране</w:t>
            </w:r>
            <w:proofErr w:type="spellEnd"/>
          </w:p>
        </w:tc>
        <w:tc>
          <w:tcPr>
            <w:tcW w:w="696" w:type="dxa"/>
          </w:tcPr>
          <w:p w:rsidR="00AD796B" w:rsidRPr="00373EB5" w:rsidRDefault="00AD796B" w:rsidP="004020E1">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Verdana" w:hAnsi="Verdana"/>
                <w:color w:val="000000"/>
                <w:sz w:val="16"/>
                <w:szCs w:val="16"/>
                <w:lang w:val="bg-BG"/>
              </w:rPr>
            </w:pPr>
          </w:p>
        </w:tc>
        <w:tc>
          <w:tcPr>
            <w:tcW w:w="696" w:type="dxa"/>
          </w:tcPr>
          <w:p w:rsidR="00AD796B" w:rsidRPr="00373EB5" w:rsidRDefault="00AD796B" w:rsidP="004020E1">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Verdana" w:hAnsi="Verdana"/>
                <w:color w:val="000000"/>
                <w:sz w:val="16"/>
                <w:szCs w:val="16"/>
                <w:lang w:val="bg-BG"/>
              </w:rPr>
            </w:pPr>
          </w:p>
        </w:tc>
        <w:tc>
          <w:tcPr>
            <w:tcW w:w="696" w:type="dxa"/>
          </w:tcPr>
          <w:p w:rsidR="00AD796B" w:rsidRPr="00373EB5" w:rsidRDefault="00AD796B" w:rsidP="004020E1">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Verdana" w:hAnsi="Verdana"/>
                <w:color w:val="000000"/>
                <w:sz w:val="16"/>
                <w:szCs w:val="16"/>
                <w:lang w:val="bg-BG"/>
              </w:rPr>
            </w:pPr>
            <w:r w:rsidRPr="00373EB5">
              <w:rPr>
                <w:rFonts w:ascii="Verdana" w:hAnsi="Verdana"/>
                <w:color w:val="000000"/>
                <w:sz w:val="16"/>
                <w:szCs w:val="16"/>
                <w:lang w:val="bg-BG"/>
              </w:rPr>
              <w:t>0.02</w:t>
            </w:r>
          </w:p>
        </w:tc>
        <w:tc>
          <w:tcPr>
            <w:tcW w:w="921" w:type="dxa"/>
          </w:tcPr>
          <w:p w:rsidR="00AD796B" w:rsidRPr="00373EB5" w:rsidRDefault="00AD796B" w:rsidP="004020E1">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Verdana" w:hAnsi="Verdana"/>
                <w:color w:val="000000"/>
                <w:sz w:val="16"/>
                <w:szCs w:val="16"/>
                <w:lang w:val="bg-BG"/>
              </w:rPr>
            </w:pPr>
            <w:r w:rsidRPr="00373EB5">
              <w:rPr>
                <w:rFonts w:ascii="Verdana" w:hAnsi="Verdana"/>
                <w:color w:val="000000"/>
                <w:sz w:val="16"/>
                <w:szCs w:val="16"/>
                <w:lang w:val="bg-BG"/>
              </w:rPr>
              <w:t>0.02625</w:t>
            </w:r>
          </w:p>
        </w:tc>
        <w:tc>
          <w:tcPr>
            <w:tcW w:w="814" w:type="dxa"/>
          </w:tcPr>
          <w:p w:rsidR="00AD796B" w:rsidRPr="00373EB5" w:rsidRDefault="00AD796B" w:rsidP="004020E1">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Verdana" w:hAnsi="Verdana"/>
                <w:color w:val="000000"/>
                <w:sz w:val="16"/>
                <w:szCs w:val="16"/>
                <w:lang w:val="bg-BG"/>
              </w:rPr>
            </w:pPr>
            <w:r w:rsidRPr="00373EB5">
              <w:rPr>
                <w:rFonts w:ascii="Verdana" w:hAnsi="Verdana"/>
                <w:color w:val="000000"/>
                <w:sz w:val="16"/>
                <w:szCs w:val="16"/>
                <w:lang w:val="bg-BG"/>
              </w:rPr>
              <w:t>0.0275</w:t>
            </w:r>
          </w:p>
        </w:tc>
        <w:tc>
          <w:tcPr>
            <w:tcW w:w="921" w:type="dxa"/>
          </w:tcPr>
          <w:p w:rsidR="00AD796B" w:rsidRPr="00373EB5" w:rsidRDefault="00AD796B" w:rsidP="004020E1">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Verdana" w:hAnsi="Verdana"/>
                <w:color w:val="000000"/>
                <w:sz w:val="16"/>
                <w:szCs w:val="16"/>
                <w:lang w:val="bg-BG"/>
              </w:rPr>
            </w:pPr>
            <w:r w:rsidRPr="00373EB5">
              <w:rPr>
                <w:rFonts w:ascii="Verdana" w:hAnsi="Verdana"/>
                <w:color w:val="000000"/>
                <w:sz w:val="16"/>
                <w:szCs w:val="16"/>
                <w:lang w:val="bg-BG"/>
              </w:rPr>
              <w:t>0.02875</w:t>
            </w:r>
          </w:p>
        </w:tc>
        <w:tc>
          <w:tcPr>
            <w:tcW w:w="696" w:type="dxa"/>
          </w:tcPr>
          <w:p w:rsidR="00AD796B" w:rsidRPr="00373EB5" w:rsidRDefault="00AD796B" w:rsidP="004020E1">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Verdana" w:hAnsi="Verdana"/>
                <w:color w:val="000000"/>
                <w:sz w:val="16"/>
                <w:szCs w:val="16"/>
                <w:lang w:val="bg-BG"/>
              </w:rPr>
            </w:pPr>
            <w:r w:rsidRPr="00373EB5">
              <w:rPr>
                <w:rFonts w:ascii="Verdana" w:hAnsi="Verdana"/>
                <w:color w:val="000000"/>
                <w:sz w:val="16"/>
                <w:szCs w:val="16"/>
                <w:lang w:val="bg-BG"/>
              </w:rPr>
              <w:t>0.03</w:t>
            </w:r>
          </w:p>
        </w:tc>
        <w:tc>
          <w:tcPr>
            <w:tcW w:w="696" w:type="dxa"/>
          </w:tcPr>
          <w:p w:rsidR="00AD796B" w:rsidRPr="00373EB5" w:rsidRDefault="00AD796B" w:rsidP="004020E1">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Verdana" w:hAnsi="Verdana"/>
                <w:color w:val="000000"/>
                <w:sz w:val="16"/>
                <w:szCs w:val="16"/>
                <w:lang w:val="bg-BG"/>
              </w:rPr>
            </w:pPr>
            <w:r w:rsidRPr="00373EB5">
              <w:rPr>
                <w:rFonts w:ascii="Verdana" w:hAnsi="Verdana"/>
                <w:color w:val="000000"/>
                <w:sz w:val="16"/>
                <w:szCs w:val="16"/>
                <w:lang w:val="bg-BG"/>
              </w:rPr>
              <w:t>0.03</w:t>
            </w:r>
          </w:p>
        </w:tc>
        <w:tc>
          <w:tcPr>
            <w:tcW w:w="696" w:type="dxa"/>
          </w:tcPr>
          <w:p w:rsidR="00AD796B" w:rsidRPr="00373EB5" w:rsidRDefault="00AD796B" w:rsidP="004020E1">
            <w:pPr>
              <w:widowControl w:val="0"/>
              <w:tabs>
                <w:tab w:val="left" w:pos="0"/>
                <w:tab w:val="right" w:pos="9214"/>
              </w:tabs>
              <w:spacing w:after="0" w:line="240" w:lineRule="auto"/>
              <w:jc w:val="right"/>
              <w:cnfStyle w:val="000000010000" w:firstRow="0" w:lastRow="0" w:firstColumn="0" w:lastColumn="0" w:oddVBand="0" w:evenVBand="0" w:oddHBand="0" w:evenHBand="1" w:firstRowFirstColumn="0" w:firstRowLastColumn="0" w:lastRowFirstColumn="0" w:lastRowLastColumn="0"/>
              <w:rPr>
                <w:rFonts w:ascii="Verdana" w:eastAsia="Times New Roman" w:hAnsi="Verdana"/>
                <w:bCs/>
                <w:color w:val="000000"/>
                <w:sz w:val="16"/>
                <w:szCs w:val="16"/>
                <w:lang w:val="bg-BG" w:eastAsia="bg-BG"/>
              </w:rPr>
            </w:pPr>
            <w:r>
              <w:rPr>
                <w:rFonts w:ascii="Verdana" w:eastAsia="Times New Roman" w:hAnsi="Verdana"/>
                <w:bCs/>
                <w:color w:val="000000"/>
                <w:sz w:val="16"/>
                <w:szCs w:val="16"/>
                <w:lang w:val="bg-BG" w:eastAsia="bg-BG"/>
              </w:rPr>
              <w:t>0.03</w:t>
            </w:r>
          </w:p>
        </w:tc>
        <w:tc>
          <w:tcPr>
            <w:tcW w:w="671" w:type="dxa"/>
          </w:tcPr>
          <w:p w:rsidR="00AD796B" w:rsidRPr="00373EB5" w:rsidRDefault="00AD796B" w:rsidP="004020E1">
            <w:pPr>
              <w:widowControl w:val="0"/>
              <w:tabs>
                <w:tab w:val="left" w:pos="0"/>
                <w:tab w:val="right" w:pos="9214"/>
              </w:tabs>
              <w:spacing w:after="0" w:line="240" w:lineRule="auto"/>
              <w:jc w:val="right"/>
              <w:cnfStyle w:val="000000010000" w:firstRow="0" w:lastRow="0" w:firstColumn="0" w:lastColumn="0" w:oddVBand="0" w:evenVBand="0" w:oddHBand="0" w:evenHBand="1" w:firstRowFirstColumn="0" w:firstRowLastColumn="0" w:lastRowFirstColumn="0" w:lastRowLastColumn="0"/>
              <w:rPr>
                <w:rFonts w:ascii="Verdana" w:eastAsia="Times New Roman" w:hAnsi="Verdana"/>
                <w:bCs/>
                <w:color w:val="000000"/>
                <w:sz w:val="16"/>
                <w:szCs w:val="16"/>
                <w:lang w:val="bg-BG" w:eastAsia="bg-BG"/>
              </w:rPr>
            </w:pPr>
            <w:r>
              <w:rPr>
                <w:rFonts w:ascii="Verdana" w:eastAsia="Times New Roman" w:hAnsi="Verdana"/>
                <w:bCs/>
                <w:color w:val="000000"/>
                <w:sz w:val="16"/>
                <w:szCs w:val="16"/>
                <w:lang w:val="bg-BG" w:eastAsia="bg-BG"/>
              </w:rPr>
              <w:t>0.03</w:t>
            </w:r>
          </w:p>
        </w:tc>
      </w:tr>
    </w:tbl>
    <w:p w:rsidR="00AD796B" w:rsidRPr="00173D95" w:rsidRDefault="00AD796B" w:rsidP="00AD796B">
      <w:pPr>
        <w:widowControl w:val="0"/>
        <w:tabs>
          <w:tab w:val="left" w:pos="0"/>
          <w:tab w:val="right" w:pos="9214"/>
        </w:tabs>
        <w:spacing w:after="0"/>
        <w:jc w:val="both"/>
        <w:rPr>
          <w:rFonts w:ascii="Verdana" w:eastAsia="Times New Roman" w:hAnsi="Verdana"/>
          <w:bCs/>
          <w:color w:val="000000"/>
          <w:sz w:val="20"/>
          <w:szCs w:val="20"/>
          <w:lang w:val="bg-BG" w:eastAsia="bg-BG"/>
        </w:rPr>
      </w:pPr>
    </w:p>
    <w:p w:rsidR="00AD796B" w:rsidRPr="00173D95" w:rsidRDefault="00AD796B" w:rsidP="00AD796B">
      <w:pPr>
        <w:pStyle w:val="ListParagraph1"/>
        <w:widowControl w:val="0"/>
        <w:numPr>
          <w:ilvl w:val="0"/>
          <w:numId w:val="60"/>
        </w:numPr>
        <w:tabs>
          <w:tab w:val="left" w:pos="0"/>
          <w:tab w:val="right" w:pos="9214"/>
        </w:tabs>
        <w:spacing w:before="120" w:after="120" w:line="276" w:lineRule="auto"/>
        <w:rPr>
          <w:rFonts w:ascii="Verdana" w:hAnsi="Verdana"/>
          <w:bCs/>
          <w:color w:val="000000"/>
          <w:sz w:val="20"/>
          <w:lang w:val="bg-BG" w:eastAsia="bg-BG"/>
        </w:rPr>
      </w:pPr>
      <w:r w:rsidRPr="00173D95">
        <w:rPr>
          <w:rFonts w:ascii="Verdana" w:hAnsi="Verdana"/>
          <w:bCs/>
          <w:color w:val="000000"/>
          <w:sz w:val="20"/>
          <w:lang w:val="bg-BG" w:eastAsia="bg-BG"/>
        </w:rPr>
        <w:t xml:space="preserve"> Допуснато е, че при изравняването на сметките на края на всяка година, няма да има необходимост част от годишното </w:t>
      </w:r>
      <w:proofErr w:type="spellStart"/>
      <w:r w:rsidRPr="00173D95">
        <w:rPr>
          <w:rFonts w:ascii="Verdana" w:hAnsi="Verdana"/>
          <w:bCs/>
          <w:color w:val="000000"/>
          <w:sz w:val="20"/>
          <w:lang w:val="bg-BG" w:eastAsia="bg-BG"/>
        </w:rPr>
        <w:t>префинансиране</w:t>
      </w:r>
      <w:proofErr w:type="spellEnd"/>
      <w:r w:rsidRPr="00173D95">
        <w:rPr>
          <w:rFonts w:ascii="Verdana" w:hAnsi="Verdana"/>
          <w:bCs/>
          <w:color w:val="000000"/>
          <w:sz w:val="20"/>
          <w:lang w:val="bg-BG" w:eastAsia="bg-BG"/>
        </w:rPr>
        <w:t xml:space="preserve"> да се връща на ЕК.</w:t>
      </w:r>
    </w:p>
    <w:p w:rsidR="00AD796B" w:rsidRPr="00173D95" w:rsidRDefault="00AD796B" w:rsidP="00AD796B">
      <w:pPr>
        <w:pStyle w:val="ListParagraph1"/>
        <w:widowControl w:val="0"/>
        <w:numPr>
          <w:ilvl w:val="0"/>
          <w:numId w:val="60"/>
        </w:numPr>
        <w:tabs>
          <w:tab w:val="left" w:pos="0"/>
          <w:tab w:val="right" w:pos="9214"/>
        </w:tabs>
        <w:spacing w:before="120" w:after="120" w:line="276" w:lineRule="auto"/>
        <w:rPr>
          <w:rFonts w:ascii="Verdana" w:hAnsi="Verdana"/>
          <w:bCs/>
          <w:color w:val="000000"/>
          <w:sz w:val="20"/>
          <w:lang w:val="bg-BG" w:eastAsia="bg-BG"/>
        </w:rPr>
      </w:pPr>
      <w:r>
        <w:rPr>
          <w:rFonts w:ascii="Verdana" w:hAnsi="Verdana"/>
          <w:bCs/>
          <w:color w:val="000000"/>
          <w:sz w:val="20"/>
          <w:lang w:val="bg-BG" w:eastAsia="bg-BG"/>
        </w:rPr>
        <w:t xml:space="preserve">Прието е, че за целите на оценката на автоматичната загуба на средства, резервът за изпълнение в размер на 6% от средствата по програмата ще бъде </w:t>
      </w:r>
      <w:r>
        <w:rPr>
          <w:rFonts w:ascii="Verdana" w:hAnsi="Verdana"/>
          <w:bCs/>
          <w:color w:val="000000"/>
          <w:sz w:val="20"/>
          <w:lang w:val="bg-BG" w:eastAsia="bg-BG"/>
        </w:rPr>
        <w:lastRenderedPageBreak/>
        <w:t>отчетен към края на програмния период.</w:t>
      </w:r>
    </w:p>
    <w:p w:rsidR="00AD796B" w:rsidRDefault="00AD796B" w:rsidP="00AD796B">
      <w:pPr>
        <w:widowControl w:val="0"/>
        <w:tabs>
          <w:tab w:val="left" w:pos="0"/>
          <w:tab w:val="right" w:pos="9214"/>
        </w:tabs>
        <w:spacing w:before="120" w:after="120"/>
        <w:jc w:val="both"/>
        <w:rPr>
          <w:rFonts w:ascii="Verdana" w:eastAsia="Times New Roman" w:hAnsi="Verdana"/>
          <w:bCs/>
          <w:color w:val="000000"/>
          <w:sz w:val="20"/>
          <w:szCs w:val="20"/>
          <w:lang w:val="bg-BG" w:eastAsia="bg-BG"/>
        </w:rPr>
      </w:pPr>
      <w:r w:rsidRPr="00173D95">
        <w:rPr>
          <w:rFonts w:ascii="Verdana" w:eastAsia="Times New Roman" w:hAnsi="Verdana"/>
          <w:bCs/>
          <w:color w:val="000000"/>
          <w:sz w:val="20"/>
          <w:szCs w:val="20"/>
          <w:lang w:val="bg-BG" w:eastAsia="bg-BG"/>
        </w:rPr>
        <w:t>Резултатите от направения анализ са илюстрирани на графиките по-долу.</w:t>
      </w:r>
    </w:p>
    <w:tbl>
      <w:tblPr>
        <w:tblStyle w:val="TableGrid"/>
        <w:tblW w:w="10667" w:type="dxa"/>
        <w:tblInd w:w="-748" w:type="dxa"/>
        <w:tblLook w:val="04A0" w:firstRow="1" w:lastRow="0" w:firstColumn="1" w:lastColumn="0" w:noHBand="0" w:noVBand="1"/>
      </w:tblPr>
      <w:tblGrid>
        <w:gridCol w:w="459"/>
        <w:gridCol w:w="4815"/>
        <w:gridCol w:w="147"/>
        <w:gridCol w:w="4820"/>
        <w:gridCol w:w="426"/>
      </w:tblGrid>
      <w:tr w:rsidR="00AD796B" w:rsidTr="004020E1">
        <w:trPr>
          <w:gridBefore w:val="1"/>
          <w:gridAfter w:val="1"/>
          <w:wBefore w:w="459" w:type="dxa"/>
          <w:wAfter w:w="426" w:type="dxa"/>
        </w:trPr>
        <w:tc>
          <w:tcPr>
            <w:tcW w:w="4962" w:type="dxa"/>
            <w:gridSpan w:val="2"/>
            <w:tcBorders>
              <w:top w:val="nil"/>
              <w:left w:val="nil"/>
              <w:bottom w:val="nil"/>
              <w:right w:val="nil"/>
            </w:tcBorders>
          </w:tcPr>
          <w:p w:rsidR="00AD796B" w:rsidRDefault="00AD796B" w:rsidP="004020E1">
            <w:pPr>
              <w:widowControl w:val="0"/>
              <w:tabs>
                <w:tab w:val="left" w:pos="0"/>
                <w:tab w:val="right" w:pos="9214"/>
              </w:tabs>
              <w:spacing w:before="120" w:after="120"/>
              <w:jc w:val="both"/>
              <w:rPr>
                <w:rFonts w:ascii="Verdana" w:eastAsia="Times New Roman" w:hAnsi="Verdana"/>
                <w:bCs/>
                <w:color w:val="000000"/>
                <w:sz w:val="20"/>
                <w:szCs w:val="20"/>
                <w:lang w:val="bg-BG" w:eastAsia="bg-BG"/>
              </w:rPr>
            </w:pPr>
            <w:r>
              <w:rPr>
                <w:rFonts w:ascii="Verdana" w:eastAsia="Times New Roman" w:hAnsi="Verdana"/>
                <w:bCs/>
                <w:noProof/>
                <w:color w:val="000000"/>
                <w:sz w:val="20"/>
                <w:szCs w:val="20"/>
                <w:lang w:val="bg-BG" w:eastAsia="bg-BG"/>
              </w:rPr>
              <w:drawing>
                <wp:inline distT="0" distB="0" distL="0" distR="0" wp14:anchorId="68783475" wp14:editId="668159BF">
                  <wp:extent cx="2809875" cy="2542540"/>
                  <wp:effectExtent l="0" t="0" r="9525" b="0"/>
                  <wp:docPr id="32" name="Картина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1" cstate="print"/>
                          <a:srcRect/>
                          <a:stretch>
                            <a:fillRect/>
                          </a:stretch>
                        </pic:blipFill>
                        <pic:spPr bwMode="auto">
                          <a:xfrm>
                            <a:off x="0" y="0"/>
                            <a:ext cx="2809875" cy="2542540"/>
                          </a:xfrm>
                          <a:prstGeom prst="rect">
                            <a:avLst/>
                          </a:prstGeom>
                          <a:noFill/>
                          <a:ln w="9525">
                            <a:noFill/>
                            <a:miter lim="800000"/>
                            <a:headEnd/>
                            <a:tailEnd/>
                          </a:ln>
                        </pic:spPr>
                      </pic:pic>
                    </a:graphicData>
                  </a:graphic>
                </wp:inline>
              </w:drawing>
            </w:r>
          </w:p>
        </w:tc>
        <w:tc>
          <w:tcPr>
            <w:tcW w:w="4820" w:type="dxa"/>
            <w:tcBorders>
              <w:top w:val="nil"/>
              <w:left w:val="nil"/>
              <w:bottom w:val="nil"/>
              <w:right w:val="nil"/>
            </w:tcBorders>
          </w:tcPr>
          <w:p w:rsidR="00AD796B" w:rsidRDefault="00AD796B" w:rsidP="004020E1">
            <w:pPr>
              <w:widowControl w:val="0"/>
              <w:tabs>
                <w:tab w:val="left" w:pos="0"/>
                <w:tab w:val="right" w:pos="9214"/>
              </w:tabs>
              <w:spacing w:before="120" w:after="120"/>
              <w:jc w:val="both"/>
              <w:rPr>
                <w:rFonts w:ascii="Verdana" w:eastAsia="Times New Roman" w:hAnsi="Verdana"/>
                <w:bCs/>
                <w:color w:val="000000"/>
                <w:sz w:val="20"/>
                <w:szCs w:val="20"/>
                <w:lang w:val="bg-BG" w:eastAsia="bg-BG"/>
              </w:rPr>
            </w:pPr>
            <w:r>
              <w:rPr>
                <w:rFonts w:ascii="Verdana" w:eastAsia="Times New Roman" w:hAnsi="Verdana"/>
                <w:bCs/>
                <w:color w:val="000000"/>
                <w:sz w:val="20"/>
                <w:szCs w:val="20"/>
                <w:lang w:val="bg-BG" w:eastAsia="bg-BG"/>
              </w:rPr>
              <w:t xml:space="preserve"> </w:t>
            </w:r>
            <w:r w:rsidRPr="00843FD1">
              <w:rPr>
                <w:rFonts w:ascii="Verdana" w:eastAsia="Times New Roman" w:hAnsi="Verdana"/>
                <w:bCs/>
                <w:noProof/>
                <w:color w:val="000000"/>
                <w:sz w:val="20"/>
                <w:szCs w:val="20"/>
                <w:lang w:val="bg-BG" w:eastAsia="bg-BG"/>
              </w:rPr>
              <w:drawing>
                <wp:inline distT="0" distB="0" distL="0" distR="0" wp14:anchorId="0B5CEE26" wp14:editId="0728E1A7">
                  <wp:extent cx="2827866" cy="2545080"/>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27866" cy="2545080"/>
                          </a:xfrm>
                          <a:prstGeom prst="rect">
                            <a:avLst/>
                          </a:prstGeom>
                          <a:noFill/>
                          <a:ln>
                            <a:noFill/>
                          </a:ln>
                        </pic:spPr>
                      </pic:pic>
                    </a:graphicData>
                  </a:graphic>
                </wp:inline>
              </w:drawing>
            </w:r>
          </w:p>
        </w:tc>
      </w:tr>
      <w:tr w:rsidR="00AD796B" w:rsidRPr="00443DCC" w:rsidTr="004020E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274" w:type="dxa"/>
            <w:gridSpan w:val="2"/>
          </w:tcPr>
          <w:p w:rsidR="00AD796B" w:rsidRPr="00443DCC" w:rsidRDefault="00AD796B" w:rsidP="004020E1">
            <w:pPr>
              <w:pStyle w:val="Caption"/>
              <w:jc w:val="center"/>
              <w:rPr>
                <w:rFonts w:ascii="Verdana" w:eastAsia="Times New Roman" w:hAnsi="Verdana"/>
                <w:b w:val="0"/>
                <w:bCs w:val="0"/>
                <w:color w:val="548DD4" w:themeColor="text2" w:themeTint="99"/>
              </w:rPr>
            </w:pPr>
            <w:bookmarkStart w:id="143" w:name="_Toc381712246"/>
            <w:bookmarkStart w:id="144" w:name="_Toc395609462"/>
            <w:r w:rsidRPr="00443DCC">
              <w:rPr>
                <w:rFonts w:ascii="Verdana" w:hAnsi="Verdana"/>
                <w:bCs w:val="0"/>
                <w:color w:val="006CB6"/>
                <w:lang w:eastAsia="en-US"/>
              </w:rPr>
              <w:t xml:space="preserve">Фигура </w:t>
            </w:r>
            <w:r w:rsidRPr="00443DCC">
              <w:rPr>
                <w:rFonts w:ascii="Verdana" w:hAnsi="Verdana"/>
                <w:bCs w:val="0"/>
                <w:color w:val="006CB6"/>
                <w:lang w:eastAsia="en-US"/>
              </w:rPr>
              <w:fldChar w:fldCharType="begin"/>
            </w:r>
            <w:r w:rsidRPr="00443DCC">
              <w:rPr>
                <w:rFonts w:ascii="Verdana" w:hAnsi="Verdana"/>
                <w:bCs w:val="0"/>
                <w:color w:val="006CB6"/>
                <w:lang w:eastAsia="en-US"/>
              </w:rPr>
              <w:instrText xml:space="preserve"> SEQ фигура \* ARABIC </w:instrText>
            </w:r>
            <w:r w:rsidRPr="00443DCC">
              <w:rPr>
                <w:rFonts w:ascii="Verdana" w:hAnsi="Verdana"/>
                <w:bCs w:val="0"/>
                <w:color w:val="006CB6"/>
                <w:lang w:eastAsia="en-US"/>
              </w:rPr>
              <w:fldChar w:fldCharType="separate"/>
            </w:r>
            <w:r w:rsidR="001361E0">
              <w:rPr>
                <w:rFonts w:ascii="Verdana" w:hAnsi="Verdana"/>
                <w:bCs w:val="0"/>
                <w:noProof/>
                <w:color w:val="006CB6"/>
                <w:lang w:eastAsia="en-US"/>
              </w:rPr>
              <w:t>8</w:t>
            </w:r>
            <w:r w:rsidRPr="00443DCC">
              <w:rPr>
                <w:rFonts w:ascii="Verdana" w:hAnsi="Verdana"/>
                <w:bCs w:val="0"/>
                <w:color w:val="006CB6"/>
                <w:lang w:eastAsia="en-US"/>
              </w:rPr>
              <w:fldChar w:fldCharType="end"/>
            </w:r>
            <w:r w:rsidRPr="00443DCC">
              <w:rPr>
                <w:rFonts w:ascii="Verdana" w:hAnsi="Verdana"/>
                <w:bCs w:val="0"/>
                <w:color w:val="006CB6"/>
                <w:lang w:eastAsia="en-US"/>
              </w:rPr>
              <w:t>: Усвояване през 2007-2013 г.</w:t>
            </w:r>
            <w:bookmarkEnd w:id="143"/>
            <w:bookmarkEnd w:id="144"/>
          </w:p>
        </w:tc>
        <w:tc>
          <w:tcPr>
            <w:tcW w:w="5393" w:type="dxa"/>
            <w:gridSpan w:val="3"/>
          </w:tcPr>
          <w:p w:rsidR="00AD796B" w:rsidRPr="00443DCC" w:rsidRDefault="00AD796B" w:rsidP="004020E1">
            <w:pPr>
              <w:pStyle w:val="Caption"/>
              <w:jc w:val="center"/>
              <w:rPr>
                <w:rFonts w:ascii="Verdana" w:eastAsia="Times New Roman" w:hAnsi="Verdana"/>
                <w:bCs w:val="0"/>
                <w:color w:val="000000"/>
              </w:rPr>
            </w:pPr>
            <w:bookmarkStart w:id="145" w:name="_Toc381712247"/>
            <w:bookmarkStart w:id="146" w:name="_Toc395609463"/>
            <w:r w:rsidRPr="00443DCC">
              <w:rPr>
                <w:rFonts w:ascii="Verdana" w:hAnsi="Verdana"/>
                <w:bCs w:val="0"/>
                <w:color w:val="006CB6"/>
                <w:lang w:eastAsia="en-US"/>
              </w:rPr>
              <w:t xml:space="preserve">Фигура </w:t>
            </w:r>
            <w:r w:rsidRPr="00443DCC">
              <w:rPr>
                <w:rFonts w:ascii="Verdana" w:hAnsi="Verdana"/>
                <w:bCs w:val="0"/>
                <w:color w:val="006CB6"/>
                <w:lang w:eastAsia="en-US"/>
              </w:rPr>
              <w:fldChar w:fldCharType="begin"/>
            </w:r>
            <w:r w:rsidRPr="00443DCC">
              <w:rPr>
                <w:rFonts w:ascii="Verdana" w:hAnsi="Verdana"/>
                <w:bCs w:val="0"/>
                <w:color w:val="006CB6"/>
                <w:lang w:eastAsia="en-US"/>
              </w:rPr>
              <w:instrText xml:space="preserve"> SEQ фигура \* ARABIC </w:instrText>
            </w:r>
            <w:r w:rsidRPr="00443DCC">
              <w:rPr>
                <w:rFonts w:ascii="Verdana" w:hAnsi="Verdana"/>
                <w:bCs w:val="0"/>
                <w:color w:val="006CB6"/>
                <w:lang w:eastAsia="en-US"/>
              </w:rPr>
              <w:fldChar w:fldCharType="separate"/>
            </w:r>
            <w:r w:rsidR="001361E0">
              <w:rPr>
                <w:rFonts w:ascii="Verdana" w:hAnsi="Verdana"/>
                <w:bCs w:val="0"/>
                <w:noProof/>
                <w:color w:val="006CB6"/>
                <w:lang w:eastAsia="en-US"/>
              </w:rPr>
              <w:t>9</w:t>
            </w:r>
            <w:r w:rsidRPr="00443DCC">
              <w:rPr>
                <w:rFonts w:ascii="Verdana" w:hAnsi="Verdana"/>
                <w:bCs w:val="0"/>
                <w:color w:val="006CB6"/>
                <w:lang w:eastAsia="en-US"/>
              </w:rPr>
              <w:fldChar w:fldCharType="end"/>
            </w:r>
            <w:r w:rsidRPr="00443DCC">
              <w:rPr>
                <w:rFonts w:ascii="Verdana" w:hAnsi="Verdana"/>
                <w:bCs w:val="0"/>
                <w:color w:val="006CB6"/>
                <w:lang w:eastAsia="en-US"/>
              </w:rPr>
              <w:t>:</w:t>
            </w:r>
            <w:r>
              <w:rPr>
                <w:rFonts w:ascii="Verdana" w:hAnsi="Verdana"/>
                <w:bCs w:val="0"/>
                <w:color w:val="006CB6"/>
                <w:lang w:eastAsia="en-US"/>
              </w:rPr>
              <w:t xml:space="preserve"> </w:t>
            </w:r>
            <w:r w:rsidRPr="00443DCC">
              <w:rPr>
                <w:rFonts w:ascii="Verdana" w:hAnsi="Verdana"/>
                <w:bCs w:val="0"/>
                <w:color w:val="006CB6"/>
                <w:lang w:eastAsia="en-US"/>
              </w:rPr>
              <w:t>Усвояване през 2014-2020 г.</w:t>
            </w:r>
            <w:bookmarkEnd w:id="145"/>
            <w:bookmarkEnd w:id="146"/>
          </w:p>
        </w:tc>
      </w:tr>
    </w:tbl>
    <w:p w:rsidR="00AD796B" w:rsidRPr="002C3759" w:rsidRDefault="00AD796B" w:rsidP="00AD796B">
      <w:pPr>
        <w:widowControl w:val="0"/>
        <w:tabs>
          <w:tab w:val="left" w:pos="0"/>
          <w:tab w:val="right" w:pos="9214"/>
        </w:tabs>
        <w:spacing w:before="120" w:after="120"/>
        <w:ind w:hanging="426"/>
        <w:jc w:val="center"/>
        <w:rPr>
          <w:rFonts w:ascii="Verdana" w:eastAsia="Times New Roman" w:hAnsi="Verdana"/>
          <w:bCs/>
          <w:color w:val="000000"/>
          <w:sz w:val="16"/>
          <w:szCs w:val="16"/>
          <w:lang w:val="bg-BG" w:eastAsia="bg-BG"/>
        </w:rPr>
      </w:pPr>
      <w:r w:rsidRPr="002C3759">
        <w:rPr>
          <w:rFonts w:ascii="Verdana" w:eastAsia="Times New Roman" w:hAnsi="Verdana"/>
          <w:bCs/>
          <w:color w:val="000000"/>
          <w:sz w:val="16"/>
          <w:szCs w:val="16"/>
          <w:lang w:val="bg-BG" w:eastAsia="bg-BG"/>
        </w:rPr>
        <w:t xml:space="preserve">Източник: ИСУН, </w:t>
      </w:r>
      <w:r w:rsidRPr="007C793F">
        <w:rPr>
          <w:rFonts w:ascii="Verdana" w:eastAsia="Times New Roman" w:hAnsi="Verdana"/>
          <w:bCs/>
          <w:color w:val="000000"/>
          <w:sz w:val="14"/>
          <w:szCs w:val="14"/>
          <w:lang w:val="bg-BG" w:eastAsia="bg-BG"/>
        </w:rPr>
        <w:t>Оперативна програма „</w:t>
      </w:r>
      <w:r w:rsidRPr="00F12AE3">
        <w:rPr>
          <w:rFonts w:ascii="Verdana" w:eastAsia="Times New Roman" w:hAnsi="Verdana"/>
          <w:bCs/>
          <w:color w:val="000000"/>
          <w:sz w:val="14"/>
          <w:szCs w:val="14"/>
          <w:lang w:val="bg-BG" w:eastAsia="bg-BG"/>
        </w:rPr>
        <w:t>Наука и образование за интелигентен растеж</w:t>
      </w:r>
      <w:r w:rsidRPr="00F12AE3">
        <w:rPr>
          <w:rFonts w:ascii="Verdana" w:eastAsia="Calibri" w:hAnsi="Verdana"/>
          <w:sz w:val="14"/>
          <w:szCs w:val="14"/>
          <w:lang w:val="bg-BG"/>
        </w:rPr>
        <w:t xml:space="preserve"> 2014-2020 г.”</w:t>
      </w:r>
      <w:r w:rsidRPr="007C793F">
        <w:rPr>
          <w:rFonts w:ascii="Verdana" w:eastAsia="Times New Roman" w:hAnsi="Verdana"/>
          <w:bCs/>
          <w:color w:val="000000"/>
          <w:sz w:val="14"/>
          <w:szCs w:val="14"/>
          <w:lang w:val="bg-BG" w:eastAsia="bg-BG"/>
        </w:rPr>
        <w:t xml:space="preserve">, </w:t>
      </w:r>
      <w:r w:rsidRPr="002C3759">
        <w:rPr>
          <w:rFonts w:ascii="Verdana" w:eastAsia="Times New Roman" w:hAnsi="Verdana"/>
          <w:bCs/>
          <w:color w:val="000000"/>
          <w:sz w:val="16"/>
          <w:szCs w:val="16"/>
          <w:lang w:val="bg-BG" w:eastAsia="bg-BG"/>
        </w:rPr>
        <w:t>собствени изчисления</w:t>
      </w:r>
    </w:p>
    <w:p w:rsidR="00AD796B" w:rsidRDefault="00AD796B" w:rsidP="00AD796B">
      <w:pPr>
        <w:widowControl w:val="0"/>
        <w:tabs>
          <w:tab w:val="left" w:pos="0"/>
          <w:tab w:val="right" w:pos="9214"/>
        </w:tabs>
        <w:spacing w:before="120" w:after="120"/>
        <w:jc w:val="both"/>
        <w:rPr>
          <w:rFonts w:ascii="Verdana" w:eastAsia="Times New Roman" w:hAnsi="Verdana"/>
          <w:bCs/>
          <w:color w:val="000000"/>
          <w:sz w:val="20"/>
          <w:szCs w:val="20"/>
          <w:lang w:val="bg-BG" w:eastAsia="bg-BG"/>
        </w:rPr>
      </w:pPr>
      <w:r w:rsidRPr="00173D95">
        <w:rPr>
          <w:rFonts w:ascii="Verdana" w:eastAsia="Times New Roman" w:hAnsi="Verdana"/>
          <w:bCs/>
          <w:color w:val="000000"/>
          <w:sz w:val="20"/>
          <w:szCs w:val="20"/>
          <w:lang w:val="bg-BG" w:eastAsia="bg-BG"/>
        </w:rPr>
        <w:t xml:space="preserve">От графиките по-горе </w:t>
      </w:r>
      <w:r>
        <w:rPr>
          <w:rFonts w:ascii="Verdana" w:eastAsia="Times New Roman" w:hAnsi="Verdana"/>
          <w:bCs/>
          <w:color w:val="000000"/>
          <w:sz w:val="20"/>
          <w:szCs w:val="20"/>
          <w:lang w:val="bg-BG" w:eastAsia="bg-BG"/>
        </w:rPr>
        <w:t>е видно</w:t>
      </w:r>
      <w:r w:rsidRPr="00173D95">
        <w:rPr>
          <w:rFonts w:ascii="Verdana" w:eastAsia="Times New Roman" w:hAnsi="Verdana"/>
          <w:bCs/>
          <w:color w:val="000000"/>
          <w:sz w:val="20"/>
          <w:szCs w:val="20"/>
          <w:lang w:val="bg-BG" w:eastAsia="bg-BG"/>
        </w:rPr>
        <w:t xml:space="preserve">, че при </w:t>
      </w:r>
      <w:r>
        <w:rPr>
          <w:rFonts w:ascii="Verdana" w:eastAsia="Times New Roman" w:hAnsi="Verdana"/>
          <w:bCs/>
          <w:color w:val="000000"/>
          <w:sz w:val="20"/>
          <w:szCs w:val="20"/>
          <w:lang w:val="bg-BG" w:eastAsia="bg-BG"/>
        </w:rPr>
        <w:t xml:space="preserve">зададения в актуалния вариант на ОП НОИР 2014-2020 г. </w:t>
      </w:r>
      <w:r w:rsidRPr="00173D95">
        <w:rPr>
          <w:rFonts w:ascii="Verdana" w:eastAsia="Times New Roman" w:hAnsi="Verdana"/>
          <w:bCs/>
          <w:color w:val="000000"/>
          <w:sz w:val="20"/>
          <w:szCs w:val="20"/>
          <w:lang w:val="bg-BG" w:eastAsia="bg-BG"/>
        </w:rPr>
        <w:t xml:space="preserve">профил на бюджетните ангажименти, </w:t>
      </w:r>
      <w:r>
        <w:rPr>
          <w:rFonts w:ascii="Verdana" w:eastAsia="Times New Roman" w:hAnsi="Verdana"/>
          <w:bCs/>
          <w:color w:val="000000"/>
          <w:sz w:val="20"/>
          <w:szCs w:val="20"/>
          <w:lang w:val="bg-BG" w:eastAsia="bg-BG"/>
        </w:rPr>
        <w:t xml:space="preserve">при допускане, че изпълнението по програмата ще следва най-общо това по приоритетни оси 3 и 4 на ОП РЧР 2007-2013 г., риск от загуба на средства ще има едва през 2023 г. </w:t>
      </w:r>
      <w:r w:rsidRPr="00173D95">
        <w:rPr>
          <w:rFonts w:ascii="Verdana" w:eastAsia="Times New Roman" w:hAnsi="Verdana"/>
          <w:bCs/>
          <w:color w:val="000000"/>
          <w:sz w:val="20"/>
          <w:szCs w:val="20"/>
          <w:lang w:val="bg-BG" w:eastAsia="bg-BG"/>
        </w:rPr>
        <w:t xml:space="preserve">Тъй като този риск не подлежи на корекция чрез промяна в бюджетното разпределение, а чрез по-ефективно и ефикасно прилагане на програмата, можем да заключим, че разпределението на финансовите ресурси по ОП </w:t>
      </w:r>
      <w:r>
        <w:rPr>
          <w:rFonts w:ascii="Verdana" w:eastAsia="Times New Roman" w:hAnsi="Verdana"/>
          <w:bCs/>
          <w:color w:val="000000"/>
          <w:sz w:val="20"/>
          <w:szCs w:val="20"/>
          <w:lang w:val="bg-BG" w:eastAsia="bg-BG"/>
        </w:rPr>
        <w:t>НОИР</w:t>
      </w:r>
      <w:r w:rsidRPr="00173D95">
        <w:rPr>
          <w:rFonts w:ascii="Verdana" w:eastAsia="Times New Roman" w:hAnsi="Verdana"/>
          <w:bCs/>
          <w:color w:val="000000"/>
          <w:sz w:val="20"/>
          <w:szCs w:val="20"/>
          <w:lang w:val="bg-BG" w:eastAsia="bg-BG"/>
        </w:rPr>
        <w:t xml:space="preserve"> 2014-2020 по години</w:t>
      </w:r>
      <w:r>
        <w:rPr>
          <w:rFonts w:ascii="Verdana" w:eastAsia="Times New Roman" w:hAnsi="Verdana"/>
          <w:bCs/>
          <w:color w:val="000000"/>
          <w:sz w:val="20"/>
          <w:szCs w:val="20"/>
          <w:lang w:val="bg-BG" w:eastAsia="bg-BG"/>
        </w:rPr>
        <w:t xml:space="preserve"> е направено по начин, по който в максимална </w:t>
      </w:r>
      <w:r w:rsidRPr="00173D95">
        <w:rPr>
          <w:rFonts w:ascii="Verdana" w:eastAsia="Times New Roman" w:hAnsi="Verdana"/>
          <w:bCs/>
          <w:color w:val="000000"/>
          <w:sz w:val="20"/>
          <w:szCs w:val="20"/>
          <w:lang w:val="bg-BG" w:eastAsia="bg-BG"/>
        </w:rPr>
        <w:t xml:space="preserve">степен </w:t>
      </w:r>
      <w:r>
        <w:rPr>
          <w:rFonts w:ascii="Verdana" w:eastAsia="Times New Roman" w:hAnsi="Verdana"/>
          <w:bCs/>
          <w:color w:val="000000"/>
          <w:sz w:val="20"/>
          <w:szCs w:val="20"/>
          <w:lang w:val="bg-BG" w:eastAsia="bg-BG"/>
        </w:rPr>
        <w:t xml:space="preserve">е ограничен </w:t>
      </w:r>
      <w:r w:rsidRPr="00173D95">
        <w:rPr>
          <w:rFonts w:ascii="Verdana" w:eastAsia="Times New Roman" w:hAnsi="Verdana"/>
          <w:bCs/>
          <w:color w:val="000000"/>
          <w:sz w:val="20"/>
          <w:szCs w:val="20"/>
          <w:lang w:val="bg-BG" w:eastAsia="bg-BG"/>
        </w:rPr>
        <w:t xml:space="preserve">рискът от загуба на средства по програмата. </w:t>
      </w:r>
    </w:p>
    <w:p w:rsidR="00AD796B" w:rsidRPr="00A65DB8" w:rsidRDefault="00AD796B" w:rsidP="00AD796B">
      <w:pPr>
        <w:keepNext/>
        <w:widowControl w:val="0"/>
        <w:tabs>
          <w:tab w:val="left" w:pos="0"/>
          <w:tab w:val="right" w:pos="9214"/>
        </w:tabs>
        <w:spacing w:before="240" w:after="120"/>
        <w:jc w:val="both"/>
        <w:rPr>
          <w:rFonts w:ascii="Verdana" w:eastAsia="Times New Roman" w:hAnsi="Verdana"/>
          <w:bCs/>
          <w:color w:val="0070C0"/>
          <w:sz w:val="20"/>
          <w:szCs w:val="20"/>
          <w:lang w:val="bg-BG" w:eastAsia="bg-BG"/>
        </w:rPr>
      </w:pPr>
      <w:r w:rsidRPr="00A65DB8">
        <w:rPr>
          <w:rFonts w:ascii="Verdana" w:eastAsia="Times New Roman" w:hAnsi="Verdana"/>
          <w:bCs/>
          <w:color w:val="0070C0"/>
          <w:sz w:val="20"/>
          <w:szCs w:val="20"/>
          <w:lang w:val="bg-BG" w:eastAsia="bg-BG"/>
        </w:rPr>
        <w:t>Отговори на проведената онлайн анкета по отношение на разпределението на бюджета на програмата</w:t>
      </w:r>
    </w:p>
    <w:p w:rsidR="00AD796B" w:rsidRPr="004E528E" w:rsidRDefault="00AD796B" w:rsidP="00AD796B">
      <w:pPr>
        <w:widowControl w:val="0"/>
        <w:tabs>
          <w:tab w:val="left" w:pos="0"/>
          <w:tab w:val="right" w:pos="9214"/>
        </w:tabs>
        <w:spacing w:before="120" w:after="0"/>
        <w:jc w:val="both"/>
        <w:rPr>
          <w:rFonts w:ascii="Verdana" w:eastAsia="Times New Roman" w:hAnsi="Verdana"/>
          <w:bCs/>
          <w:color w:val="000000"/>
          <w:sz w:val="20"/>
          <w:szCs w:val="20"/>
          <w:lang w:val="bg-BG" w:eastAsia="bg-BG"/>
        </w:rPr>
      </w:pPr>
      <w:r w:rsidRPr="004E528E">
        <w:rPr>
          <w:rFonts w:ascii="Verdana" w:eastAsia="Times New Roman" w:hAnsi="Verdana"/>
          <w:bCs/>
          <w:color w:val="000000"/>
          <w:sz w:val="20"/>
          <w:szCs w:val="20"/>
          <w:lang w:val="bg-BG" w:eastAsia="bg-BG"/>
        </w:rPr>
        <w:t xml:space="preserve">Мнението на потенциалните бенефициенти, членовете на работната група и УО на ОП </w:t>
      </w:r>
      <w:r>
        <w:rPr>
          <w:rFonts w:ascii="Verdana" w:eastAsia="Times New Roman" w:hAnsi="Verdana"/>
          <w:bCs/>
          <w:color w:val="000000"/>
          <w:sz w:val="20"/>
          <w:szCs w:val="20"/>
          <w:lang w:val="bg-BG" w:eastAsia="bg-BG"/>
        </w:rPr>
        <w:t>НОИР</w:t>
      </w:r>
      <w:r w:rsidRPr="004E528E">
        <w:rPr>
          <w:rFonts w:ascii="Verdana" w:eastAsia="Times New Roman" w:hAnsi="Verdana"/>
          <w:bCs/>
          <w:color w:val="000000"/>
          <w:sz w:val="20"/>
          <w:szCs w:val="20"/>
          <w:lang w:val="bg-BG" w:eastAsia="bg-BG"/>
        </w:rPr>
        <w:t xml:space="preserve"> 2014-2020 г. по отношение на разпределението на средствата на програмата беше потърсено чрез проведеното онлайн проучване. Предвид широкия кръг от респонденти, мнението им по отношение на финансовото разпределение е отчетено само по основни инвестиционни приоритети.</w:t>
      </w:r>
    </w:p>
    <w:p w:rsidR="00AD796B" w:rsidRPr="004E528E" w:rsidRDefault="00AD796B" w:rsidP="00AD796B">
      <w:pPr>
        <w:widowControl w:val="0"/>
        <w:tabs>
          <w:tab w:val="left" w:pos="0"/>
          <w:tab w:val="right" w:pos="9214"/>
        </w:tabs>
        <w:spacing w:before="120" w:after="0"/>
        <w:jc w:val="both"/>
        <w:rPr>
          <w:rFonts w:ascii="Verdana" w:eastAsia="Times New Roman" w:hAnsi="Verdana"/>
          <w:bCs/>
          <w:color w:val="000000"/>
          <w:sz w:val="20"/>
          <w:szCs w:val="20"/>
          <w:lang w:val="bg-BG" w:eastAsia="bg-BG"/>
        </w:rPr>
      </w:pPr>
      <w:r w:rsidRPr="004E528E">
        <w:rPr>
          <w:rFonts w:ascii="Verdana" w:eastAsia="Times New Roman" w:hAnsi="Verdana"/>
          <w:bCs/>
          <w:color w:val="000000"/>
          <w:sz w:val="20"/>
          <w:szCs w:val="20"/>
          <w:lang w:val="bg-BG" w:eastAsia="bg-BG"/>
        </w:rPr>
        <w:t>Разпределението на отго</w:t>
      </w:r>
      <w:r>
        <w:rPr>
          <w:rFonts w:ascii="Verdana" w:eastAsia="Times New Roman" w:hAnsi="Verdana"/>
          <w:bCs/>
          <w:color w:val="000000"/>
          <w:sz w:val="20"/>
          <w:szCs w:val="20"/>
          <w:lang w:val="bg-BG" w:eastAsia="bg-BG"/>
        </w:rPr>
        <w:t xml:space="preserve">ворите за финансовата важност на основните инвестиционни приоритети </w:t>
      </w:r>
      <w:r w:rsidRPr="004E528E">
        <w:rPr>
          <w:rFonts w:ascii="Verdana" w:eastAsia="Times New Roman" w:hAnsi="Verdana"/>
          <w:bCs/>
          <w:color w:val="000000"/>
          <w:sz w:val="20"/>
          <w:szCs w:val="20"/>
          <w:lang w:val="bg-BG" w:eastAsia="bg-BG"/>
        </w:rPr>
        <w:t>е дадено на графиката по-долу, като е направено и разграничение между отговорите на УО и тези на потенциални бенефициенти и членове на работната група.</w:t>
      </w:r>
    </w:p>
    <w:p w:rsidR="00AD796B" w:rsidRPr="004E528E" w:rsidRDefault="00AD796B" w:rsidP="00AD796B">
      <w:pPr>
        <w:widowControl w:val="0"/>
        <w:tabs>
          <w:tab w:val="left" w:pos="0"/>
          <w:tab w:val="right" w:pos="9214"/>
        </w:tabs>
        <w:spacing w:before="120" w:after="0"/>
        <w:jc w:val="both"/>
        <w:rPr>
          <w:rFonts w:ascii="Verdana" w:eastAsia="Times New Roman" w:hAnsi="Verdana"/>
          <w:bCs/>
          <w:color w:val="000000"/>
          <w:sz w:val="20"/>
          <w:szCs w:val="20"/>
          <w:lang w:val="bg-BG" w:eastAsia="bg-BG"/>
        </w:rPr>
      </w:pPr>
      <w:r w:rsidRPr="004E528E">
        <w:rPr>
          <w:rFonts w:ascii="Verdana" w:eastAsia="Times New Roman" w:hAnsi="Verdana"/>
          <w:bCs/>
          <w:color w:val="000000"/>
          <w:sz w:val="20"/>
          <w:szCs w:val="20"/>
          <w:lang w:val="bg-BG" w:eastAsia="bg-BG"/>
        </w:rPr>
        <w:t>Като цяло,</w:t>
      </w:r>
      <w:r>
        <w:rPr>
          <w:rFonts w:ascii="Verdana" w:eastAsia="Times New Roman" w:hAnsi="Verdana"/>
          <w:bCs/>
          <w:color w:val="000000"/>
          <w:sz w:val="20"/>
          <w:szCs w:val="20"/>
          <w:lang w:val="bg-BG" w:eastAsia="bg-BG"/>
        </w:rPr>
        <w:t xml:space="preserve"> резултатите показват по-нисък дял на средствата за наука и технологично развитие (ПО 1) и по-висок сумарен дял на средствата за образование </w:t>
      </w:r>
      <w:r>
        <w:rPr>
          <w:rFonts w:ascii="Verdana" w:eastAsia="Times New Roman" w:hAnsi="Verdana"/>
          <w:bCs/>
          <w:color w:val="000000"/>
          <w:sz w:val="20"/>
          <w:szCs w:val="20"/>
          <w:lang w:val="bg-BG" w:eastAsia="bg-BG"/>
        </w:rPr>
        <w:lastRenderedPageBreak/>
        <w:t>и учене през целия живот</w:t>
      </w:r>
      <w:r w:rsidRPr="004E528E">
        <w:rPr>
          <w:rFonts w:ascii="Verdana" w:eastAsia="Times New Roman" w:hAnsi="Verdana"/>
          <w:bCs/>
          <w:color w:val="000000"/>
          <w:sz w:val="20"/>
          <w:szCs w:val="20"/>
          <w:lang w:val="bg-BG" w:eastAsia="bg-BG"/>
        </w:rPr>
        <w:t>.</w:t>
      </w:r>
      <w:r>
        <w:rPr>
          <w:rFonts w:ascii="Verdana" w:eastAsia="Times New Roman" w:hAnsi="Verdana"/>
          <w:bCs/>
          <w:color w:val="000000"/>
          <w:sz w:val="20"/>
          <w:szCs w:val="20"/>
          <w:lang w:val="bg-BG" w:eastAsia="bg-BG"/>
        </w:rPr>
        <w:t xml:space="preserve"> В програмния документ съотношението между ПО 1 и ПО 2 е 1:2, докато според осреднените резултати от анкетите то би следвало да бъде 1:3.</w:t>
      </w:r>
    </w:p>
    <w:p w:rsidR="00AD796B" w:rsidRDefault="00AD796B" w:rsidP="00AD796B">
      <w:pPr>
        <w:widowControl w:val="0"/>
        <w:tabs>
          <w:tab w:val="left" w:pos="0"/>
          <w:tab w:val="right" w:pos="9214"/>
        </w:tabs>
        <w:spacing w:before="120" w:after="0"/>
        <w:jc w:val="center"/>
        <w:rPr>
          <w:rFonts w:ascii="Verdana" w:eastAsia="Times New Roman" w:hAnsi="Verdana"/>
          <w:bCs/>
          <w:color w:val="000000"/>
          <w:sz w:val="20"/>
          <w:szCs w:val="20"/>
          <w:highlight w:val="yellow"/>
          <w:lang w:val="bg-BG" w:eastAsia="bg-BG"/>
        </w:rPr>
      </w:pPr>
      <w:r w:rsidRPr="004C272D">
        <w:rPr>
          <w:rFonts w:ascii="Verdana" w:eastAsia="Times New Roman" w:hAnsi="Verdana"/>
          <w:bCs/>
          <w:noProof/>
          <w:color w:val="000000"/>
          <w:sz w:val="20"/>
          <w:szCs w:val="20"/>
          <w:lang w:val="bg-BG" w:eastAsia="bg-BG"/>
        </w:rPr>
        <w:drawing>
          <wp:inline distT="0" distB="0" distL="0" distR="0" wp14:anchorId="46657FD6" wp14:editId="3EE6091D">
            <wp:extent cx="5029200" cy="4391025"/>
            <wp:effectExtent l="0" t="0" r="0" b="9525"/>
            <wp:docPr id="35" name="Picture 35" descr="PO_distribu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O_distribution"/>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029200" cy="4391025"/>
                    </a:xfrm>
                    <a:prstGeom prst="rect">
                      <a:avLst/>
                    </a:prstGeom>
                    <a:noFill/>
                    <a:ln>
                      <a:noFill/>
                    </a:ln>
                  </pic:spPr>
                </pic:pic>
              </a:graphicData>
            </a:graphic>
          </wp:inline>
        </w:drawing>
      </w:r>
    </w:p>
    <w:p w:rsidR="00AD796B" w:rsidRPr="002C3759" w:rsidRDefault="00AD796B" w:rsidP="00AD796B">
      <w:pPr>
        <w:widowControl w:val="0"/>
        <w:tabs>
          <w:tab w:val="left" w:pos="0"/>
          <w:tab w:val="right" w:pos="9214"/>
        </w:tabs>
        <w:spacing w:before="120" w:after="0"/>
        <w:jc w:val="center"/>
        <w:rPr>
          <w:rFonts w:ascii="Verdana" w:eastAsia="Times New Roman" w:hAnsi="Verdana"/>
          <w:bCs/>
          <w:color w:val="000000"/>
          <w:sz w:val="16"/>
          <w:szCs w:val="16"/>
          <w:lang w:val="bg-BG" w:eastAsia="bg-BG"/>
        </w:rPr>
      </w:pPr>
      <w:r w:rsidRPr="002C3759">
        <w:rPr>
          <w:rFonts w:ascii="Verdana" w:eastAsia="Times New Roman" w:hAnsi="Verdana"/>
          <w:bCs/>
          <w:color w:val="000000"/>
          <w:sz w:val="16"/>
          <w:szCs w:val="16"/>
          <w:lang w:val="bg-BG" w:eastAsia="bg-BG"/>
        </w:rPr>
        <w:t>Източник: Онлайн проучване сред потенциални бенефициенти, членове на работната група и представители на УО на ОПНОИР</w:t>
      </w:r>
    </w:p>
    <w:p w:rsidR="00AD796B" w:rsidRPr="00B13EA1" w:rsidRDefault="00AD796B" w:rsidP="00AD796B">
      <w:pPr>
        <w:jc w:val="center"/>
        <w:rPr>
          <w:rFonts w:ascii="Verdana" w:hAnsi="Verdana"/>
          <w:b/>
          <w:color w:val="548DD4" w:themeColor="text2" w:themeTint="99"/>
          <w:sz w:val="20"/>
          <w:szCs w:val="20"/>
          <w:lang w:val="bg-BG" w:eastAsia="cs-CZ"/>
        </w:rPr>
      </w:pPr>
      <w:bookmarkStart w:id="147" w:name="_Toc395609464"/>
      <w:r w:rsidRPr="00B13EA1">
        <w:rPr>
          <w:rFonts w:ascii="Verdana" w:hAnsi="Verdana"/>
          <w:b/>
          <w:color w:val="006CB6"/>
          <w:sz w:val="20"/>
          <w:szCs w:val="20"/>
          <w:lang w:val="bg-BG"/>
        </w:rPr>
        <w:t xml:space="preserve">Фигура </w:t>
      </w:r>
      <w:r w:rsidRPr="00B13EA1">
        <w:rPr>
          <w:rFonts w:ascii="Verdana" w:hAnsi="Verdana"/>
          <w:b/>
          <w:color w:val="006CB6"/>
          <w:sz w:val="20"/>
          <w:szCs w:val="20"/>
        </w:rPr>
        <w:fldChar w:fldCharType="begin"/>
      </w:r>
      <w:r w:rsidRPr="00B13EA1">
        <w:rPr>
          <w:rFonts w:ascii="Verdana" w:hAnsi="Verdana"/>
          <w:b/>
          <w:color w:val="006CB6"/>
          <w:sz w:val="20"/>
          <w:szCs w:val="20"/>
        </w:rPr>
        <w:instrText>SEQ</w:instrText>
      </w:r>
      <w:r w:rsidRPr="00B13EA1">
        <w:rPr>
          <w:rFonts w:ascii="Verdana" w:hAnsi="Verdana"/>
          <w:b/>
          <w:color w:val="006CB6"/>
          <w:sz w:val="20"/>
          <w:szCs w:val="20"/>
          <w:lang w:val="bg-BG"/>
        </w:rPr>
        <w:instrText xml:space="preserve"> Фигура \* </w:instrText>
      </w:r>
      <w:r w:rsidRPr="00B13EA1">
        <w:rPr>
          <w:rFonts w:ascii="Verdana" w:hAnsi="Verdana"/>
          <w:b/>
          <w:color w:val="006CB6"/>
          <w:sz w:val="20"/>
          <w:szCs w:val="20"/>
        </w:rPr>
        <w:instrText>ARABIC</w:instrText>
      </w:r>
      <w:r w:rsidRPr="00B13EA1">
        <w:rPr>
          <w:rFonts w:ascii="Verdana" w:hAnsi="Verdana"/>
          <w:b/>
          <w:color w:val="006CB6"/>
          <w:sz w:val="20"/>
          <w:szCs w:val="20"/>
        </w:rPr>
        <w:fldChar w:fldCharType="separate"/>
      </w:r>
      <w:r w:rsidR="001361E0">
        <w:rPr>
          <w:rFonts w:ascii="Verdana" w:hAnsi="Verdana"/>
          <w:b/>
          <w:noProof/>
          <w:color w:val="006CB6"/>
          <w:sz w:val="20"/>
          <w:szCs w:val="20"/>
        </w:rPr>
        <w:t>10</w:t>
      </w:r>
      <w:r w:rsidRPr="00B13EA1">
        <w:rPr>
          <w:rFonts w:ascii="Verdana" w:hAnsi="Verdana"/>
          <w:b/>
          <w:color w:val="006CB6"/>
          <w:sz w:val="20"/>
          <w:szCs w:val="20"/>
        </w:rPr>
        <w:fldChar w:fldCharType="end"/>
      </w:r>
      <w:r w:rsidRPr="00B13EA1">
        <w:rPr>
          <w:rFonts w:ascii="Verdana" w:hAnsi="Verdana"/>
          <w:b/>
          <w:color w:val="006CB6"/>
          <w:sz w:val="20"/>
          <w:szCs w:val="20"/>
          <w:lang w:val="bg-BG"/>
        </w:rPr>
        <w:t xml:space="preserve">:Разпределение на отговорите за дела на финансиране по </w:t>
      </w:r>
      <w:proofErr w:type="spellStart"/>
      <w:r w:rsidRPr="00B13EA1">
        <w:rPr>
          <w:rFonts w:ascii="Verdana" w:hAnsi="Verdana"/>
          <w:b/>
          <w:color w:val="006CB6"/>
          <w:sz w:val="20"/>
          <w:szCs w:val="20"/>
          <w:lang w:val="bg-BG"/>
        </w:rPr>
        <w:t>ПО</w:t>
      </w:r>
      <w:bookmarkEnd w:id="147"/>
      <w:proofErr w:type="spellEnd"/>
    </w:p>
    <w:p w:rsidR="00AD796B" w:rsidRPr="00E66E8A" w:rsidRDefault="00AD796B" w:rsidP="00AD796B">
      <w:pPr>
        <w:widowControl w:val="0"/>
        <w:tabs>
          <w:tab w:val="left" w:pos="0"/>
          <w:tab w:val="right" w:pos="9214"/>
        </w:tabs>
        <w:spacing w:before="120" w:after="0"/>
        <w:jc w:val="center"/>
        <w:rPr>
          <w:rFonts w:ascii="Verdana" w:eastAsia="Times New Roman" w:hAnsi="Verdana"/>
          <w:bCs/>
          <w:color w:val="000000"/>
          <w:sz w:val="14"/>
          <w:szCs w:val="14"/>
          <w:lang w:val="bg-BG" w:eastAsia="bg-BG"/>
        </w:rPr>
      </w:pPr>
    </w:p>
    <w:p w:rsidR="00AD796B" w:rsidRDefault="00AD796B" w:rsidP="00AD796B">
      <w:pPr>
        <w:tabs>
          <w:tab w:val="left" w:pos="0"/>
          <w:tab w:val="right" w:pos="9214"/>
        </w:tabs>
        <w:spacing w:after="120"/>
        <w:jc w:val="both"/>
        <w:rPr>
          <w:rFonts w:ascii="Verdana" w:eastAsia="Calibri" w:hAnsi="Verdana"/>
          <w:sz w:val="20"/>
          <w:szCs w:val="20"/>
          <w:lang w:val="bg-BG"/>
        </w:rPr>
      </w:pPr>
      <w:r>
        <w:rPr>
          <w:rFonts w:ascii="Verdana" w:eastAsia="Calibri" w:hAnsi="Verdana"/>
          <w:sz w:val="20"/>
          <w:szCs w:val="20"/>
          <w:lang w:val="bg-BG"/>
        </w:rPr>
        <w:t>Респондентите са сравнително единни в отговорите си за дела на финансирането за висше и училищно образование, оценявайки необходимостта за заделяне на средства за тези приоритети съответно на 25% и 36% от бюджета на програмата.</w:t>
      </w:r>
    </w:p>
    <w:p w:rsidR="00AD796B" w:rsidRDefault="00AD796B" w:rsidP="00AD796B">
      <w:pPr>
        <w:tabs>
          <w:tab w:val="left" w:pos="0"/>
          <w:tab w:val="right" w:pos="9214"/>
        </w:tabs>
        <w:spacing w:after="120"/>
        <w:jc w:val="both"/>
        <w:rPr>
          <w:rFonts w:ascii="Verdana" w:eastAsia="Calibri" w:hAnsi="Verdana"/>
          <w:sz w:val="20"/>
          <w:szCs w:val="20"/>
          <w:lang w:val="bg-BG"/>
        </w:rPr>
      </w:pPr>
      <w:r>
        <w:rPr>
          <w:rFonts w:ascii="Verdana" w:eastAsia="Calibri" w:hAnsi="Verdana"/>
          <w:sz w:val="20"/>
          <w:szCs w:val="20"/>
          <w:lang w:val="bg-BG"/>
        </w:rPr>
        <w:t xml:space="preserve">По отношение на оценката на дела на финансирането, което би трябвало да се задели за </w:t>
      </w:r>
      <w:r w:rsidRPr="00797444">
        <w:rPr>
          <w:rFonts w:ascii="Verdana" w:eastAsia="Calibri" w:hAnsi="Verdana"/>
          <w:sz w:val="20"/>
          <w:szCs w:val="20"/>
          <w:lang w:val="bg-BG"/>
        </w:rPr>
        <w:t>изследвания и технологично развитие</w:t>
      </w:r>
      <w:r>
        <w:rPr>
          <w:rFonts w:ascii="Verdana" w:eastAsia="Calibri" w:hAnsi="Verdana"/>
          <w:sz w:val="20"/>
          <w:szCs w:val="20"/>
          <w:lang w:val="bg-BG"/>
        </w:rPr>
        <w:t>, те варират между 5% и 70% от бюджета на програмата. Като цяло анкетираните представители на УО на ОПНОИР смятат, че финансирането на този тип инвестиции би следвало да е по-висок.</w:t>
      </w:r>
    </w:p>
    <w:p w:rsidR="00AD796B" w:rsidRDefault="00AD796B" w:rsidP="00AD796B">
      <w:pPr>
        <w:tabs>
          <w:tab w:val="left" w:pos="0"/>
          <w:tab w:val="right" w:pos="9214"/>
        </w:tabs>
        <w:spacing w:after="120"/>
        <w:jc w:val="both"/>
        <w:rPr>
          <w:rFonts w:ascii="Verdana" w:eastAsia="Calibri" w:hAnsi="Verdana"/>
          <w:sz w:val="20"/>
          <w:szCs w:val="20"/>
          <w:lang w:val="bg-BG"/>
        </w:rPr>
      </w:pPr>
      <w:r>
        <w:rPr>
          <w:rFonts w:ascii="Verdana" w:eastAsia="Calibri" w:hAnsi="Verdana"/>
          <w:sz w:val="20"/>
          <w:szCs w:val="20"/>
          <w:lang w:val="bg-BG"/>
        </w:rPr>
        <w:t>Аналогично, за учене през целия живот, обхватът на оценките варира между 2% и 50%, като обаче този път потенциалните бенефициенти и членове на работната група за ОПНОИР 2014-2020 дават по-голяма тежест на необходимостта от инвестиции и след завършването на формалното образование.</w:t>
      </w:r>
    </w:p>
    <w:p w:rsidR="00AD796B" w:rsidRPr="00B45B4F" w:rsidRDefault="00AD796B" w:rsidP="00AD796B">
      <w:pPr>
        <w:widowControl w:val="0"/>
        <w:tabs>
          <w:tab w:val="left" w:pos="0"/>
          <w:tab w:val="right" w:pos="9214"/>
        </w:tabs>
        <w:spacing w:before="120" w:after="0"/>
        <w:jc w:val="both"/>
        <w:rPr>
          <w:rFonts w:ascii="Verdana" w:eastAsia="Times New Roman" w:hAnsi="Verdana"/>
          <w:bCs/>
          <w:color w:val="000000"/>
          <w:sz w:val="20"/>
          <w:szCs w:val="20"/>
          <w:lang w:val="bg-BG" w:eastAsia="bg-BG"/>
        </w:rPr>
      </w:pPr>
    </w:p>
    <w:tbl>
      <w:tblPr>
        <w:tblW w:w="9090" w:type="dxa"/>
        <w:tblInd w:w="108" w:type="dxa"/>
        <w:tblBorders>
          <w:top w:val="single" w:sz="4" w:space="0" w:color="auto"/>
          <w:bottom w:val="single" w:sz="4" w:space="0" w:color="auto"/>
        </w:tblBorders>
        <w:tblLook w:val="04A0" w:firstRow="1" w:lastRow="0" w:firstColumn="1" w:lastColumn="0" w:noHBand="0" w:noVBand="1"/>
      </w:tblPr>
      <w:tblGrid>
        <w:gridCol w:w="567"/>
        <w:gridCol w:w="8523"/>
      </w:tblGrid>
      <w:tr w:rsidR="00AD796B" w:rsidRPr="000071C8" w:rsidTr="004020E1">
        <w:tc>
          <w:tcPr>
            <w:tcW w:w="567" w:type="dxa"/>
            <w:vAlign w:val="center"/>
          </w:tcPr>
          <w:p w:rsidR="00AD796B" w:rsidRPr="000071C8" w:rsidRDefault="00AD796B" w:rsidP="004020E1">
            <w:pPr>
              <w:spacing w:after="0"/>
              <w:jc w:val="center"/>
              <w:rPr>
                <w:rFonts w:ascii="Verdana" w:eastAsia="Times New Roman" w:hAnsi="Verdana"/>
                <w:color w:val="548DD4"/>
                <w:sz w:val="36"/>
                <w:szCs w:val="36"/>
                <w:lang w:val="bg-BG" w:eastAsia="bg-BG"/>
              </w:rPr>
            </w:pPr>
            <w:r w:rsidRPr="000071C8">
              <w:rPr>
                <w:rFonts w:ascii="Verdana" w:eastAsia="Times New Roman" w:hAnsi="Verdana"/>
                <w:color w:val="548DD4"/>
                <w:sz w:val="36"/>
                <w:szCs w:val="36"/>
                <w:lang w:val="bg-BG" w:eastAsia="bg-BG"/>
              </w:rPr>
              <w:lastRenderedPageBreak/>
              <w:t>?</w:t>
            </w:r>
          </w:p>
        </w:tc>
        <w:tc>
          <w:tcPr>
            <w:tcW w:w="8523" w:type="dxa"/>
            <w:shd w:val="clear" w:color="auto" w:fill="B8CCE4"/>
          </w:tcPr>
          <w:p w:rsidR="00AD796B" w:rsidRPr="000071C8" w:rsidRDefault="00AD796B" w:rsidP="004020E1">
            <w:pPr>
              <w:autoSpaceDE w:val="0"/>
              <w:autoSpaceDN w:val="0"/>
              <w:adjustRightInd w:val="0"/>
              <w:spacing w:before="120" w:after="120" w:line="240" w:lineRule="auto"/>
              <w:ind w:left="135"/>
              <w:rPr>
                <w:rFonts w:ascii="Verdana" w:eastAsia="Times New Roman" w:hAnsi="Verdana" w:cs="TimesNewRomanPSMT"/>
                <w:sz w:val="20"/>
                <w:szCs w:val="20"/>
                <w:lang w:val="bg-BG" w:eastAsia="bg-BG"/>
              </w:rPr>
            </w:pPr>
            <w:r w:rsidRPr="000071C8">
              <w:rPr>
                <w:rFonts w:ascii="Verdana" w:eastAsia="Times New Roman" w:hAnsi="Verdana" w:cs="TimesNewRomanPSMT"/>
                <w:sz w:val="20"/>
                <w:szCs w:val="20"/>
                <w:lang w:val="bg-BG" w:eastAsia="bg-BG"/>
              </w:rPr>
              <w:t>Последователност и обоснованост на разпределението на бюджетните средства спрямо изискванията на регламентите (интегриран подход, фокусиране на интервенциите, финансов инженеринг и др.)</w:t>
            </w:r>
          </w:p>
        </w:tc>
      </w:tr>
    </w:tbl>
    <w:p w:rsidR="00AD796B" w:rsidRPr="00A65DB8" w:rsidRDefault="00AD796B" w:rsidP="00AD796B">
      <w:pPr>
        <w:keepNext/>
        <w:widowControl w:val="0"/>
        <w:tabs>
          <w:tab w:val="left" w:pos="0"/>
          <w:tab w:val="right" w:pos="9214"/>
        </w:tabs>
        <w:spacing w:before="240" w:after="120"/>
        <w:jc w:val="both"/>
        <w:rPr>
          <w:rFonts w:ascii="Verdana" w:eastAsia="Times New Roman" w:hAnsi="Verdana"/>
          <w:bCs/>
          <w:color w:val="0070C0"/>
          <w:sz w:val="20"/>
          <w:szCs w:val="20"/>
          <w:lang w:val="bg-BG" w:eastAsia="bg-BG"/>
        </w:rPr>
      </w:pPr>
      <w:r w:rsidRPr="00A65DB8">
        <w:rPr>
          <w:rFonts w:ascii="Verdana" w:eastAsia="Times New Roman" w:hAnsi="Verdana"/>
          <w:bCs/>
          <w:color w:val="0070C0"/>
          <w:sz w:val="20"/>
          <w:szCs w:val="20"/>
          <w:lang w:val="bg-BG" w:eastAsia="bg-BG"/>
        </w:rPr>
        <w:t>Степен на спазване на формалните изисквания при описанието на финансовата рамка в програмния документ и съфинансиране</w:t>
      </w:r>
    </w:p>
    <w:p w:rsidR="00AD796B" w:rsidRPr="00B13EA1" w:rsidRDefault="00AD796B" w:rsidP="00AD796B">
      <w:pPr>
        <w:widowControl w:val="0"/>
        <w:tabs>
          <w:tab w:val="left" w:pos="0"/>
          <w:tab w:val="right" w:pos="9214"/>
        </w:tabs>
        <w:spacing w:before="120" w:after="120"/>
        <w:jc w:val="both"/>
        <w:rPr>
          <w:rFonts w:ascii="Verdana" w:eastAsia="Times New Roman" w:hAnsi="Verdana"/>
          <w:bCs/>
          <w:color w:val="000000"/>
          <w:sz w:val="20"/>
          <w:szCs w:val="20"/>
          <w:lang w:val="bg-BG" w:eastAsia="bg-BG"/>
        </w:rPr>
      </w:pPr>
      <w:r w:rsidRPr="00B13EA1">
        <w:rPr>
          <w:rFonts w:ascii="Verdana" w:eastAsia="Times New Roman" w:hAnsi="Verdana"/>
          <w:bCs/>
          <w:color w:val="000000"/>
          <w:sz w:val="20"/>
          <w:szCs w:val="20"/>
          <w:lang w:val="bg-BG" w:eastAsia="bg-BG"/>
        </w:rPr>
        <w:t>Според Общата Стратегическа Рамка на ЕС (член 96, т.2 (d)) финансовият план на всяка оперативна програма трябва да съдържа като минимум две таблици:</w:t>
      </w:r>
    </w:p>
    <w:p w:rsidR="00AD796B" w:rsidRPr="00F80312" w:rsidRDefault="00AD796B" w:rsidP="00AD796B">
      <w:pPr>
        <w:widowControl w:val="0"/>
        <w:tabs>
          <w:tab w:val="left" w:pos="0"/>
          <w:tab w:val="right" w:pos="9214"/>
        </w:tabs>
        <w:spacing w:before="120" w:after="120"/>
        <w:jc w:val="both"/>
        <w:rPr>
          <w:rFonts w:ascii="Verdana" w:eastAsia="Times New Roman" w:hAnsi="Verdana"/>
          <w:bCs/>
          <w:color w:val="000000"/>
          <w:sz w:val="20"/>
          <w:szCs w:val="20"/>
          <w:lang w:val="bg-BG" w:eastAsia="bg-BG"/>
        </w:rPr>
      </w:pPr>
      <w:r w:rsidRPr="001D5F1A">
        <w:rPr>
          <w:rFonts w:ascii="Verdana" w:eastAsia="Times New Roman" w:hAnsi="Verdana"/>
          <w:bCs/>
          <w:color w:val="548DD4" w:themeColor="text2" w:themeTint="99"/>
          <w:sz w:val="20"/>
          <w:szCs w:val="20"/>
          <w:lang w:val="bg-BG" w:eastAsia="bg-BG"/>
        </w:rPr>
        <w:t xml:space="preserve">1. Таблица на финансовите ангажименти по години  </w:t>
      </w:r>
      <w:r w:rsidRPr="00B13EA1">
        <w:rPr>
          <w:rFonts w:ascii="Verdana" w:eastAsia="Times New Roman" w:hAnsi="Verdana"/>
          <w:bCs/>
          <w:color w:val="000000"/>
          <w:sz w:val="20"/>
          <w:szCs w:val="20"/>
          <w:lang w:val="bg-BG" w:eastAsia="bg-BG"/>
        </w:rPr>
        <w:t xml:space="preserve">по всеки един от фондовете, по които е финансирана оперативната програма, в съответствие с чл. 60, 120 и 121 от Общия Регламент за </w:t>
      </w:r>
      <w:r>
        <w:rPr>
          <w:rFonts w:ascii="Verdana" w:eastAsia="Times New Roman" w:hAnsi="Verdana"/>
          <w:bCs/>
          <w:color w:val="000000"/>
          <w:sz w:val="20"/>
          <w:szCs w:val="20"/>
          <w:lang w:val="bg-BG" w:eastAsia="bg-BG"/>
        </w:rPr>
        <w:t>ЕСИФ</w:t>
      </w:r>
      <w:r w:rsidRPr="00B13EA1">
        <w:rPr>
          <w:rFonts w:ascii="Verdana" w:eastAsia="Times New Roman" w:hAnsi="Verdana"/>
          <w:bCs/>
          <w:color w:val="000000"/>
          <w:sz w:val="20"/>
          <w:szCs w:val="20"/>
          <w:lang w:val="bg-BG" w:eastAsia="bg-BG"/>
        </w:rPr>
        <w:t xml:space="preserve">, като се отчете и размера на резерва за изпълнение. Според регламента, размерът на съфинансирането по съответните приоритетни оси на оперативните програми ще бъде </w:t>
      </w:r>
      <w:r>
        <w:rPr>
          <w:rFonts w:ascii="Verdana" w:eastAsia="Times New Roman" w:hAnsi="Verdana"/>
          <w:bCs/>
          <w:color w:val="000000"/>
          <w:sz w:val="20"/>
          <w:szCs w:val="20"/>
          <w:lang w:val="bg-BG" w:eastAsia="bg-BG"/>
        </w:rPr>
        <w:t>определен от ЕК. В случая на ОПНОИР</w:t>
      </w:r>
      <w:r w:rsidRPr="00B13EA1">
        <w:rPr>
          <w:rFonts w:ascii="Verdana" w:eastAsia="Times New Roman" w:hAnsi="Verdana"/>
          <w:bCs/>
          <w:color w:val="000000"/>
          <w:sz w:val="20"/>
          <w:szCs w:val="20"/>
          <w:lang w:val="bg-BG" w:eastAsia="bg-BG"/>
        </w:rPr>
        <w:t xml:space="preserve"> не може да надвишава 85% (за по-слабо развитите региони на държавите-членки, чийто среден БВП на глава от населението за периода 2007 до 2009 г. е бил под 85% от средния за ЕС-27 през същия период, както и за най-отдалечените региони</w:t>
      </w:r>
      <w:r w:rsidRPr="00F80312">
        <w:rPr>
          <w:rFonts w:ascii="Verdana" w:eastAsia="Times New Roman" w:hAnsi="Verdana"/>
          <w:bCs/>
          <w:color w:val="000000"/>
          <w:sz w:val="20"/>
          <w:szCs w:val="20"/>
          <w:lang w:val="bg-BG" w:eastAsia="bg-BG"/>
        </w:rPr>
        <w:t>). От това общо правило</w:t>
      </w:r>
      <w:r>
        <w:rPr>
          <w:rFonts w:ascii="Verdana" w:eastAsia="Times New Roman" w:hAnsi="Verdana"/>
          <w:bCs/>
          <w:color w:val="000000"/>
          <w:sz w:val="20"/>
          <w:szCs w:val="20"/>
          <w:lang w:val="bg-BG" w:eastAsia="bg-BG"/>
        </w:rPr>
        <w:t>,</w:t>
      </w:r>
      <w:r w:rsidRPr="00F80312">
        <w:rPr>
          <w:rFonts w:ascii="Verdana" w:eastAsia="Times New Roman" w:hAnsi="Verdana"/>
          <w:bCs/>
          <w:color w:val="000000"/>
          <w:sz w:val="20"/>
          <w:szCs w:val="20"/>
          <w:lang w:val="bg-BG" w:eastAsia="bg-BG"/>
        </w:rPr>
        <w:t xml:space="preserve"> обаче</w:t>
      </w:r>
      <w:r>
        <w:rPr>
          <w:rFonts w:ascii="Verdana" w:eastAsia="Times New Roman" w:hAnsi="Verdana"/>
          <w:bCs/>
          <w:color w:val="000000"/>
          <w:sz w:val="20"/>
          <w:szCs w:val="20"/>
          <w:lang w:val="bg-BG" w:eastAsia="bg-BG"/>
        </w:rPr>
        <w:t>,</w:t>
      </w:r>
      <w:r w:rsidRPr="00F80312">
        <w:rPr>
          <w:rFonts w:ascii="Verdana" w:eastAsia="Times New Roman" w:hAnsi="Verdana"/>
          <w:bCs/>
          <w:color w:val="000000"/>
          <w:sz w:val="20"/>
          <w:szCs w:val="20"/>
          <w:lang w:val="bg-BG" w:eastAsia="bg-BG"/>
        </w:rPr>
        <w:t xml:space="preserve"> в случая на ОПНОИР 2014-2020 г., при условие, че се вземе решение програмата да се възползва от предоставената възможност, е приложимо и следното изключение:</w:t>
      </w:r>
    </w:p>
    <w:p w:rsidR="00AD796B" w:rsidRPr="00F80312" w:rsidRDefault="00AD796B" w:rsidP="00AD796B">
      <w:pPr>
        <w:pStyle w:val="ListParagraph1"/>
        <w:widowControl w:val="0"/>
        <w:numPr>
          <w:ilvl w:val="0"/>
          <w:numId w:val="60"/>
        </w:numPr>
        <w:tabs>
          <w:tab w:val="left" w:pos="0"/>
          <w:tab w:val="right" w:pos="9214"/>
        </w:tabs>
        <w:spacing w:before="120" w:after="120" w:line="276" w:lineRule="auto"/>
        <w:rPr>
          <w:rFonts w:ascii="Verdana" w:hAnsi="Verdana"/>
          <w:bCs/>
          <w:color w:val="000000"/>
          <w:sz w:val="20"/>
          <w:lang w:val="bg-BG" w:eastAsia="bg-BG"/>
        </w:rPr>
      </w:pPr>
      <w:r w:rsidRPr="00F80312">
        <w:rPr>
          <w:rFonts w:ascii="Verdana" w:hAnsi="Verdana"/>
          <w:bCs/>
          <w:color w:val="000000"/>
          <w:sz w:val="20"/>
          <w:lang w:val="bg-BG" w:eastAsia="bg-BG"/>
        </w:rPr>
        <w:t>Според чл. 11 (2) за регламента за ЕСФ, делът на финансирането със средства от ЕС може да бъде увеличен с 10 процентни пункта (стига да не надвишава 100%), ако една цяла приоритетна ос бъде определена за транснационално сътрудничество или за социални иновации или за комбинация от двете.</w:t>
      </w:r>
    </w:p>
    <w:p w:rsidR="00AD796B" w:rsidRPr="00246246" w:rsidRDefault="00AD796B" w:rsidP="00AD796B">
      <w:pPr>
        <w:widowControl w:val="0"/>
        <w:tabs>
          <w:tab w:val="left" w:pos="0"/>
          <w:tab w:val="right" w:pos="9214"/>
        </w:tabs>
        <w:spacing w:before="120" w:after="120"/>
        <w:jc w:val="both"/>
        <w:rPr>
          <w:rFonts w:ascii="Verdana" w:eastAsia="Times New Roman" w:hAnsi="Verdana"/>
          <w:bCs/>
          <w:color w:val="000000"/>
          <w:sz w:val="20"/>
          <w:szCs w:val="20"/>
          <w:lang w:val="bg-BG" w:eastAsia="bg-BG"/>
        </w:rPr>
      </w:pPr>
      <w:r w:rsidRPr="00246246">
        <w:rPr>
          <w:rFonts w:ascii="Verdana" w:eastAsia="Times New Roman" w:hAnsi="Verdana"/>
          <w:bCs/>
          <w:color w:val="000000"/>
          <w:sz w:val="20"/>
          <w:szCs w:val="20"/>
          <w:lang w:val="bg-BG" w:eastAsia="bg-BG"/>
        </w:rPr>
        <w:t xml:space="preserve">Такава таблица вече е заложена в ОП НОИР 2014-2020. </w:t>
      </w:r>
      <w:r>
        <w:rPr>
          <w:rFonts w:ascii="Verdana" w:eastAsia="Times New Roman" w:hAnsi="Verdana"/>
          <w:bCs/>
          <w:color w:val="000000"/>
          <w:sz w:val="20"/>
          <w:szCs w:val="20"/>
          <w:lang w:val="bg-BG" w:eastAsia="bg-BG"/>
        </w:rPr>
        <w:t>Заложеното разпределение на бюджетните ангажименти по години е направено по начин, така че рискът от автоматична загуба на средства да бъде максимално ограничен.</w:t>
      </w:r>
    </w:p>
    <w:p w:rsidR="00AD796B" w:rsidRPr="00B13EA1" w:rsidRDefault="00AD796B" w:rsidP="00AD796B">
      <w:pPr>
        <w:widowControl w:val="0"/>
        <w:tabs>
          <w:tab w:val="left" w:pos="0"/>
          <w:tab w:val="right" w:pos="9214"/>
        </w:tabs>
        <w:spacing w:before="120" w:after="120"/>
        <w:jc w:val="both"/>
        <w:rPr>
          <w:rFonts w:ascii="Verdana" w:eastAsia="Times New Roman" w:hAnsi="Verdana"/>
          <w:bCs/>
          <w:color w:val="000000"/>
          <w:sz w:val="20"/>
          <w:szCs w:val="20"/>
          <w:lang w:val="bg-BG" w:eastAsia="bg-BG"/>
        </w:rPr>
      </w:pPr>
      <w:r w:rsidRPr="001D5F1A">
        <w:rPr>
          <w:rFonts w:ascii="Verdana" w:eastAsia="Times New Roman" w:hAnsi="Verdana"/>
          <w:bCs/>
          <w:color w:val="548DD4" w:themeColor="text2" w:themeTint="99"/>
          <w:sz w:val="20"/>
          <w:szCs w:val="20"/>
          <w:lang w:val="bg-BG" w:eastAsia="bg-BG"/>
        </w:rPr>
        <w:t>2. Таблица, която конкретизира за целия период на програмиране за оперативната програма и за всяка приоритетна ос</w:t>
      </w:r>
      <w:r w:rsidRPr="00B13EA1">
        <w:rPr>
          <w:rFonts w:ascii="Verdana" w:eastAsia="Times New Roman" w:hAnsi="Verdana"/>
          <w:bCs/>
          <w:color w:val="000000"/>
          <w:sz w:val="20"/>
          <w:szCs w:val="20"/>
          <w:lang w:val="bg-BG" w:eastAsia="bg-BG"/>
        </w:rPr>
        <w:t>, размера на общите финансови бюджетни ангажименти за всеки един от фондовете, осигуряващи ресурс на програмата, както и размера на националното съфинансиране. За приоритетните оси, които засягат няколко категории региони, в таблицата е необходимо да се посочи и размерът на общите финансови бюджетни ангажименти по фондове и размерът на националното съфинансиране за всяка категория региони. За приоритетните оси, които съчетават инвестиционни приоритети от различните тематични цели, в таблицата се посочва размерът на общите финансов ангажименти на всеки от фондове и националното съфинансиране за всяка от съответните тематични цели. Когато националното съфинансиране е съставено от публично и частно съфинансиране, в таблицата се предоставя индикативна разбивка между публичния и частния сектор. В нея се посочва за информация предвижданото участие от ЕИБ.</w:t>
      </w:r>
    </w:p>
    <w:p w:rsidR="00AD796B" w:rsidRDefault="00AD796B" w:rsidP="00AD796B">
      <w:pPr>
        <w:widowControl w:val="0"/>
        <w:tabs>
          <w:tab w:val="left" w:pos="0"/>
          <w:tab w:val="right" w:pos="9214"/>
        </w:tabs>
        <w:spacing w:before="120" w:after="120"/>
        <w:jc w:val="both"/>
        <w:rPr>
          <w:rFonts w:ascii="Verdana" w:eastAsia="Times New Roman" w:hAnsi="Verdana"/>
          <w:bCs/>
          <w:color w:val="000000"/>
          <w:sz w:val="20"/>
          <w:szCs w:val="20"/>
          <w:lang w:val="bg-BG" w:eastAsia="bg-BG"/>
        </w:rPr>
      </w:pPr>
      <w:r w:rsidRPr="00B13EA1">
        <w:rPr>
          <w:rFonts w:ascii="Verdana" w:eastAsia="Times New Roman" w:hAnsi="Verdana"/>
          <w:bCs/>
          <w:color w:val="000000"/>
          <w:sz w:val="20"/>
          <w:szCs w:val="20"/>
          <w:lang w:val="bg-BG" w:eastAsia="bg-BG"/>
        </w:rPr>
        <w:t>Тези таблици присъства</w:t>
      </w:r>
      <w:r>
        <w:rPr>
          <w:rFonts w:ascii="Verdana" w:eastAsia="Times New Roman" w:hAnsi="Verdana"/>
          <w:bCs/>
          <w:color w:val="000000"/>
          <w:sz w:val="20"/>
          <w:szCs w:val="20"/>
          <w:lang w:val="bg-BG" w:eastAsia="bg-BG"/>
        </w:rPr>
        <w:t>т</w:t>
      </w:r>
      <w:r w:rsidRPr="00B13EA1">
        <w:rPr>
          <w:rFonts w:ascii="Verdana" w:eastAsia="Times New Roman" w:hAnsi="Verdana"/>
          <w:bCs/>
          <w:color w:val="000000"/>
          <w:sz w:val="20"/>
          <w:szCs w:val="20"/>
          <w:lang w:val="bg-BG" w:eastAsia="bg-BG"/>
        </w:rPr>
        <w:t xml:space="preserve"> в </w:t>
      </w:r>
      <w:r>
        <w:rPr>
          <w:rFonts w:ascii="Verdana" w:eastAsia="Times New Roman" w:hAnsi="Verdana"/>
          <w:bCs/>
          <w:color w:val="000000"/>
          <w:sz w:val="20"/>
          <w:szCs w:val="20"/>
          <w:lang w:val="bg-BG" w:eastAsia="bg-BG"/>
        </w:rPr>
        <w:t>текущия вариант на програма</w:t>
      </w:r>
      <w:r w:rsidRPr="00B13EA1">
        <w:rPr>
          <w:rFonts w:ascii="Verdana" w:eastAsia="Times New Roman" w:hAnsi="Verdana"/>
          <w:bCs/>
          <w:color w:val="000000"/>
          <w:sz w:val="20"/>
          <w:szCs w:val="20"/>
          <w:lang w:val="bg-BG" w:eastAsia="bg-BG"/>
        </w:rPr>
        <w:t>.</w:t>
      </w:r>
    </w:p>
    <w:p w:rsidR="00AD796B" w:rsidRPr="00A65DB8" w:rsidRDefault="00AD796B" w:rsidP="00AD796B">
      <w:pPr>
        <w:keepNext/>
        <w:widowControl w:val="0"/>
        <w:tabs>
          <w:tab w:val="left" w:pos="0"/>
          <w:tab w:val="right" w:pos="9214"/>
        </w:tabs>
        <w:spacing w:before="240" w:after="120"/>
        <w:jc w:val="both"/>
        <w:rPr>
          <w:rFonts w:ascii="Verdana" w:eastAsia="Times New Roman" w:hAnsi="Verdana"/>
          <w:bCs/>
          <w:color w:val="0070C0"/>
          <w:sz w:val="20"/>
          <w:szCs w:val="20"/>
          <w:lang w:val="bg-BG" w:eastAsia="bg-BG"/>
        </w:rPr>
      </w:pPr>
      <w:r w:rsidRPr="00A65DB8">
        <w:rPr>
          <w:rFonts w:ascii="Verdana" w:eastAsia="Times New Roman" w:hAnsi="Verdana"/>
          <w:bCs/>
          <w:color w:val="0070C0"/>
          <w:sz w:val="20"/>
          <w:szCs w:val="20"/>
          <w:lang w:val="bg-BG" w:eastAsia="bg-BG"/>
        </w:rPr>
        <w:lastRenderedPageBreak/>
        <w:t>Оценка</w:t>
      </w:r>
      <w:r>
        <w:rPr>
          <w:rFonts w:ascii="Verdana" w:eastAsia="Times New Roman" w:hAnsi="Verdana"/>
          <w:bCs/>
          <w:color w:val="0070C0"/>
          <w:sz w:val="20"/>
          <w:szCs w:val="20"/>
          <w:lang w:val="bg-BG" w:eastAsia="bg-BG"/>
        </w:rPr>
        <w:t xml:space="preserve"> на финансовата обосновка на ОП</w:t>
      </w:r>
      <w:r w:rsidRPr="00A65DB8">
        <w:rPr>
          <w:rFonts w:ascii="Verdana" w:eastAsia="Times New Roman" w:hAnsi="Verdana"/>
          <w:bCs/>
          <w:color w:val="0070C0"/>
          <w:sz w:val="20"/>
          <w:szCs w:val="20"/>
          <w:lang w:val="bg-BG" w:eastAsia="bg-BG"/>
        </w:rPr>
        <w:t>НОИР</w:t>
      </w:r>
    </w:p>
    <w:p w:rsidR="00AD796B" w:rsidRPr="00A65DB8" w:rsidRDefault="00AD796B" w:rsidP="00AD796B">
      <w:pPr>
        <w:tabs>
          <w:tab w:val="left" w:pos="0"/>
          <w:tab w:val="right" w:pos="9214"/>
        </w:tabs>
        <w:spacing w:after="120"/>
        <w:jc w:val="both"/>
        <w:rPr>
          <w:rFonts w:ascii="Verdana" w:eastAsia="Calibri" w:hAnsi="Verdana"/>
          <w:sz w:val="20"/>
          <w:szCs w:val="20"/>
          <w:lang w:val="bg-BG"/>
        </w:rPr>
      </w:pPr>
      <w:r>
        <w:rPr>
          <w:rFonts w:ascii="Verdana" w:eastAsia="Calibri" w:hAnsi="Verdana"/>
          <w:sz w:val="20"/>
          <w:szCs w:val="20"/>
          <w:lang w:val="bg-BG"/>
        </w:rPr>
        <w:t>В програмния документ на ОПНОИР 2014-2020 към август 2014 г. няма изложена финансова обосновка.</w:t>
      </w:r>
    </w:p>
    <w:p w:rsidR="00AD796B" w:rsidRPr="00A65DB8" w:rsidRDefault="00AD796B" w:rsidP="00AD796B">
      <w:pPr>
        <w:keepNext/>
        <w:widowControl w:val="0"/>
        <w:tabs>
          <w:tab w:val="left" w:pos="0"/>
          <w:tab w:val="right" w:pos="9214"/>
        </w:tabs>
        <w:spacing w:before="240" w:after="120"/>
        <w:jc w:val="both"/>
        <w:rPr>
          <w:rFonts w:ascii="Verdana" w:eastAsia="Times New Roman" w:hAnsi="Verdana"/>
          <w:bCs/>
          <w:color w:val="0070C0"/>
          <w:sz w:val="20"/>
          <w:szCs w:val="20"/>
          <w:lang w:val="bg-BG" w:eastAsia="bg-BG"/>
        </w:rPr>
      </w:pPr>
      <w:r w:rsidRPr="00A65DB8">
        <w:rPr>
          <w:rFonts w:ascii="Verdana" w:eastAsia="Times New Roman" w:hAnsi="Verdana"/>
          <w:bCs/>
          <w:color w:val="0070C0"/>
          <w:sz w:val="20"/>
          <w:szCs w:val="20"/>
          <w:lang w:val="bg-BG" w:eastAsia="bg-BG"/>
        </w:rPr>
        <w:t>Анализ на дела на финансовия ресурс по отношение на предложената тематична концентрация</w:t>
      </w:r>
    </w:p>
    <w:p w:rsidR="00AD796B" w:rsidRPr="00191A87" w:rsidRDefault="00AD796B" w:rsidP="00AD796B">
      <w:pPr>
        <w:widowControl w:val="0"/>
        <w:tabs>
          <w:tab w:val="left" w:pos="0"/>
          <w:tab w:val="right" w:pos="9214"/>
        </w:tabs>
        <w:spacing w:before="120" w:after="120"/>
        <w:jc w:val="both"/>
        <w:rPr>
          <w:rFonts w:ascii="Verdana" w:eastAsia="Times New Roman" w:hAnsi="Verdana"/>
          <w:bCs/>
          <w:color w:val="000000"/>
          <w:sz w:val="20"/>
          <w:szCs w:val="20"/>
          <w:lang w:val="bg-BG" w:eastAsia="bg-BG"/>
        </w:rPr>
      </w:pPr>
      <w:r w:rsidRPr="00191A87">
        <w:rPr>
          <w:rFonts w:ascii="Verdana" w:eastAsia="Times New Roman" w:hAnsi="Verdana"/>
          <w:bCs/>
          <w:color w:val="000000"/>
          <w:sz w:val="20"/>
          <w:szCs w:val="20"/>
          <w:lang w:val="bg-BG" w:eastAsia="bg-BG"/>
        </w:rPr>
        <w:t>С промените във финансовата рамка за следващия програмен период на общоевропейско равнище се отдава по-голямо значение на редица тематични области на интервенция, присъщи на интервенциите, финансирани по ОПНОИР, които основно са свързани с целта за постигане на интелигентен и приобщаващ растеж.</w:t>
      </w:r>
    </w:p>
    <w:p w:rsidR="00AD796B" w:rsidRPr="00191A87" w:rsidRDefault="00AD796B" w:rsidP="00AD796B">
      <w:pPr>
        <w:widowControl w:val="0"/>
        <w:tabs>
          <w:tab w:val="left" w:pos="0"/>
          <w:tab w:val="right" w:pos="9214"/>
        </w:tabs>
        <w:spacing w:before="120" w:after="120"/>
        <w:jc w:val="both"/>
        <w:rPr>
          <w:rFonts w:ascii="Verdana" w:eastAsia="Times New Roman" w:hAnsi="Verdana"/>
          <w:bCs/>
          <w:color w:val="000000"/>
          <w:sz w:val="20"/>
          <w:szCs w:val="20"/>
          <w:lang w:val="bg-BG" w:eastAsia="bg-BG"/>
        </w:rPr>
      </w:pPr>
      <w:r w:rsidRPr="00191A87">
        <w:rPr>
          <w:rFonts w:ascii="Verdana" w:eastAsia="Times New Roman" w:hAnsi="Verdana"/>
          <w:bCs/>
          <w:color w:val="000000"/>
          <w:sz w:val="20"/>
          <w:szCs w:val="20"/>
          <w:lang w:val="bg-BG" w:eastAsia="bg-BG"/>
        </w:rPr>
        <w:t>По-долу е представено и резюме на основните текстове от европейските регламенти (Общият регламент за ЕСИФ и регламента за ЕСФ), които, по мнение на оценителя, имат отношение към оценката на бюджета на ОП</w:t>
      </w:r>
      <w:r>
        <w:rPr>
          <w:rFonts w:ascii="Verdana" w:eastAsia="Times New Roman" w:hAnsi="Verdana"/>
          <w:bCs/>
          <w:color w:val="000000"/>
          <w:sz w:val="20"/>
          <w:szCs w:val="20"/>
          <w:lang w:val="bg-BG" w:eastAsia="bg-BG"/>
        </w:rPr>
        <w:t>НОИР</w:t>
      </w:r>
      <w:r w:rsidRPr="00191A87">
        <w:rPr>
          <w:rFonts w:ascii="Verdana" w:eastAsia="Times New Roman" w:hAnsi="Verdana"/>
          <w:bCs/>
          <w:color w:val="000000"/>
          <w:sz w:val="20"/>
          <w:szCs w:val="20"/>
          <w:lang w:val="bg-BG" w:eastAsia="bg-BG"/>
        </w:rPr>
        <w:t xml:space="preserve"> 2014-2020 г.</w:t>
      </w:r>
    </w:p>
    <w:tbl>
      <w:tblPr>
        <w:tblStyle w:val="IkaTable"/>
        <w:tblW w:w="0" w:type="auto"/>
        <w:tblInd w:w="0" w:type="dxa"/>
        <w:shd w:val="clear" w:color="auto" w:fill="EBEBEB"/>
        <w:tblLook w:val="04A0" w:firstRow="1" w:lastRow="0" w:firstColumn="1" w:lastColumn="0" w:noHBand="0" w:noVBand="1"/>
      </w:tblPr>
      <w:tblGrid>
        <w:gridCol w:w="9090"/>
      </w:tblGrid>
      <w:tr w:rsidR="00AD796B" w:rsidRPr="00191A87" w:rsidTr="004020E1">
        <w:trPr>
          <w:cnfStyle w:val="100000000000" w:firstRow="1" w:lastRow="0" w:firstColumn="0" w:lastColumn="0" w:oddVBand="0" w:evenVBand="0" w:oddHBand="0" w:evenHBand="0" w:firstRowFirstColumn="0" w:firstRowLastColumn="0" w:lastRowFirstColumn="0" w:lastRowLastColumn="0"/>
        </w:trPr>
        <w:tc>
          <w:tcPr>
            <w:tcW w:w="9180" w:type="dxa"/>
            <w:shd w:val="clear" w:color="auto" w:fill="EBEBEB"/>
          </w:tcPr>
          <w:p w:rsidR="00AD796B" w:rsidRPr="00191A87" w:rsidRDefault="00AD796B" w:rsidP="004020E1">
            <w:pPr>
              <w:widowControl w:val="0"/>
              <w:tabs>
                <w:tab w:val="left" w:pos="0"/>
                <w:tab w:val="right" w:pos="9214"/>
              </w:tabs>
              <w:spacing w:before="120" w:after="120"/>
              <w:jc w:val="center"/>
              <w:rPr>
                <w:rFonts w:ascii="Verdana" w:eastAsia="Times New Roman" w:hAnsi="Verdana"/>
                <w:bCs/>
                <w:i/>
                <w:color w:val="000000"/>
                <w:sz w:val="18"/>
                <w:szCs w:val="18"/>
                <w:lang w:val="bg-BG"/>
              </w:rPr>
            </w:pPr>
            <w:r w:rsidRPr="00191A87">
              <w:rPr>
                <w:rFonts w:ascii="Verdana" w:eastAsia="Times New Roman" w:hAnsi="Verdana"/>
                <w:bCs/>
                <w:i/>
                <w:color w:val="000000"/>
                <w:sz w:val="18"/>
                <w:szCs w:val="18"/>
                <w:lang w:val="bg-BG"/>
              </w:rPr>
              <w:t>Кратко описание на най-важните релевантни към ОПРЧР 2014-2020 г. европейски приоритети и изисквания</w:t>
            </w:r>
          </w:p>
          <w:p w:rsidR="00AD796B" w:rsidRPr="00191A87" w:rsidRDefault="00AD796B" w:rsidP="004020E1">
            <w:pPr>
              <w:widowControl w:val="0"/>
              <w:tabs>
                <w:tab w:val="left" w:pos="0"/>
                <w:tab w:val="right" w:pos="9214"/>
              </w:tabs>
              <w:spacing w:before="120" w:after="120"/>
              <w:jc w:val="both"/>
              <w:rPr>
                <w:rFonts w:ascii="Verdana" w:eastAsia="Times New Roman" w:hAnsi="Verdana"/>
                <w:b w:val="0"/>
                <w:bCs/>
                <w:i/>
                <w:color w:val="000000"/>
                <w:sz w:val="18"/>
                <w:szCs w:val="18"/>
                <w:lang w:val="bg-BG"/>
              </w:rPr>
            </w:pPr>
            <w:r w:rsidRPr="00191A87">
              <w:rPr>
                <w:rFonts w:ascii="Verdana" w:eastAsia="Times New Roman" w:hAnsi="Verdana"/>
                <w:b w:val="0"/>
                <w:bCs/>
                <w:i/>
                <w:color w:val="000000"/>
                <w:sz w:val="18"/>
                <w:szCs w:val="18"/>
                <w:lang w:val="bg-BG"/>
              </w:rPr>
              <w:t>С цел постигане на основната цел на ЕС за растеж и заетост, Общият Регламент за ЕСИФ въвежда изисквания за тематична концентрация с цел осигуряване на ефективност на направените с европейски средства инвестиции. Чл. 18 на Общия Регламент за ЕСИФ постулира концентриране на подкрепата, финансирана с европейски средства върху интервенции, които биха имали най-голяма добавена стойност за реализиране на целите на Стратегията Европа 2020 за интелигентен, устойчив и приобщаващ растеж, като се използва ефективно потенциалът на конкретните региони и като се взимат предвид националните и регионални нужди.</w:t>
            </w:r>
          </w:p>
          <w:p w:rsidR="00AD796B" w:rsidRPr="00191A87" w:rsidRDefault="00AD796B" w:rsidP="004020E1">
            <w:pPr>
              <w:widowControl w:val="0"/>
              <w:tabs>
                <w:tab w:val="left" w:pos="0"/>
                <w:tab w:val="right" w:pos="9214"/>
              </w:tabs>
              <w:spacing w:before="120" w:after="120"/>
              <w:jc w:val="both"/>
              <w:rPr>
                <w:rFonts w:ascii="Verdana" w:eastAsia="Times New Roman" w:hAnsi="Verdana"/>
                <w:b w:val="0"/>
                <w:bCs/>
                <w:i/>
                <w:color w:val="000000"/>
                <w:sz w:val="18"/>
                <w:szCs w:val="18"/>
                <w:lang w:val="bg-BG"/>
              </w:rPr>
            </w:pPr>
            <w:r w:rsidRPr="00191A87">
              <w:rPr>
                <w:rFonts w:ascii="Verdana" w:eastAsia="Times New Roman" w:hAnsi="Verdana"/>
                <w:b w:val="0"/>
                <w:bCs/>
                <w:i/>
                <w:color w:val="000000"/>
                <w:sz w:val="18"/>
                <w:szCs w:val="18"/>
                <w:lang w:val="bg-BG"/>
              </w:rPr>
              <w:t>В член 96, т.2 (</w:t>
            </w:r>
            <w:r w:rsidRPr="00191A87">
              <w:rPr>
                <w:rFonts w:ascii="Verdana" w:eastAsia="Times New Roman" w:hAnsi="Verdana"/>
                <w:b w:val="0"/>
                <w:bCs/>
                <w:i/>
                <w:color w:val="000000"/>
                <w:sz w:val="18"/>
                <w:szCs w:val="18"/>
              </w:rPr>
              <w:t>d</w:t>
            </w:r>
            <w:r w:rsidRPr="00191A87">
              <w:rPr>
                <w:rFonts w:ascii="Verdana" w:eastAsia="Times New Roman" w:hAnsi="Verdana"/>
                <w:b w:val="0"/>
                <w:bCs/>
                <w:i/>
                <w:color w:val="000000"/>
                <w:sz w:val="18"/>
                <w:szCs w:val="18"/>
                <w:lang w:val="bg-BG"/>
              </w:rPr>
              <w:t xml:space="preserve">) на Общия регламент също е определено </w:t>
            </w:r>
            <w:r w:rsidRPr="00191A87">
              <w:rPr>
                <w:rFonts w:ascii="Verdana" w:eastAsia="Times New Roman" w:hAnsi="Verdana"/>
                <w:bCs/>
                <w:i/>
                <w:color w:val="000000"/>
                <w:sz w:val="18"/>
                <w:szCs w:val="18"/>
                <w:lang w:val="bg-BG"/>
              </w:rPr>
              <w:t>минималното съдържание на плановете за финансиране на оперативните програми</w:t>
            </w:r>
            <w:r w:rsidRPr="00191A87">
              <w:rPr>
                <w:rFonts w:ascii="Verdana" w:eastAsia="Times New Roman" w:hAnsi="Verdana"/>
                <w:b w:val="0"/>
                <w:bCs/>
                <w:i/>
                <w:color w:val="000000"/>
                <w:sz w:val="18"/>
                <w:szCs w:val="18"/>
                <w:lang w:val="bg-BG"/>
              </w:rPr>
              <w:t>. Тези ограничения са представени накратко по-горе в частта за формалните изисквания към съдържанието на таблиците за финансовото разпределение на средствата по ОП</w:t>
            </w:r>
            <w:r>
              <w:rPr>
                <w:rFonts w:ascii="Verdana" w:eastAsia="Times New Roman" w:hAnsi="Verdana"/>
                <w:b w:val="0"/>
                <w:bCs/>
                <w:i/>
                <w:color w:val="000000"/>
                <w:sz w:val="18"/>
                <w:szCs w:val="18"/>
                <w:lang w:val="bg-BG"/>
              </w:rPr>
              <w:t>НОИР</w:t>
            </w:r>
            <w:r w:rsidRPr="00191A87">
              <w:rPr>
                <w:rFonts w:ascii="Verdana" w:eastAsia="Times New Roman" w:hAnsi="Verdana"/>
                <w:b w:val="0"/>
                <w:bCs/>
                <w:i/>
                <w:color w:val="000000"/>
                <w:sz w:val="18"/>
                <w:szCs w:val="18"/>
                <w:lang w:val="bg-BG"/>
              </w:rPr>
              <w:t xml:space="preserve"> 2014-2020 г.</w:t>
            </w:r>
          </w:p>
          <w:p w:rsidR="00AD796B" w:rsidRDefault="00AD796B" w:rsidP="004020E1">
            <w:pPr>
              <w:widowControl w:val="0"/>
              <w:tabs>
                <w:tab w:val="left" w:pos="0"/>
                <w:tab w:val="right" w:pos="9214"/>
              </w:tabs>
              <w:spacing w:before="120" w:after="120"/>
              <w:jc w:val="both"/>
              <w:rPr>
                <w:rFonts w:ascii="Verdana" w:eastAsia="Times New Roman" w:hAnsi="Verdana"/>
                <w:b w:val="0"/>
                <w:bCs/>
                <w:i/>
                <w:color w:val="000000"/>
                <w:sz w:val="18"/>
                <w:szCs w:val="18"/>
                <w:lang w:val="bg-BG"/>
              </w:rPr>
            </w:pPr>
            <w:r w:rsidRPr="00191A87">
              <w:rPr>
                <w:rFonts w:ascii="Verdana" w:eastAsia="Times New Roman" w:hAnsi="Verdana"/>
                <w:b w:val="0"/>
                <w:bCs/>
                <w:i/>
                <w:color w:val="000000"/>
                <w:sz w:val="18"/>
                <w:szCs w:val="18"/>
                <w:lang w:val="bg-BG"/>
              </w:rPr>
              <w:t xml:space="preserve">Общият регламент въвежда и ограничение за максималния размер на средствата за </w:t>
            </w:r>
            <w:r w:rsidRPr="00191A87">
              <w:rPr>
                <w:rFonts w:ascii="Verdana" w:eastAsia="Times New Roman" w:hAnsi="Verdana"/>
                <w:bCs/>
                <w:i/>
                <w:color w:val="000000"/>
                <w:sz w:val="18"/>
                <w:szCs w:val="18"/>
                <w:lang w:val="bg-BG"/>
              </w:rPr>
              <w:t>техническа помощ, които, според чл. 119 на регламента, не бива да надвишава 4% от общите средства,</w:t>
            </w:r>
            <w:r w:rsidRPr="00191A87">
              <w:rPr>
                <w:rFonts w:ascii="Verdana" w:eastAsia="Times New Roman" w:hAnsi="Verdana"/>
                <w:b w:val="0"/>
                <w:bCs/>
                <w:i/>
                <w:color w:val="000000"/>
                <w:sz w:val="18"/>
                <w:szCs w:val="18"/>
                <w:lang w:val="bg-BG"/>
              </w:rPr>
              <w:t xml:space="preserve"> разпределени за оперативните програми по всяка категория региони по целта за растеж и работни места.</w:t>
            </w:r>
          </w:p>
          <w:p w:rsidR="00AD796B" w:rsidRPr="00191A87" w:rsidRDefault="00AD796B" w:rsidP="004020E1">
            <w:pPr>
              <w:widowControl w:val="0"/>
              <w:tabs>
                <w:tab w:val="left" w:pos="0"/>
                <w:tab w:val="right" w:pos="9214"/>
              </w:tabs>
              <w:spacing w:before="120" w:after="120"/>
              <w:jc w:val="both"/>
              <w:rPr>
                <w:rFonts w:ascii="Verdana" w:eastAsia="Times New Roman" w:hAnsi="Verdana"/>
                <w:b w:val="0"/>
                <w:bCs/>
                <w:i/>
                <w:color w:val="000000"/>
                <w:sz w:val="18"/>
                <w:szCs w:val="18"/>
                <w:lang w:val="bg-BG"/>
              </w:rPr>
            </w:pPr>
            <w:r>
              <w:rPr>
                <w:rFonts w:ascii="Verdana" w:eastAsia="Times New Roman" w:hAnsi="Verdana"/>
                <w:b w:val="0"/>
                <w:bCs/>
                <w:i/>
                <w:color w:val="000000"/>
                <w:sz w:val="18"/>
                <w:szCs w:val="18"/>
                <w:lang w:val="bg-BG"/>
              </w:rPr>
              <w:t xml:space="preserve">Чл. 22(1) от Общия регламент регламентира заделянето на </w:t>
            </w:r>
            <w:r w:rsidRPr="00F61625">
              <w:rPr>
                <w:rFonts w:ascii="Verdana" w:eastAsia="Times New Roman" w:hAnsi="Verdana"/>
                <w:bCs/>
                <w:i/>
                <w:color w:val="000000"/>
                <w:sz w:val="18"/>
                <w:szCs w:val="18"/>
                <w:lang w:val="bg-BG"/>
              </w:rPr>
              <w:t>резерв за изпълнение</w:t>
            </w:r>
            <w:r>
              <w:rPr>
                <w:rFonts w:ascii="Verdana" w:eastAsia="Times New Roman" w:hAnsi="Verdana"/>
                <w:b w:val="0"/>
                <w:bCs/>
                <w:i/>
                <w:color w:val="000000"/>
                <w:sz w:val="18"/>
                <w:szCs w:val="18"/>
                <w:lang w:val="bg-BG"/>
              </w:rPr>
              <w:t xml:space="preserve"> в размер между 5 и 7%, за всяка приоритетна ос на оперативните програми с изключение на тези, които се отнасят за техническа помощ, както и с изключение на програмите за финансови инструменти по чл. 39. Общата сума на резервът за изпълнение трябва да възлиза на 6% за всеки фонд и категория региони в оперативната програма.</w:t>
            </w:r>
          </w:p>
          <w:p w:rsidR="00AD796B" w:rsidRPr="00191A87" w:rsidRDefault="00AD796B" w:rsidP="004020E1">
            <w:pPr>
              <w:widowControl w:val="0"/>
              <w:tabs>
                <w:tab w:val="left" w:pos="0"/>
                <w:tab w:val="right" w:pos="9214"/>
              </w:tabs>
              <w:spacing w:before="120" w:after="120"/>
              <w:jc w:val="both"/>
              <w:rPr>
                <w:rFonts w:ascii="Verdana" w:eastAsia="Times New Roman" w:hAnsi="Verdana"/>
                <w:b w:val="0"/>
                <w:bCs/>
                <w:i/>
                <w:color w:val="000000"/>
                <w:sz w:val="18"/>
                <w:szCs w:val="18"/>
                <w:lang w:val="bg-BG"/>
              </w:rPr>
            </w:pPr>
            <w:r w:rsidRPr="00191A87">
              <w:rPr>
                <w:rFonts w:ascii="Verdana" w:eastAsia="Times New Roman" w:hAnsi="Verdana"/>
                <w:bCs/>
                <w:i/>
                <w:color w:val="000000"/>
                <w:sz w:val="18"/>
                <w:szCs w:val="18"/>
                <w:lang w:val="bg-BG"/>
              </w:rPr>
              <w:t>1304/2013 Регламент за ЕСФ</w:t>
            </w:r>
            <w:r w:rsidRPr="00191A87">
              <w:rPr>
                <w:rFonts w:ascii="Verdana" w:eastAsia="Times New Roman" w:hAnsi="Verdana"/>
                <w:b w:val="0"/>
                <w:bCs/>
                <w:i/>
                <w:color w:val="000000"/>
                <w:sz w:val="18"/>
                <w:szCs w:val="18"/>
                <w:lang w:val="bg-BG"/>
              </w:rPr>
              <w:t xml:space="preserve"> задава допълнителни ограничения по отношение на тематичната концентрация на помощта, финансирана от фонда. Чл. 4 от Регламента задава минимални прагове на финансиране на някои тематични цели, както и ограничения по отношение на концентрацията на средства в малко на брой приоритети, дефинирани в чл. 3(1) на Регламента за ЕСФ. По-конкретно изискванията на Регламента са следните:</w:t>
            </w:r>
            <w:r w:rsidRPr="00191A87">
              <w:rPr>
                <w:rFonts w:ascii="Verdana" w:eastAsia="Times New Roman" w:hAnsi="Verdana"/>
                <w:bCs/>
                <w:i/>
                <w:color w:val="000000"/>
                <w:sz w:val="18"/>
                <w:szCs w:val="18"/>
                <w:lang w:val="bg-BG"/>
              </w:rPr>
              <w:tab/>
            </w:r>
          </w:p>
          <w:p w:rsidR="00AD796B" w:rsidRPr="00191A87" w:rsidRDefault="00AD796B" w:rsidP="004020E1">
            <w:pPr>
              <w:pStyle w:val="ListParagraph1"/>
              <w:widowControl w:val="0"/>
              <w:numPr>
                <w:ilvl w:val="0"/>
                <w:numId w:val="60"/>
              </w:numPr>
              <w:tabs>
                <w:tab w:val="left" w:pos="0"/>
                <w:tab w:val="right" w:pos="8931"/>
              </w:tabs>
              <w:spacing w:before="120" w:after="120"/>
              <w:ind w:left="714" w:right="249" w:hanging="357"/>
              <w:rPr>
                <w:rFonts w:ascii="Verdana" w:hAnsi="Verdana"/>
                <w:b w:val="0"/>
                <w:bCs/>
                <w:i/>
                <w:color w:val="000000"/>
                <w:sz w:val="18"/>
                <w:szCs w:val="18"/>
                <w:lang w:val="bg-BG"/>
              </w:rPr>
            </w:pPr>
            <w:r w:rsidRPr="00191A87">
              <w:rPr>
                <w:rFonts w:ascii="Verdana" w:hAnsi="Verdana"/>
                <w:b w:val="0"/>
                <w:bCs/>
                <w:i/>
                <w:color w:val="000000"/>
                <w:sz w:val="18"/>
                <w:szCs w:val="18"/>
                <w:lang w:val="bg-BG"/>
              </w:rPr>
              <w:t xml:space="preserve">Чл. 4(2): </w:t>
            </w:r>
            <w:r w:rsidRPr="00191A87">
              <w:rPr>
                <w:rFonts w:ascii="Verdana" w:hAnsi="Verdana"/>
                <w:bCs/>
                <w:i/>
                <w:color w:val="000000"/>
                <w:sz w:val="18"/>
                <w:szCs w:val="18"/>
                <w:lang w:val="bg-BG"/>
              </w:rPr>
              <w:t xml:space="preserve">Поне 20 % от общия размер на средствата по линия на ЕСФ във всяка държава-членка да бъдат заделени за постигането на тематична цел 9 </w:t>
            </w:r>
            <w:r w:rsidRPr="00191A87">
              <w:rPr>
                <w:rFonts w:ascii="Verdana" w:hAnsi="Verdana"/>
                <w:bCs/>
                <w:i/>
                <w:color w:val="000000"/>
                <w:sz w:val="18"/>
                <w:szCs w:val="18"/>
                <w:lang w:val="bg-BG"/>
              </w:rPr>
              <w:lastRenderedPageBreak/>
              <w:t>за насърчаване на социалното приобщаване и борба с бедността и дискриминацията</w:t>
            </w:r>
            <w:r w:rsidRPr="00191A87">
              <w:rPr>
                <w:rFonts w:ascii="Verdana" w:hAnsi="Verdana"/>
                <w:b w:val="0"/>
                <w:bCs/>
                <w:i/>
                <w:color w:val="000000"/>
                <w:sz w:val="18"/>
                <w:szCs w:val="18"/>
                <w:lang w:val="bg-BG"/>
              </w:rPr>
              <w:t>.</w:t>
            </w:r>
          </w:p>
          <w:p w:rsidR="00AD796B" w:rsidRPr="00191A87" w:rsidRDefault="00AD796B" w:rsidP="004020E1">
            <w:pPr>
              <w:pStyle w:val="ListParagraph1"/>
              <w:widowControl w:val="0"/>
              <w:numPr>
                <w:ilvl w:val="0"/>
                <w:numId w:val="60"/>
              </w:numPr>
              <w:tabs>
                <w:tab w:val="left" w:pos="0"/>
                <w:tab w:val="right" w:pos="8931"/>
              </w:tabs>
              <w:spacing w:before="120" w:after="120"/>
              <w:ind w:left="714" w:right="249" w:hanging="357"/>
              <w:rPr>
                <w:rFonts w:ascii="Verdana" w:hAnsi="Verdana"/>
                <w:b w:val="0"/>
                <w:bCs/>
                <w:i/>
                <w:color w:val="000000"/>
                <w:sz w:val="18"/>
                <w:szCs w:val="18"/>
                <w:lang w:val="bg-BG"/>
              </w:rPr>
            </w:pPr>
            <w:r w:rsidRPr="00191A87">
              <w:rPr>
                <w:rFonts w:ascii="Verdana" w:hAnsi="Verdana"/>
                <w:b w:val="0"/>
                <w:bCs/>
                <w:i/>
                <w:color w:val="000000"/>
                <w:sz w:val="18"/>
                <w:szCs w:val="18"/>
                <w:lang w:val="bg-BG"/>
              </w:rPr>
              <w:t xml:space="preserve">Чл. 4(3)(в): За по-слабо развитите региони на ЕС, каквито са всички региони в България, държавите-членки трябва да концентрират </w:t>
            </w:r>
            <w:r w:rsidRPr="00191A87">
              <w:rPr>
                <w:rFonts w:ascii="Verdana" w:hAnsi="Verdana"/>
                <w:bCs/>
                <w:i/>
                <w:color w:val="000000"/>
                <w:sz w:val="18"/>
                <w:szCs w:val="18"/>
                <w:lang w:val="bg-BG"/>
              </w:rPr>
              <w:t>поне 60% от техните ресурси по ЕСФ в рамките на всяка оперативна програма за най-много 5 инвестиционни приоритета</w:t>
            </w:r>
            <w:r w:rsidRPr="00191A87">
              <w:rPr>
                <w:rFonts w:ascii="Verdana" w:hAnsi="Verdana"/>
                <w:b w:val="0"/>
                <w:bCs/>
                <w:i/>
                <w:color w:val="000000"/>
                <w:sz w:val="18"/>
                <w:szCs w:val="18"/>
                <w:lang w:val="bg-BG"/>
              </w:rPr>
              <w:t>, дефинирани в чл. 3(1) на регламента за ЕСФ.</w:t>
            </w:r>
          </w:p>
          <w:p w:rsidR="00AD796B" w:rsidRPr="00191A87" w:rsidRDefault="00AD796B" w:rsidP="004020E1">
            <w:pPr>
              <w:pStyle w:val="ListParagraph1"/>
              <w:widowControl w:val="0"/>
              <w:numPr>
                <w:ilvl w:val="0"/>
                <w:numId w:val="60"/>
              </w:numPr>
              <w:tabs>
                <w:tab w:val="left" w:pos="0"/>
                <w:tab w:val="right" w:pos="8931"/>
              </w:tabs>
              <w:spacing w:before="120" w:after="120"/>
              <w:ind w:left="714" w:right="249" w:hanging="357"/>
              <w:rPr>
                <w:rFonts w:ascii="Verdana" w:hAnsi="Verdana"/>
                <w:b w:val="0"/>
                <w:bCs/>
                <w:i/>
                <w:color w:val="000000"/>
                <w:sz w:val="18"/>
                <w:szCs w:val="18"/>
                <w:lang w:val="bg-BG"/>
              </w:rPr>
            </w:pPr>
            <w:r w:rsidRPr="00191A87">
              <w:rPr>
                <w:rFonts w:ascii="Verdana" w:hAnsi="Verdana"/>
                <w:b w:val="0"/>
                <w:bCs/>
                <w:i/>
                <w:color w:val="000000"/>
                <w:sz w:val="18"/>
                <w:szCs w:val="18"/>
                <w:lang w:val="bg-BG"/>
              </w:rPr>
              <w:t xml:space="preserve">Чл. 4(4): Приоритетните оси, отнасящи се за </w:t>
            </w:r>
            <w:r w:rsidRPr="00191A87">
              <w:rPr>
                <w:rFonts w:ascii="Verdana" w:hAnsi="Verdana"/>
                <w:bCs/>
                <w:i/>
                <w:color w:val="000000"/>
                <w:sz w:val="18"/>
                <w:szCs w:val="18"/>
                <w:lang w:val="bg-BG"/>
              </w:rPr>
              <w:t>транснационално сътрудничество и социални иновации (чл.11(1) на регламента за ЕСФ), трябва да бъдат изключени</w:t>
            </w:r>
            <w:r w:rsidRPr="00191A87">
              <w:rPr>
                <w:rFonts w:ascii="Verdana" w:hAnsi="Verdana"/>
                <w:b w:val="0"/>
                <w:bCs/>
                <w:i/>
                <w:color w:val="000000"/>
                <w:sz w:val="18"/>
                <w:szCs w:val="18"/>
                <w:lang w:val="bg-BG"/>
              </w:rPr>
              <w:t xml:space="preserve"> при пресмятането на горните два процента, отнасящи се до тематичната концентрация.</w:t>
            </w:r>
          </w:p>
          <w:p w:rsidR="00AD796B" w:rsidRDefault="00AD796B" w:rsidP="004020E1">
            <w:pPr>
              <w:pStyle w:val="ListParagraph1"/>
              <w:widowControl w:val="0"/>
              <w:numPr>
                <w:ilvl w:val="0"/>
                <w:numId w:val="60"/>
              </w:numPr>
              <w:tabs>
                <w:tab w:val="left" w:pos="0"/>
                <w:tab w:val="right" w:pos="8931"/>
              </w:tabs>
              <w:spacing w:before="120" w:after="120"/>
              <w:ind w:left="714" w:right="249" w:hanging="357"/>
              <w:rPr>
                <w:rFonts w:ascii="Verdana" w:hAnsi="Verdana"/>
                <w:b w:val="0"/>
                <w:bCs/>
                <w:i/>
                <w:color w:val="000000"/>
                <w:sz w:val="18"/>
                <w:szCs w:val="18"/>
                <w:lang w:val="bg-BG"/>
              </w:rPr>
            </w:pPr>
            <w:r w:rsidRPr="00191A87">
              <w:rPr>
                <w:rFonts w:ascii="Verdana" w:hAnsi="Verdana"/>
                <w:b w:val="0"/>
                <w:bCs/>
                <w:i/>
                <w:color w:val="000000"/>
                <w:sz w:val="18"/>
                <w:szCs w:val="18"/>
                <w:lang w:val="bg-BG"/>
              </w:rPr>
              <w:t xml:space="preserve">Чл. 11(2): </w:t>
            </w:r>
            <w:r w:rsidRPr="00191A87">
              <w:rPr>
                <w:rFonts w:ascii="Verdana" w:hAnsi="Verdana"/>
                <w:bCs/>
                <w:i/>
                <w:color w:val="000000"/>
                <w:sz w:val="18"/>
                <w:szCs w:val="18"/>
                <w:lang w:val="bg-BG"/>
              </w:rPr>
              <w:t>Максималният размер на европейското съфинансиране може да бъде увеличен с 10-процентни пункта (но без да надвишава 100%), когато цяла приоритетна ос е насочена за социални иновации, транснационално сътрудничество или комбинация от двете</w:t>
            </w:r>
            <w:r w:rsidRPr="00191A87">
              <w:rPr>
                <w:rFonts w:ascii="Verdana" w:hAnsi="Verdana"/>
                <w:b w:val="0"/>
                <w:bCs/>
                <w:i/>
                <w:color w:val="000000"/>
                <w:sz w:val="18"/>
                <w:szCs w:val="18"/>
                <w:lang w:val="bg-BG"/>
              </w:rPr>
              <w:t>.</w:t>
            </w:r>
          </w:p>
          <w:p w:rsidR="00AD796B" w:rsidRPr="00796CD0" w:rsidRDefault="00AD796B" w:rsidP="004020E1">
            <w:pPr>
              <w:pStyle w:val="ListParagraph1"/>
              <w:widowControl w:val="0"/>
              <w:tabs>
                <w:tab w:val="left" w:pos="0"/>
                <w:tab w:val="right" w:pos="8931"/>
              </w:tabs>
              <w:spacing w:before="120" w:after="120"/>
              <w:ind w:left="357" w:right="249"/>
              <w:rPr>
                <w:rFonts w:ascii="Verdana" w:hAnsi="Verdana"/>
                <w:b w:val="0"/>
                <w:bCs/>
                <w:i/>
                <w:color w:val="000000"/>
                <w:sz w:val="18"/>
                <w:szCs w:val="18"/>
                <w:lang w:val="bg-BG"/>
              </w:rPr>
            </w:pPr>
            <w:r w:rsidRPr="00191A87">
              <w:rPr>
                <w:rFonts w:ascii="Verdana" w:hAnsi="Verdana"/>
                <w:bCs/>
                <w:i/>
                <w:color w:val="000000"/>
                <w:sz w:val="18"/>
                <w:szCs w:val="18"/>
                <w:lang w:val="bg-BG"/>
              </w:rPr>
              <w:t xml:space="preserve">1304/2013 Регламент за </w:t>
            </w:r>
            <w:r w:rsidRPr="00796CD0">
              <w:rPr>
                <w:rFonts w:ascii="Verdana" w:hAnsi="Verdana"/>
                <w:bCs/>
                <w:i/>
                <w:color w:val="000000"/>
                <w:sz w:val="18"/>
                <w:szCs w:val="18"/>
                <w:lang w:val="bg-BG"/>
              </w:rPr>
              <w:t>ЕФРР</w:t>
            </w:r>
            <w:r w:rsidRPr="00796CD0">
              <w:rPr>
                <w:rFonts w:ascii="Verdana" w:hAnsi="Verdana"/>
                <w:b w:val="0"/>
                <w:bCs/>
                <w:i/>
                <w:color w:val="000000"/>
                <w:sz w:val="18"/>
                <w:szCs w:val="18"/>
                <w:lang w:val="bg-BG"/>
              </w:rPr>
              <w:t xml:space="preserve"> задава допълнителни ограничения по отношение на тематичната концентрация на помощта, финансирана от фонда. Чл. 4 от Регламента задава минимални прагове на финансиране на някои тематични цели, които са различни за развитите и преходни региони на ЕС, от една страна, и за по-малко развитите региони, от друга. Тъй като всички региони в България към настоящия момент спадат към слабо развитите региони, за тях изискванията са по-малко ограничителни, предвид, че тези региони са изправени пред редица предизвикателства пред развитието си и би трябвало да имат по-голяма свобода при определянето на различни типове инвестиции като по-приоритетни.  Според Регламента, за по-малко развитите региони на ЕС се изисква:</w:t>
            </w:r>
          </w:p>
          <w:p w:rsidR="00AD796B" w:rsidRPr="00796CD0" w:rsidRDefault="00AD796B" w:rsidP="004020E1">
            <w:pPr>
              <w:pStyle w:val="ListParagraph1"/>
              <w:widowControl w:val="0"/>
              <w:numPr>
                <w:ilvl w:val="0"/>
                <w:numId w:val="60"/>
              </w:numPr>
              <w:tabs>
                <w:tab w:val="left" w:pos="0"/>
                <w:tab w:val="right" w:pos="8931"/>
              </w:tabs>
              <w:spacing w:before="120" w:after="120"/>
              <w:ind w:left="714" w:right="249" w:hanging="357"/>
              <w:rPr>
                <w:rFonts w:ascii="Verdana" w:hAnsi="Verdana"/>
                <w:b w:val="0"/>
                <w:bCs/>
                <w:i/>
                <w:color w:val="000000"/>
                <w:sz w:val="18"/>
                <w:szCs w:val="18"/>
                <w:lang w:val="bg-BG"/>
              </w:rPr>
            </w:pPr>
            <w:r w:rsidRPr="00796CD0">
              <w:rPr>
                <w:rFonts w:ascii="Verdana" w:hAnsi="Verdana"/>
                <w:b w:val="0"/>
                <w:bCs/>
                <w:i/>
                <w:color w:val="000000"/>
                <w:sz w:val="18"/>
                <w:szCs w:val="18"/>
                <w:lang w:val="bg-BG"/>
              </w:rPr>
              <w:t>поне 50% от общите средства, финансирани от ЕФРР на национално ниво да бъдат разходвани за една или повече от следните тематични области:</w:t>
            </w:r>
          </w:p>
          <w:p w:rsidR="00AD796B" w:rsidRPr="00796CD0" w:rsidRDefault="00AD796B" w:rsidP="004020E1">
            <w:pPr>
              <w:pStyle w:val="ListParagraph1"/>
              <w:widowControl w:val="0"/>
              <w:tabs>
                <w:tab w:val="left" w:pos="0"/>
                <w:tab w:val="right" w:pos="8931"/>
              </w:tabs>
              <w:spacing w:before="120" w:after="120"/>
              <w:ind w:left="851" w:right="249"/>
              <w:rPr>
                <w:rFonts w:ascii="Verdana" w:hAnsi="Verdana"/>
                <w:b w:val="0"/>
                <w:bCs/>
                <w:i/>
                <w:color w:val="000000"/>
                <w:sz w:val="18"/>
                <w:szCs w:val="18"/>
                <w:lang w:val="bg-BG"/>
              </w:rPr>
            </w:pPr>
            <w:r>
              <w:rPr>
                <w:rFonts w:ascii="Verdana" w:hAnsi="Verdana"/>
                <w:b w:val="0"/>
                <w:bCs/>
                <w:i/>
                <w:color w:val="000000"/>
                <w:sz w:val="18"/>
                <w:szCs w:val="18"/>
                <w:lang w:val="bg-BG"/>
              </w:rPr>
              <w:t>(1)</w:t>
            </w:r>
            <w:r w:rsidRPr="00796CD0">
              <w:rPr>
                <w:rFonts w:ascii="Verdana" w:hAnsi="Verdana"/>
                <w:b w:val="0"/>
                <w:bCs/>
                <w:i/>
                <w:color w:val="000000"/>
                <w:sz w:val="18"/>
                <w:szCs w:val="18"/>
                <w:lang w:val="bg-BG"/>
              </w:rPr>
              <w:t>Засилване на научноизследователската дейност, технологичното развитие и иновациите;</w:t>
            </w:r>
          </w:p>
          <w:p w:rsidR="00AD796B" w:rsidRPr="00796CD0" w:rsidRDefault="00AD796B" w:rsidP="004020E1">
            <w:pPr>
              <w:pStyle w:val="ListParagraph1"/>
              <w:widowControl w:val="0"/>
              <w:tabs>
                <w:tab w:val="left" w:pos="0"/>
                <w:tab w:val="right" w:pos="8931"/>
              </w:tabs>
              <w:spacing w:before="120" w:after="120"/>
              <w:ind w:left="851" w:right="249"/>
              <w:rPr>
                <w:rFonts w:ascii="Verdana" w:hAnsi="Verdana"/>
                <w:b w:val="0"/>
                <w:bCs/>
                <w:i/>
                <w:color w:val="000000"/>
                <w:sz w:val="18"/>
                <w:szCs w:val="18"/>
                <w:lang w:val="bg-BG"/>
              </w:rPr>
            </w:pPr>
            <w:r>
              <w:rPr>
                <w:rFonts w:ascii="Verdana" w:hAnsi="Verdana"/>
                <w:b w:val="0"/>
                <w:bCs/>
                <w:i/>
                <w:color w:val="000000"/>
                <w:sz w:val="18"/>
                <w:szCs w:val="18"/>
                <w:lang w:val="bg-BG"/>
              </w:rPr>
              <w:t>(2)</w:t>
            </w:r>
            <w:r w:rsidRPr="00796CD0">
              <w:rPr>
                <w:rFonts w:ascii="Verdana" w:hAnsi="Verdana"/>
                <w:b w:val="0"/>
                <w:bCs/>
                <w:i/>
                <w:color w:val="000000"/>
                <w:sz w:val="18"/>
                <w:szCs w:val="18"/>
                <w:lang w:val="bg-BG"/>
              </w:rPr>
              <w:t>Подобряване на достъпа до ИКТ и на тяхното използване и качество;</w:t>
            </w:r>
          </w:p>
          <w:p w:rsidR="00AD796B" w:rsidRPr="00796CD0" w:rsidRDefault="00AD796B" w:rsidP="004020E1">
            <w:pPr>
              <w:pStyle w:val="ListParagraph1"/>
              <w:widowControl w:val="0"/>
              <w:tabs>
                <w:tab w:val="left" w:pos="0"/>
                <w:tab w:val="right" w:pos="8931"/>
              </w:tabs>
              <w:spacing w:before="120" w:after="120"/>
              <w:ind w:left="851" w:right="249"/>
              <w:rPr>
                <w:rFonts w:ascii="Verdana" w:hAnsi="Verdana"/>
                <w:b w:val="0"/>
                <w:bCs/>
                <w:i/>
                <w:color w:val="000000"/>
                <w:sz w:val="18"/>
                <w:szCs w:val="18"/>
                <w:lang w:val="bg-BG"/>
              </w:rPr>
            </w:pPr>
            <w:r>
              <w:rPr>
                <w:rFonts w:ascii="Verdana" w:hAnsi="Verdana"/>
                <w:b w:val="0"/>
                <w:bCs/>
                <w:i/>
                <w:color w:val="000000"/>
                <w:sz w:val="18"/>
                <w:szCs w:val="18"/>
                <w:lang w:val="bg-BG"/>
              </w:rPr>
              <w:t>(3)</w:t>
            </w:r>
            <w:r w:rsidRPr="00796CD0">
              <w:rPr>
                <w:rFonts w:ascii="Verdana" w:hAnsi="Verdana"/>
                <w:b w:val="0"/>
                <w:bCs/>
                <w:i/>
                <w:color w:val="000000"/>
                <w:sz w:val="18"/>
                <w:szCs w:val="18"/>
                <w:lang w:val="bg-BG"/>
              </w:rPr>
              <w:t>Повишаване на конкурентоспособността на МСП;</w:t>
            </w:r>
          </w:p>
          <w:p w:rsidR="00AD796B" w:rsidRPr="00796CD0" w:rsidRDefault="00AD796B" w:rsidP="004020E1">
            <w:pPr>
              <w:pStyle w:val="ListParagraph1"/>
              <w:widowControl w:val="0"/>
              <w:tabs>
                <w:tab w:val="left" w:pos="0"/>
                <w:tab w:val="right" w:pos="8931"/>
              </w:tabs>
              <w:spacing w:before="120" w:after="120"/>
              <w:ind w:left="851" w:right="249"/>
              <w:rPr>
                <w:rFonts w:ascii="Verdana" w:hAnsi="Verdana"/>
                <w:b w:val="0"/>
                <w:bCs/>
                <w:i/>
                <w:color w:val="000000"/>
                <w:sz w:val="18"/>
                <w:szCs w:val="18"/>
                <w:lang w:val="bg-BG"/>
              </w:rPr>
            </w:pPr>
            <w:r>
              <w:rPr>
                <w:rFonts w:ascii="Verdana" w:hAnsi="Verdana"/>
                <w:b w:val="0"/>
                <w:bCs/>
                <w:i/>
                <w:color w:val="000000"/>
                <w:sz w:val="18"/>
                <w:szCs w:val="18"/>
                <w:lang w:val="bg-BG"/>
              </w:rPr>
              <w:t>(4)</w:t>
            </w:r>
            <w:r w:rsidRPr="00796CD0">
              <w:rPr>
                <w:rFonts w:ascii="Verdana" w:hAnsi="Verdana"/>
                <w:b w:val="0"/>
                <w:bCs/>
                <w:i/>
                <w:color w:val="000000"/>
                <w:sz w:val="18"/>
                <w:szCs w:val="18"/>
                <w:lang w:val="bg-BG"/>
              </w:rPr>
              <w:t xml:space="preserve">Подкрепа за преминаването към </w:t>
            </w:r>
            <w:proofErr w:type="spellStart"/>
            <w:r w:rsidRPr="00796CD0">
              <w:rPr>
                <w:rFonts w:ascii="Verdana" w:hAnsi="Verdana"/>
                <w:b w:val="0"/>
                <w:bCs/>
                <w:i/>
                <w:color w:val="000000"/>
                <w:sz w:val="18"/>
                <w:szCs w:val="18"/>
                <w:lang w:val="bg-BG"/>
              </w:rPr>
              <w:t>нисковъглеродна</w:t>
            </w:r>
            <w:proofErr w:type="spellEnd"/>
            <w:r w:rsidRPr="00796CD0">
              <w:rPr>
                <w:rFonts w:ascii="Verdana" w:hAnsi="Verdana"/>
                <w:b w:val="0"/>
                <w:bCs/>
                <w:i/>
                <w:color w:val="000000"/>
                <w:sz w:val="18"/>
                <w:szCs w:val="18"/>
                <w:lang w:val="bg-BG"/>
              </w:rPr>
              <w:t xml:space="preserve"> икономика във всички сектори.</w:t>
            </w:r>
          </w:p>
          <w:p w:rsidR="00AD796B" w:rsidRPr="00191A87" w:rsidRDefault="00AD796B" w:rsidP="004020E1">
            <w:pPr>
              <w:pStyle w:val="ListParagraph1"/>
              <w:widowControl w:val="0"/>
              <w:numPr>
                <w:ilvl w:val="0"/>
                <w:numId w:val="60"/>
              </w:numPr>
              <w:tabs>
                <w:tab w:val="left" w:pos="0"/>
                <w:tab w:val="right" w:pos="8931"/>
              </w:tabs>
              <w:spacing w:before="120" w:after="120"/>
              <w:ind w:left="714" w:right="249" w:hanging="357"/>
              <w:rPr>
                <w:rFonts w:ascii="Verdana" w:hAnsi="Verdana"/>
                <w:b w:val="0"/>
                <w:bCs/>
                <w:i/>
                <w:color w:val="000000"/>
                <w:sz w:val="18"/>
                <w:szCs w:val="18"/>
                <w:lang w:val="bg-BG"/>
              </w:rPr>
            </w:pPr>
            <w:r w:rsidRPr="00796CD0">
              <w:rPr>
                <w:rFonts w:ascii="Verdana" w:hAnsi="Verdana"/>
                <w:b w:val="0"/>
                <w:bCs/>
                <w:i/>
                <w:color w:val="000000"/>
                <w:sz w:val="18"/>
                <w:szCs w:val="18"/>
                <w:lang w:val="bg-BG"/>
              </w:rPr>
              <w:t>поне 10% от общите средства, финансирани от ЕФРР на национално ниво да бъдат разходвани за четвъртата тематична област, а именно преминаването</w:t>
            </w:r>
            <w:r>
              <w:rPr>
                <w:rFonts w:ascii="Verdana" w:hAnsi="Verdana"/>
                <w:b w:val="0"/>
                <w:bCs/>
                <w:i/>
                <w:color w:val="000000"/>
                <w:sz w:val="18"/>
                <w:szCs w:val="18"/>
                <w:lang w:val="bg-BG"/>
              </w:rPr>
              <w:t xml:space="preserve"> към </w:t>
            </w:r>
            <w:proofErr w:type="spellStart"/>
            <w:r>
              <w:rPr>
                <w:rFonts w:ascii="Verdana" w:hAnsi="Verdana"/>
                <w:b w:val="0"/>
                <w:bCs/>
                <w:i/>
                <w:color w:val="000000"/>
                <w:sz w:val="18"/>
                <w:szCs w:val="18"/>
                <w:lang w:val="bg-BG"/>
              </w:rPr>
              <w:t>нисковъглеродна</w:t>
            </w:r>
            <w:proofErr w:type="spellEnd"/>
            <w:r>
              <w:rPr>
                <w:rFonts w:ascii="Verdana" w:hAnsi="Verdana"/>
                <w:b w:val="0"/>
                <w:bCs/>
                <w:i/>
                <w:color w:val="000000"/>
                <w:sz w:val="18"/>
                <w:szCs w:val="18"/>
                <w:lang w:val="bg-BG"/>
              </w:rPr>
              <w:t xml:space="preserve"> икономика.</w:t>
            </w:r>
          </w:p>
        </w:tc>
      </w:tr>
    </w:tbl>
    <w:p w:rsidR="00AD796B" w:rsidRPr="00191A87" w:rsidRDefault="00AD796B" w:rsidP="00AD796B">
      <w:pPr>
        <w:widowControl w:val="0"/>
        <w:tabs>
          <w:tab w:val="left" w:pos="0"/>
          <w:tab w:val="right" w:pos="9214"/>
        </w:tabs>
        <w:spacing w:before="120" w:after="120"/>
        <w:jc w:val="both"/>
        <w:rPr>
          <w:rFonts w:ascii="Verdana" w:eastAsia="Times New Roman" w:hAnsi="Verdana"/>
          <w:bCs/>
          <w:color w:val="000000"/>
          <w:sz w:val="20"/>
          <w:szCs w:val="20"/>
          <w:lang w:val="bg-BG" w:eastAsia="bg-BG"/>
        </w:rPr>
      </w:pPr>
    </w:p>
    <w:p w:rsidR="00AD796B" w:rsidRPr="00191A87" w:rsidRDefault="00AD796B" w:rsidP="00AD796B">
      <w:pPr>
        <w:widowControl w:val="0"/>
        <w:tabs>
          <w:tab w:val="left" w:pos="0"/>
          <w:tab w:val="right" w:pos="9214"/>
        </w:tabs>
        <w:spacing w:before="120" w:after="120"/>
        <w:jc w:val="both"/>
        <w:rPr>
          <w:rFonts w:ascii="Verdana" w:eastAsia="Times New Roman" w:hAnsi="Verdana"/>
          <w:bCs/>
          <w:color w:val="000000"/>
          <w:sz w:val="20"/>
          <w:szCs w:val="20"/>
          <w:lang w:val="bg-BG" w:eastAsia="bg-BG"/>
        </w:rPr>
      </w:pPr>
      <w:r w:rsidRPr="00191A87">
        <w:rPr>
          <w:rFonts w:ascii="Verdana" w:eastAsia="Times New Roman" w:hAnsi="Verdana"/>
          <w:bCs/>
          <w:color w:val="000000"/>
          <w:sz w:val="20"/>
          <w:szCs w:val="20"/>
          <w:lang w:val="bg-BG" w:eastAsia="bg-BG"/>
        </w:rPr>
        <w:t>В карето по-горе са описани конкретни ограничения по отношение на типовете дейности и възможностите, които се предоставят за финансиране със средства на ЕСФ във всяка държава-членка в зависимост от степента на развитие на регионите в нея. Тъй като все още не са известни бюджетите на оперативните програми и разпределенията по дейностите по другите оперативни програми, които ще бъдат финансирани от ЕСФ</w:t>
      </w:r>
      <w:r>
        <w:rPr>
          <w:rFonts w:ascii="Verdana" w:eastAsia="Times New Roman" w:hAnsi="Verdana"/>
          <w:bCs/>
          <w:color w:val="000000"/>
          <w:sz w:val="20"/>
          <w:szCs w:val="20"/>
          <w:lang w:val="bg-BG" w:eastAsia="bg-BG"/>
        </w:rPr>
        <w:t xml:space="preserve"> и ЕФРР</w:t>
      </w:r>
      <w:r w:rsidRPr="00191A87">
        <w:rPr>
          <w:rFonts w:ascii="Verdana" w:eastAsia="Times New Roman" w:hAnsi="Verdana"/>
          <w:bCs/>
          <w:color w:val="000000"/>
          <w:sz w:val="20"/>
          <w:szCs w:val="20"/>
          <w:lang w:val="bg-BG" w:eastAsia="bg-BG"/>
        </w:rPr>
        <w:t>, към момента оценката на изпълнението на конкретните минимуми и тавани, заложени в Общия регламент и Регламент</w:t>
      </w:r>
      <w:r>
        <w:rPr>
          <w:rFonts w:ascii="Verdana" w:eastAsia="Times New Roman" w:hAnsi="Verdana"/>
          <w:bCs/>
          <w:color w:val="000000"/>
          <w:sz w:val="20"/>
          <w:szCs w:val="20"/>
          <w:lang w:val="bg-BG" w:eastAsia="bg-BG"/>
        </w:rPr>
        <w:t>ите за</w:t>
      </w:r>
      <w:r w:rsidRPr="00191A87">
        <w:rPr>
          <w:rFonts w:ascii="Verdana" w:eastAsia="Times New Roman" w:hAnsi="Verdana"/>
          <w:bCs/>
          <w:color w:val="000000"/>
          <w:sz w:val="20"/>
          <w:szCs w:val="20"/>
          <w:lang w:val="bg-BG" w:eastAsia="bg-BG"/>
        </w:rPr>
        <w:t xml:space="preserve"> ЕСФ</w:t>
      </w:r>
      <w:r>
        <w:rPr>
          <w:rFonts w:ascii="Verdana" w:eastAsia="Times New Roman" w:hAnsi="Verdana"/>
          <w:bCs/>
          <w:color w:val="000000"/>
          <w:sz w:val="20"/>
          <w:szCs w:val="20"/>
          <w:lang w:val="bg-BG" w:eastAsia="bg-BG"/>
        </w:rPr>
        <w:t xml:space="preserve"> и ЕФРР</w:t>
      </w:r>
      <w:r w:rsidRPr="00191A87">
        <w:rPr>
          <w:rFonts w:ascii="Verdana" w:eastAsia="Times New Roman" w:hAnsi="Verdana"/>
          <w:bCs/>
          <w:color w:val="000000"/>
          <w:sz w:val="20"/>
          <w:szCs w:val="20"/>
          <w:lang w:val="bg-BG" w:eastAsia="bg-BG"/>
        </w:rPr>
        <w:t>, има индикативен характер.</w:t>
      </w:r>
    </w:p>
    <w:p w:rsidR="00AD796B" w:rsidRDefault="00AD796B" w:rsidP="00AD796B">
      <w:pPr>
        <w:pStyle w:val="ListParagraph1"/>
        <w:widowControl w:val="0"/>
        <w:numPr>
          <w:ilvl w:val="0"/>
          <w:numId w:val="60"/>
        </w:numPr>
        <w:tabs>
          <w:tab w:val="left" w:pos="0"/>
          <w:tab w:val="right" w:pos="9214"/>
        </w:tabs>
        <w:spacing w:before="120" w:after="120" w:line="276" w:lineRule="auto"/>
        <w:rPr>
          <w:rFonts w:ascii="Verdana" w:hAnsi="Verdana"/>
          <w:bCs/>
          <w:color w:val="000000"/>
          <w:sz w:val="20"/>
          <w:lang w:val="bg-BG" w:eastAsia="bg-BG"/>
        </w:rPr>
      </w:pPr>
      <w:r w:rsidRPr="00191A87">
        <w:rPr>
          <w:rFonts w:ascii="Verdana" w:hAnsi="Verdana"/>
          <w:bCs/>
          <w:i/>
          <w:color w:val="000000"/>
          <w:sz w:val="20"/>
          <w:lang w:val="bg-BG" w:eastAsia="bg-BG"/>
        </w:rPr>
        <w:t>Максималният размер на средствата за техническа помощ не бива да надвишава 4% от общите средства,</w:t>
      </w:r>
      <w:r w:rsidRPr="00191A87">
        <w:rPr>
          <w:rFonts w:ascii="Verdana" w:hAnsi="Verdana"/>
          <w:bCs/>
          <w:color w:val="000000"/>
          <w:sz w:val="20"/>
          <w:lang w:val="bg-BG" w:eastAsia="bg-BG"/>
        </w:rPr>
        <w:t xml:space="preserve"> разпределени за оперативните програми </w:t>
      </w:r>
      <w:r w:rsidRPr="00191A87">
        <w:rPr>
          <w:rFonts w:ascii="Verdana" w:hAnsi="Verdana"/>
          <w:bCs/>
          <w:color w:val="000000"/>
          <w:sz w:val="20"/>
          <w:lang w:val="bg-BG" w:eastAsia="bg-BG"/>
        </w:rPr>
        <w:lastRenderedPageBreak/>
        <w:t xml:space="preserve">по всяка категория региони за растеж и заетост. </w:t>
      </w:r>
      <w:r>
        <w:rPr>
          <w:rFonts w:ascii="Verdana" w:hAnsi="Verdana"/>
          <w:bCs/>
          <w:color w:val="000000"/>
          <w:sz w:val="20"/>
          <w:lang w:val="bg-BG" w:eastAsia="bg-BG"/>
        </w:rPr>
        <w:t xml:space="preserve">В </w:t>
      </w:r>
      <w:r w:rsidRPr="00191A87">
        <w:rPr>
          <w:rFonts w:ascii="Verdana" w:hAnsi="Verdana"/>
          <w:bCs/>
          <w:color w:val="000000"/>
          <w:sz w:val="20"/>
          <w:lang w:val="bg-BG" w:eastAsia="bg-BG"/>
        </w:rPr>
        <w:t xml:space="preserve">рамките на ОП </w:t>
      </w:r>
      <w:r>
        <w:rPr>
          <w:rFonts w:ascii="Verdana" w:hAnsi="Verdana"/>
          <w:bCs/>
          <w:color w:val="000000"/>
          <w:sz w:val="20"/>
          <w:lang w:val="bg-BG" w:eastAsia="bg-BG"/>
        </w:rPr>
        <w:t>НОИР</w:t>
      </w:r>
      <w:r w:rsidRPr="00191A87">
        <w:rPr>
          <w:rFonts w:ascii="Verdana" w:hAnsi="Verdana"/>
          <w:bCs/>
          <w:color w:val="000000"/>
          <w:sz w:val="20"/>
          <w:lang w:val="bg-BG" w:eastAsia="bg-BG"/>
        </w:rPr>
        <w:t xml:space="preserve"> 2014-2020 г. финансирането за техническа помощ </w:t>
      </w:r>
      <w:r>
        <w:rPr>
          <w:rFonts w:ascii="Verdana" w:hAnsi="Verdana"/>
          <w:bCs/>
          <w:color w:val="000000"/>
          <w:sz w:val="20"/>
          <w:lang w:val="bg-BG" w:eastAsia="bg-BG"/>
        </w:rPr>
        <w:t>по фондове възлиза съответно на 5.3</w:t>
      </w:r>
      <w:r w:rsidRPr="00191A87">
        <w:rPr>
          <w:rFonts w:ascii="Verdana" w:hAnsi="Verdana"/>
          <w:bCs/>
          <w:color w:val="000000"/>
          <w:sz w:val="20"/>
          <w:lang w:val="bg-BG" w:eastAsia="bg-BG"/>
        </w:rPr>
        <w:t xml:space="preserve">% от средствата по </w:t>
      </w:r>
      <w:r>
        <w:rPr>
          <w:rFonts w:ascii="Verdana" w:hAnsi="Verdana"/>
          <w:bCs/>
          <w:color w:val="000000"/>
          <w:sz w:val="20"/>
          <w:lang w:val="bg-BG" w:eastAsia="bg-BG"/>
        </w:rPr>
        <w:t>ЕСФ и 2.5% от ресурсът по ЕФРР, или общо 4.1% от бюджета на програмата</w:t>
      </w:r>
      <w:r w:rsidRPr="00191A87">
        <w:rPr>
          <w:rFonts w:ascii="Verdana" w:hAnsi="Verdana"/>
          <w:bCs/>
          <w:color w:val="000000"/>
          <w:sz w:val="20"/>
          <w:lang w:val="bg-BG" w:eastAsia="bg-BG"/>
        </w:rPr>
        <w:t>.</w:t>
      </w:r>
      <w:r>
        <w:rPr>
          <w:rFonts w:ascii="Verdana" w:hAnsi="Verdana"/>
          <w:bCs/>
          <w:color w:val="000000"/>
          <w:sz w:val="20"/>
          <w:lang w:val="bg-BG" w:eastAsia="bg-BG"/>
        </w:rPr>
        <w:t xml:space="preserve"> Оценителят счита, че ресурсът за техническа помощ, макар и надвишаващ малко индикативната стойност от 4%, би следвало да се запази предвид 2 фактора: 1. ОП НОИР е новосъздадена програма и съответно предполага използване на по-висок ресурс за техническа помощ и 2. Общият бюджет на програмата не е много висок в сравнение с повече други оперативни програми, което означава, че за техническа помощ остават по-малко средства в номинален размер. Същевременно, необходимостта от средства за техническа помощ не е пряко пропорционална на бюджета на оперативните програми, а до голяма степен е фиксирана величина.</w:t>
      </w:r>
    </w:p>
    <w:p w:rsidR="00AD796B" w:rsidRPr="00191A87" w:rsidRDefault="00AD796B" w:rsidP="00AD796B">
      <w:pPr>
        <w:pStyle w:val="ListParagraph1"/>
        <w:widowControl w:val="0"/>
        <w:numPr>
          <w:ilvl w:val="0"/>
          <w:numId w:val="60"/>
        </w:numPr>
        <w:tabs>
          <w:tab w:val="left" w:pos="0"/>
          <w:tab w:val="right" w:pos="9214"/>
        </w:tabs>
        <w:spacing w:before="120" w:after="120" w:line="276" w:lineRule="auto"/>
        <w:rPr>
          <w:rFonts w:ascii="Verdana" w:hAnsi="Verdana"/>
          <w:bCs/>
          <w:color w:val="000000"/>
          <w:sz w:val="20"/>
          <w:lang w:val="bg-BG" w:eastAsia="bg-BG"/>
        </w:rPr>
      </w:pPr>
      <w:r>
        <w:rPr>
          <w:rFonts w:ascii="Verdana" w:hAnsi="Verdana"/>
          <w:bCs/>
          <w:i/>
          <w:color w:val="000000"/>
          <w:sz w:val="20"/>
          <w:lang w:val="bg-BG" w:eastAsia="bg-BG"/>
        </w:rPr>
        <w:t>Заделяне на резерв за изпълнение в размер на 6% за всеки фонд и категория региони, като само за техническа помощ и финансови инструменти не се заделя такъв резерв.</w:t>
      </w:r>
      <w:r>
        <w:rPr>
          <w:rFonts w:ascii="Verdana" w:hAnsi="Verdana"/>
          <w:bCs/>
          <w:color w:val="000000"/>
          <w:sz w:val="20"/>
          <w:lang w:val="bg-BG" w:eastAsia="bg-BG"/>
        </w:rPr>
        <w:t xml:space="preserve"> В текущия вариант на финансовия план на ОП НОИР е заделен резерв за изпълнение и за техническата помощ, който би следвало да отпадне, като със същия размер се увеличат сумите на резерва по други приоритетни оси, за да може общите суми по фондове да бъдат точно равни на 6%. </w:t>
      </w:r>
    </w:p>
    <w:p w:rsidR="00AD796B" w:rsidRPr="00191A87" w:rsidRDefault="00AD796B" w:rsidP="00AD796B">
      <w:pPr>
        <w:pStyle w:val="ListParagraph1"/>
        <w:widowControl w:val="0"/>
        <w:numPr>
          <w:ilvl w:val="0"/>
          <w:numId w:val="60"/>
        </w:numPr>
        <w:tabs>
          <w:tab w:val="left" w:pos="0"/>
          <w:tab w:val="right" w:pos="9214"/>
        </w:tabs>
        <w:spacing w:before="120" w:after="120" w:line="276" w:lineRule="auto"/>
        <w:rPr>
          <w:rFonts w:ascii="Verdana" w:hAnsi="Verdana"/>
          <w:bCs/>
          <w:color w:val="000000"/>
          <w:sz w:val="20"/>
          <w:lang w:val="bg-BG" w:eastAsia="bg-BG"/>
        </w:rPr>
      </w:pPr>
      <w:r w:rsidRPr="00191A87">
        <w:rPr>
          <w:rFonts w:ascii="Verdana" w:hAnsi="Verdana"/>
          <w:bCs/>
          <w:i/>
          <w:color w:val="000000"/>
          <w:sz w:val="20"/>
          <w:lang w:val="bg-BG" w:eastAsia="bg-BG"/>
        </w:rPr>
        <w:t>Поне 20 % от общия размер на средствата по линия на ЕСФ във всяка държава-членка да бъдат заделени за постигането на тематична цел 9</w:t>
      </w:r>
      <w:r w:rsidRPr="00191A87">
        <w:rPr>
          <w:rFonts w:ascii="Verdana" w:hAnsi="Verdana"/>
          <w:bCs/>
          <w:color w:val="000000"/>
          <w:sz w:val="20"/>
          <w:lang w:val="bg-BG" w:eastAsia="bg-BG"/>
        </w:rPr>
        <w:t xml:space="preserve">. В рамките на ОП </w:t>
      </w:r>
      <w:r>
        <w:rPr>
          <w:rFonts w:ascii="Verdana" w:hAnsi="Verdana"/>
          <w:bCs/>
          <w:color w:val="000000"/>
          <w:sz w:val="20"/>
          <w:lang w:val="bg-BG" w:eastAsia="bg-BG"/>
        </w:rPr>
        <w:t>НОИР</w:t>
      </w:r>
      <w:r w:rsidRPr="00191A87">
        <w:rPr>
          <w:rFonts w:ascii="Verdana" w:hAnsi="Verdana"/>
          <w:bCs/>
          <w:color w:val="000000"/>
          <w:sz w:val="20"/>
          <w:lang w:val="bg-BG" w:eastAsia="bg-BG"/>
        </w:rPr>
        <w:t xml:space="preserve"> 2014-2020</w:t>
      </w:r>
      <w:r>
        <w:rPr>
          <w:rFonts w:ascii="Verdana" w:hAnsi="Verdana"/>
          <w:bCs/>
          <w:color w:val="000000"/>
          <w:sz w:val="20"/>
          <w:lang w:val="bg-BG" w:eastAsia="bg-BG"/>
        </w:rPr>
        <w:t xml:space="preserve"> за тематична цел 9 са 19%, като изпълнението на това изискване на ниво ЕСФ би трябвало да се осигури основно от ОП РЧР 2014-2020</w:t>
      </w:r>
      <w:r w:rsidRPr="00191A87">
        <w:rPr>
          <w:rFonts w:ascii="Verdana" w:hAnsi="Verdana"/>
          <w:bCs/>
          <w:color w:val="000000"/>
          <w:sz w:val="20"/>
          <w:lang w:val="bg-BG" w:eastAsia="bg-BG"/>
        </w:rPr>
        <w:t>.</w:t>
      </w:r>
    </w:p>
    <w:p w:rsidR="00AD796B" w:rsidRPr="00191A87" w:rsidRDefault="00AD796B" w:rsidP="00AD796B">
      <w:pPr>
        <w:pStyle w:val="ListParagraph1"/>
        <w:widowControl w:val="0"/>
        <w:numPr>
          <w:ilvl w:val="0"/>
          <w:numId w:val="60"/>
        </w:numPr>
        <w:tabs>
          <w:tab w:val="left" w:pos="0"/>
          <w:tab w:val="right" w:pos="9214"/>
        </w:tabs>
        <w:spacing w:before="120" w:after="120" w:line="276" w:lineRule="auto"/>
        <w:rPr>
          <w:rFonts w:ascii="Verdana" w:hAnsi="Verdana"/>
          <w:bCs/>
          <w:color w:val="000000"/>
          <w:sz w:val="20"/>
          <w:lang w:val="bg-BG" w:eastAsia="bg-BG"/>
        </w:rPr>
      </w:pPr>
      <w:r w:rsidRPr="00191A87">
        <w:rPr>
          <w:rFonts w:ascii="Verdana" w:hAnsi="Verdana"/>
          <w:bCs/>
          <w:i/>
          <w:color w:val="000000"/>
          <w:sz w:val="20"/>
          <w:lang w:val="bg-BG" w:eastAsia="bg-BG"/>
        </w:rPr>
        <w:t>Поне 60% от техните ресурси по ЕСФ в рамките на всяка оперативна програма трябва да се концентрират за най-много 5 инвестиционни приоритета</w:t>
      </w:r>
      <w:r w:rsidRPr="00191A87">
        <w:rPr>
          <w:rFonts w:ascii="Verdana" w:hAnsi="Verdana"/>
          <w:bCs/>
          <w:color w:val="000000"/>
          <w:sz w:val="20"/>
          <w:lang w:val="bg-BG" w:eastAsia="bg-BG"/>
        </w:rPr>
        <w:t xml:space="preserve">, дефинирани в чл. 3(1) на регламента за ЕСФ. </w:t>
      </w:r>
      <w:r>
        <w:rPr>
          <w:rFonts w:ascii="Verdana" w:hAnsi="Verdana"/>
          <w:bCs/>
          <w:color w:val="000000"/>
          <w:sz w:val="20"/>
          <w:lang w:val="bg-BG" w:eastAsia="bg-BG"/>
        </w:rPr>
        <w:t>Понастоящем в програмния документ няма финансова обосновка, което не позволява да се оцени изпълнението на това изискване</w:t>
      </w:r>
      <w:r w:rsidRPr="00191A87">
        <w:rPr>
          <w:rFonts w:ascii="Verdana" w:hAnsi="Verdana"/>
          <w:bCs/>
          <w:color w:val="000000"/>
          <w:sz w:val="20"/>
          <w:lang w:val="bg-BG" w:eastAsia="bg-BG"/>
        </w:rPr>
        <w:t>.</w:t>
      </w:r>
      <w:r w:rsidRPr="00191A87">
        <w:rPr>
          <w:rFonts w:ascii="Verdana" w:hAnsi="Verdana"/>
          <w:bCs/>
          <w:color w:val="000000"/>
          <w:sz w:val="20"/>
          <w:lang w:eastAsia="bg-BG"/>
        </w:rPr>
        <w:t xml:space="preserve"> </w:t>
      </w:r>
    </w:p>
    <w:p w:rsidR="00AD796B" w:rsidRDefault="00AD796B" w:rsidP="00AD796B">
      <w:pPr>
        <w:pStyle w:val="ListParagraph1"/>
        <w:widowControl w:val="0"/>
        <w:numPr>
          <w:ilvl w:val="0"/>
          <w:numId w:val="60"/>
        </w:numPr>
        <w:tabs>
          <w:tab w:val="left" w:pos="0"/>
          <w:tab w:val="right" w:pos="9214"/>
        </w:tabs>
        <w:spacing w:before="120" w:after="120" w:line="276" w:lineRule="auto"/>
        <w:rPr>
          <w:rFonts w:ascii="Verdana" w:hAnsi="Verdana"/>
          <w:bCs/>
          <w:color w:val="000000"/>
          <w:sz w:val="20"/>
          <w:lang w:val="bg-BG" w:eastAsia="bg-BG"/>
        </w:rPr>
      </w:pPr>
      <w:r w:rsidRPr="00191A87">
        <w:rPr>
          <w:rFonts w:ascii="Verdana" w:hAnsi="Verdana"/>
          <w:bCs/>
          <w:i/>
          <w:color w:val="000000"/>
          <w:sz w:val="20"/>
          <w:lang w:val="bg-BG" w:eastAsia="bg-BG"/>
        </w:rPr>
        <w:t>Максималният размер на европейското съфинансиране, може да бъде увеличен с 10 процентни пункта</w:t>
      </w:r>
      <w:r w:rsidRPr="00191A87">
        <w:rPr>
          <w:rFonts w:ascii="Verdana" w:hAnsi="Verdana"/>
          <w:bCs/>
          <w:color w:val="000000"/>
          <w:sz w:val="20"/>
          <w:lang w:val="bg-BG" w:eastAsia="bg-BG"/>
        </w:rPr>
        <w:t xml:space="preserve"> (но без да надвишава 100%), когато цяла приоритетна ос е насочена за социални иновации, транснационално сътрудничество или комбинация от двете. Тази възможност </w:t>
      </w:r>
      <w:r>
        <w:rPr>
          <w:rFonts w:ascii="Verdana" w:hAnsi="Verdana"/>
          <w:bCs/>
          <w:color w:val="000000"/>
          <w:sz w:val="20"/>
          <w:lang w:val="bg-BG" w:eastAsia="bg-BG"/>
        </w:rPr>
        <w:t xml:space="preserve">би могла да бъде </w:t>
      </w:r>
      <w:r w:rsidRPr="00191A87">
        <w:rPr>
          <w:rFonts w:ascii="Verdana" w:hAnsi="Verdana"/>
          <w:bCs/>
          <w:color w:val="000000"/>
          <w:sz w:val="20"/>
          <w:lang w:val="bg-BG" w:eastAsia="bg-BG"/>
        </w:rPr>
        <w:t xml:space="preserve">отчетена при </w:t>
      </w:r>
      <w:r>
        <w:rPr>
          <w:rFonts w:ascii="Verdana" w:hAnsi="Verdana"/>
          <w:bCs/>
          <w:color w:val="000000"/>
          <w:sz w:val="20"/>
          <w:lang w:val="bg-BG" w:eastAsia="bg-BG"/>
        </w:rPr>
        <w:t xml:space="preserve">програмирането </w:t>
      </w:r>
      <w:r w:rsidRPr="00191A87">
        <w:rPr>
          <w:rFonts w:ascii="Verdana" w:hAnsi="Verdana"/>
          <w:bCs/>
          <w:color w:val="000000"/>
          <w:sz w:val="20"/>
          <w:lang w:val="bg-BG" w:eastAsia="bg-BG"/>
        </w:rPr>
        <w:t xml:space="preserve">на ОП </w:t>
      </w:r>
      <w:r>
        <w:rPr>
          <w:rFonts w:ascii="Verdana" w:hAnsi="Verdana"/>
          <w:bCs/>
          <w:color w:val="000000"/>
          <w:sz w:val="20"/>
          <w:lang w:val="bg-BG" w:eastAsia="bg-BG"/>
        </w:rPr>
        <w:t xml:space="preserve">НОИР </w:t>
      </w:r>
      <w:r w:rsidRPr="00191A87">
        <w:rPr>
          <w:rFonts w:ascii="Verdana" w:hAnsi="Verdana"/>
          <w:bCs/>
          <w:color w:val="000000"/>
          <w:sz w:val="20"/>
          <w:lang w:val="bg-BG" w:eastAsia="bg-BG"/>
        </w:rPr>
        <w:t>2014-2020 г.</w:t>
      </w:r>
      <w:r>
        <w:rPr>
          <w:rFonts w:ascii="Verdana" w:hAnsi="Verdana"/>
          <w:bCs/>
          <w:color w:val="000000"/>
          <w:sz w:val="20"/>
          <w:lang w:val="bg-BG" w:eastAsia="bg-BG"/>
        </w:rPr>
        <w:t>, като се прецени дали има възможност за обособяване на отделна приоритетна ос за транснационално сътрудничество.</w:t>
      </w:r>
    </w:p>
    <w:p w:rsidR="00AD796B" w:rsidRPr="00796CD0" w:rsidRDefault="00AD796B" w:rsidP="00AD796B">
      <w:pPr>
        <w:pStyle w:val="ListParagraph1"/>
        <w:widowControl w:val="0"/>
        <w:numPr>
          <w:ilvl w:val="0"/>
          <w:numId w:val="60"/>
        </w:numPr>
        <w:tabs>
          <w:tab w:val="left" w:pos="0"/>
          <w:tab w:val="right" w:pos="9214"/>
        </w:tabs>
        <w:spacing w:before="120" w:after="120"/>
        <w:rPr>
          <w:rFonts w:ascii="Verdana" w:hAnsi="Verdana"/>
          <w:bCs/>
          <w:color w:val="000000"/>
          <w:sz w:val="20"/>
          <w:lang w:val="bg-BG" w:eastAsia="bg-BG"/>
        </w:rPr>
      </w:pPr>
      <w:r w:rsidRPr="0022722B">
        <w:rPr>
          <w:rFonts w:ascii="Verdana" w:hAnsi="Verdana"/>
          <w:bCs/>
          <w:i/>
          <w:color w:val="000000"/>
          <w:sz w:val="20"/>
          <w:lang w:val="bg-BG" w:eastAsia="bg-BG"/>
        </w:rPr>
        <w:t>Поне 50% от общите средства, финансирани от ЕФРР на национално ниво да бъдат разходвани за една или повече от първите четири тематични области</w:t>
      </w:r>
      <w:r>
        <w:rPr>
          <w:rFonts w:ascii="Verdana" w:hAnsi="Verdana"/>
          <w:bCs/>
          <w:color w:val="000000"/>
          <w:sz w:val="20"/>
          <w:lang w:val="bg-BG" w:eastAsia="bg-BG"/>
        </w:rPr>
        <w:t xml:space="preserve">. В това отношение ОП НОИР 2014-2020 г. би следвало да има висок принос за постигането на тематичната цел за </w:t>
      </w:r>
      <w:r w:rsidRPr="00796CD0">
        <w:rPr>
          <w:rFonts w:ascii="Verdana" w:hAnsi="Verdana"/>
          <w:bCs/>
          <w:color w:val="000000"/>
          <w:sz w:val="20"/>
          <w:lang w:val="bg-BG" w:eastAsia="bg-BG"/>
        </w:rPr>
        <w:t xml:space="preserve">научноизследователската </w:t>
      </w:r>
      <w:r>
        <w:rPr>
          <w:rFonts w:ascii="Verdana" w:hAnsi="Verdana"/>
          <w:bCs/>
          <w:color w:val="000000"/>
          <w:sz w:val="20"/>
          <w:lang w:val="bg-BG" w:eastAsia="bg-BG"/>
        </w:rPr>
        <w:t xml:space="preserve">и иновационна </w:t>
      </w:r>
      <w:r w:rsidRPr="00796CD0">
        <w:rPr>
          <w:rFonts w:ascii="Verdana" w:hAnsi="Verdana"/>
          <w:bCs/>
          <w:color w:val="000000"/>
          <w:sz w:val="20"/>
          <w:lang w:val="bg-BG" w:eastAsia="bg-BG"/>
        </w:rPr>
        <w:t>дейност</w:t>
      </w:r>
      <w:r>
        <w:rPr>
          <w:rFonts w:ascii="Verdana" w:hAnsi="Verdana"/>
          <w:bCs/>
          <w:color w:val="000000"/>
          <w:sz w:val="20"/>
          <w:lang w:val="bg-BG" w:eastAsia="bg-BG"/>
        </w:rPr>
        <w:t>.</w:t>
      </w:r>
    </w:p>
    <w:p w:rsidR="00AD796B" w:rsidRPr="00191A87" w:rsidRDefault="00AD796B" w:rsidP="00AD796B">
      <w:pPr>
        <w:pStyle w:val="ListParagraph1"/>
        <w:widowControl w:val="0"/>
        <w:numPr>
          <w:ilvl w:val="0"/>
          <w:numId w:val="60"/>
        </w:numPr>
        <w:tabs>
          <w:tab w:val="left" w:pos="0"/>
          <w:tab w:val="right" w:pos="9214"/>
        </w:tabs>
        <w:spacing w:before="120" w:after="120" w:line="276" w:lineRule="auto"/>
        <w:rPr>
          <w:rFonts w:ascii="Verdana" w:hAnsi="Verdana"/>
          <w:bCs/>
          <w:color w:val="000000"/>
          <w:sz w:val="20"/>
          <w:lang w:val="bg-BG" w:eastAsia="bg-BG"/>
        </w:rPr>
      </w:pPr>
      <w:r w:rsidRPr="0022722B">
        <w:rPr>
          <w:rFonts w:ascii="Verdana" w:hAnsi="Verdana"/>
          <w:bCs/>
          <w:i/>
          <w:color w:val="000000"/>
          <w:sz w:val="20"/>
          <w:lang w:val="bg-BG" w:eastAsia="bg-BG"/>
        </w:rPr>
        <w:t>Поне 10% от общите средства, финансирани от ЕФРР на национално ниво да бъдат разходвани за четвъртата тематична област</w:t>
      </w:r>
      <w:r w:rsidRPr="00796CD0">
        <w:rPr>
          <w:rFonts w:ascii="Verdana" w:hAnsi="Verdana"/>
          <w:bCs/>
          <w:color w:val="000000"/>
          <w:sz w:val="20"/>
          <w:lang w:val="bg-BG" w:eastAsia="bg-BG"/>
        </w:rPr>
        <w:t>.</w:t>
      </w:r>
      <w:r>
        <w:rPr>
          <w:rFonts w:ascii="Verdana" w:hAnsi="Verdana"/>
          <w:bCs/>
          <w:color w:val="000000"/>
          <w:sz w:val="20"/>
          <w:lang w:val="bg-BG" w:eastAsia="bg-BG"/>
        </w:rPr>
        <w:t xml:space="preserve"> ОП НОИР няма пряко </w:t>
      </w:r>
      <w:r>
        <w:rPr>
          <w:rFonts w:ascii="Verdana" w:hAnsi="Verdana"/>
          <w:bCs/>
          <w:color w:val="000000"/>
          <w:sz w:val="20"/>
          <w:lang w:val="bg-BG" w:eastAsia="bg-BG"/>
        </w:rPr>
        <w:lastRenderedPageBreak/>
        <w:t>отношение към изпълнението на тази цел.</w:t>
      </w:r>
    </w:p>
    <w:p w:rsidR="00AD796B" w:rsidRPr="00B45B4F" w:rsidRDefault="00AD796B" w:rsidP="00AD796B">
      <w:pPr>
        <w:widowControl w:val="0"/>
        <w:tabs>
          <w:tab w:val="left" w:pos="0"/>
          <w:tab w:val="right" w:pos="9214"/>
        </w:tabs>
        <w:spacing w:before="120" w:after="0"/>
        <w:jc w:val="both"/>
        <w:rPr>
          <w:rFonts w:ascii="Verdana" w:eastAsia="Times New Roman" w:hAnsi="Verdana"/>
          <w:bCs/>
          <w:color w:val="000000"/>
          <w:sz w:val="20"/>
          <w:szCs w:val="20"/>
          <w:lang w:val="bg-BG" w:eastAsia="bg-BG"/>
        </w:rPr>
      </w:pPr>
    </w:p>
    <w:tbl>
      <w:tblPr>
        <w:tblW w:w="9090" w:type="dxa"/>
        <w:tblInd w:w="108" w:type="dxa"/>
        <w:tblBorders>
          <w:top w:val="single" w:sz="4" w:space="0" w:color="auto"/>
          <w:bottom w:val="single" w:sz="4" w:space="0" w:color="auto"/>
        </w:tblBorders>
        <w:tblLook w:val="04A0" w:firstRow="1" w:lastRow="0" w:firstColumn="1" w:lastColumn="0" w:noHBand="0" w:noVBand="1"/>
      </w:tblPr>
      <w:tblGrid>
        <w:gridCol w:w="567"/>
        <w:gridCol w:w="8523"/>
      </w:tblGrid>
      <w:tr w:rsidR="00AD796B" w:rsidRPr="000071C8" w:rsidTr="004020E1">
        <w:tc>
          <w:tcPr>
            <w:tcW w:w="567" w:type="dxa"/>
            <w:vAlign w:val="center"/>
          </w:tcPr>
          <w:p w:rsidR="00AD796B" w:rsidRPr="00A51D03" w:rsidRDefault="00AD796B" w:rsidP="004020E1">
            <w:pPr>
              <w:spacing w:after="0"/>
              <w:jc w:val="center"/>
              <w:rPr>
                <w:rFonts w:ascii="Verdana" w:eastAsia="Times New Roman" w:hAnsi="Verdana"/>
                <w:color w:val="548DD4"/>
                <w:sz w:val="36"/>
                <w:szCs w:val="36"/>
                <w:lang w:val="bg-BG" w:eastAsia="bg-BG"/>
              </w:rPr>
            </w:pPr>
            <w:r w:rsidRPr="00A51D03">
              <w:rPr>
                <w:rFonts w:ascii="Verdana" w:eastAsia="Times New Roman" w:hAnsi="Verdana"/>
                <w:color w:val="548DD4"/>
                <w:sz w:val="36"/>
                <w:szCs w:val="36"/>
                <w:lang w:val="bg-BG" w:eastAsia="bg-BG"/>
              </w:rPr>
              <w:t>?</w:t>
            </w:r>
          </w:p>
        </w:tc>
        <w:tc>
          <w:tcPr>
            <w:tcW w:w="8523" w:type="dxa"/>
            <w:shd w:val="clear" w:color="auto" w:fill="B8CCE4"/>
          </w:tcPr>
          <w:p w:rsidR="00AD796B" w:rsidRPr="00A51D03" w:rsidRDefault="00AD796B" w:rsidP="004020E1">
            <w:pPr>
              <w:autoSpaceDE w:val="0"/>
              <w:autoSpaceDN w:val="0"/>
              <w:adjustRightInd w:val="0"/>
              <w:spacing w:before="120" w:after="120" w:line="240" w:lineRule="auto"/>
              <w:ind w:left="135"/>
              <w:rPr>
                <w:rFonts w:ascii="Verdana" w:eastAsia="Times New Roman" w:hAnsi="Verdana" w:cs="TimesNewRomanPSMT"/>
                <w:sz w:val="20"/>
                <w:szCs w:val="20"/>
                <w:lang w:val="bg-BG" w:eastAsia="bg-BG"/>
              </w:rPr>
            </w:pPr>
            <w:r w:rsidRPr="00A51D03">
              <w:rPr>
                <w:rFonts w:ascii="Verdana" w:eastAsia="Times New Roman" w:hAnsi="Verdana" w:cs="TimesNewRomanPSMT"/>
                <w:sz w:val="20"/>
                <w:szCs w:val="20"/>
                <w:lang w:val="bg-BG" w:eastAsia="bg-BG"/>
              </w:rPr>
              <w:t>Анализ на дела от финансовия ресурс, насочен към области със стратегическо значение и на степента, в която средствата са насочени директно към идентифицираните в социално-икономическия анализ потребности и предизвикателства</w:t>
            </w:r>
          </w:p>
        </w:tc>
      </w:tr>
    </w:tbl>
    <w:p w:rsidR="00AD796B" w:rsidRDefault="00AD796B" w:rsidP="00AD796B">
      <w:pPr>
        <w:widowControl w:val="0"/>
        <w:tabs>
          <w:tab w:val="left" w:pos="0"/>
          <w:tab w:val="right" w:pos="9214"/>
        </w:tabs>
        <w:spacing w:before="120" w:after="0"/>
        <w:jc w:val="both"/>
        <w:rPr>
          <w:rFonts w:ascii="Verdana" w:eastAsia="Times New Roman" w:hAnsi="Verdana"/>
          <w:bCs/>
          <w:color w:val="000000"/>
          <w:sz w:val="20"/>
          <w:szCs w:val="20"/>
          <w:lang w:val="bg-BG" w:eastAsia="bg-BG"/>
        </w:rPr>
      </w:pPr>
    </w:p>
    <w:p w:rsidR="00AD796B" w:rsidRPr="00B05786" w:rsidRDefault="00AD796B" w:rsidP="00AD796B">
      <w:pPr>
        <w:widowControl w:val="0"/>
        <w:tabs>
          <w:tab w:val="left" w:pos="0"/>
          <w:tab w:val="right" w:pos="9214"/>
        </w:tabs>
        <w:spacing w:before="120" w:after="120"/>
        <w:jc w:val="both"/>
        <w:rPr>
          <w:rFonts w:ascii="Verdana" w:eastAsia="Times New Roman" w:hAnsi="Verdana"/>
          <w:bCs/>
          <w:color w:val="000000"/>
          <w:sz w:val="20"/>
          <w:szCs w:val="20"/>
          <w:lang w:val="bg-BG" w:eastAsia="bg-BG"/>
        </w:rPr>
      </w:pPr>
      <w:r w:rsidRPr="00B05786">
        <w:rPr>
          <w:rFonts w:ascii="Verdana" w:eastAsia="Times New Roman" w:hAnsi="Verdana"/>
          <w:bCs/>
          <w:color w:val="000000"/>
          <w:sz w:val="20"/>
          <w:szCs w:val="20"/>
          <w:lang w:val="bg-BG" w:eastAsia="bg-BG"/>
        </w:rPr>
        <w:t>Областите със стратегическо значение за България, по които ОП НОИР би могла да осигури финансиране, са дефинирани основно в следните няколко стратегически национални и европейски документи:</w:t>
      </w:r>
    </w:p>
    <w:p w:rsidR="00AD796B" w:rsidRPr="00B05786" w:rsidRDefault="00AD796B" w:rsidP="00AD796B">
      <w:pPr>
        <w:pStyle w:val="ListParagraph1"/>
        <w:widowControl w:val="0"/>
        <w:numPr>
          <w:ilvl w:val="0"/>
          <w:numId w:val="60"/>
        </w:numPr>
        <w:tabs>
          <w:tab w:val="left" w:pos="0"/>
          <w:tab w:val="right" w:pos="9214"/>
        </w:tabs>
        <w:spacing w:before="60" w:after="60" w:line="276" w:lineRule="auto"/>
        <w:ind w:left="714" w:hanging="357"/>
        <w:rPr>
          <w:rFonts w:ascii="Verdana" w:hAnsi="Verdana"/>
          <w:bCs/>
          <w:color w:val="000000"/>
          <w:sz w:val="20"/>
          <w:lang w:val="bg-BG" w:eastAsia="bg-BG"/>
        </w:rPr>
      </w:pPr>
      <w:r w:rsidRPr="00B05786">
        <w:rPr>
          <w:rFonts w:ascii="Verdana" w:hAnsi="Verdana"/>
          <w:bCs/>
          <w:color w:val="000000"/>
          <w:sz w:val="20"/>
          <w:lang w:val="bg-BG" w:eastAsia="bg-BG"/>
        </w:rPr>
        <w:t>Европа 2020 - Стратегия на Съюза за интелигентен, устойчив и приобщаващ растеж</w:t>
      </w:r>
      <w:r w:rsidR="00390DD1">
        <w:rPr>
          <w:rFonts w:ascii="Verdana" w:hAnsi="Verdana"/>
          <w:bCs/>
          <w:color w:val="000000"/>
          <w:sz w:val="20"/>
          <w:lang w:val="bg-BG" w:eastAsia="bg-BG"/>
        </w:rPr>
        <w:t>;</w:t>
      </w:r>
    </w:p>
    <w:p w:rsidR="00AD796B" w:rsidRPr="00B05786" w:rsidRDefault="00AD796B" w:rsidP="00AD796B">
      <w:pPr>
        <w:pStyle w:val="ListParagraph1"/>
        <w:widowControl w:val="0"/>
        <w:numPr>
          <w:ilvl w:val="0"/>
          <w:numId w:val="60"/>
        </w:numPr>
        <w:tabs>
          <w:tab w:val="left" w:pos="0"/>
          <w:tab w:val="right" w:pos="9214"/>
        </w:tabs>
        <w:spacing w:before="60" w:after="60" w:line="276" w:lineRule="auto"/>
        <w:ind w:left="714" w:hanging="357"/>
        <w:rPr>
          <w:rFonts w:ascii="Verdana" w:hAnsi="Verdana"/>
          <w:bCs/>
          <w:color w:val="000000"/>
          <w:sz w:val="20"/>
          <w:lang w:val="bg-BG" w:eastAsia="bg-BG"/>
        </w:rPr>
      </w:pPr>
      <w:r w:rsidRPr="00B05786">
        <w:rPr>
          <w:rFonts w:ascii="Verdana" w:hAnsi="Verdana"/>
          <w:bCs/>
          <w:color w:val="000000"/>
          <w:sz w:val="20"/>
          <w:lang w:val="bg-BG" w:eastAsia="bg-BG"/>
        </w:rPr>
        <w:t>Национална програма за реформи на България</w:t>
      </w:r>
      <w:r>
        <w:rPr>
          <w:rFonts w:ascii="Verdana" w:hAnsi="Verdana"/>
          <w:bCs/>
          <w:color w:val="000000"/>
          <w:sz w:val="20"/>
          <w:lang w:val="bg-BG" w:eastAsia="bg-BG"/>
        </w:rPr>
        <w:t xml:space="preserve"> в изпълнение на стратегия „Европа 2020“</w:t>
      </w:r>
      <w:r w:rsidRPr="00B05786">
        <w:rPr>
          <w:rFonts w:ascii="Verdana" w:hAnsi="Verdana"/>
          <w:bCs/>
          <w:color w:val="000000"/>
          <w:sz w:val="20"/>
          <w:lang w:val="bg-BG" w:eastAsia="bg-BG"/>
        </w:rPr>
        <w:t xml:space="preserve">, актуализация </w:t>
      </w:r>
      <w:r w:rsidRPr="00B05786">
        <w:rPr>
          <w:rFonts w:ascii="Verdana" w:hAnsi="Verdana"/>
          <w:sz w:val="20"/>
          <w:lang w:val="bg-BG"/>
        </w:rPr>
        <w:t>201</w:t>
      </w:r>
      <w:r>
        <w:rPr>
          <w:rFonts w:ascii="Verdana" w:hAnsi="Verdana"/>
          <w:sz w:val="20"/>
          <w:lang w:val="bg-BG"/>
        </w:rPr>
        <w:t>4</w:t>
      </w:r>
      <w:r w:rsidRPr="00B05786">
        <w:rPr>
          <w:rFonts w:ascii="Verdana" w:hAnsi="Verdana"/>
          <w:sz w:val="20"/>
          <w:lang w:val="bg-BG"/>
        </w:rPr>
        <w:t xml:space="preserve"> г</w:t>
      </w:r>
      <w:r w:rsidRPr="00B05786">
        <w:rPr>
          <w:rFonts w:ascii="Verdana" w:hAnsi="Verdana"/>
          <w:bCs/>
          <w:color w:val="000000"/>
          <w:sz w:val="20"/>
          <w:lang w:val="bg-BG" w:eastAsia="bg-BG"/>
        </w:rPr>
        <w:t>.</w:t>
      </w:r>
      <w:r w:rsidR="00390DD1">
        <w:rPr>
          <w:rFonts w:ascii="Verdana" w:hAnsi="Verdana"/>
          <w:bCs/>
          <w:color w:val="000000"/>
          <w:sz w:val="20"/>
          <w:lang w:val="bg-BG" w:eastAsia="bg-BG"/>
        </w:rPr>
        <w:t>;</w:t>
      </w:r>
    </w:p>
    <w:p w:rsidR="00AD796B" w:rsidRPr="00B05786" w:rsidRDefault="00AD796B" w:rsidP="00AD796B">
      <w:pPr>
        <w:pStyle w:val="ListParagraph1"/>
        <w:widowControl w:val="0"/>
        <w:numPr>
          <w:ilvl w:val="0"/>
          <w:numId w:val="60"/>
        </w:numPr>
        <w:tabs>
          <w:tab w:val="left" w:pos="0"/>
          <w:tab w:val="right" w:pos="9214"/>
        </w:tabs>
        <w:spacing w:before="60" w:after="60" w:line="276" w:lineRule="auto"/>
        <w:ind w:left="714" w:hanging="357"/>
        <w:rPr>
          <w:rFonts w:ascii="Verdana" w:hAnsi="Verdana"/>
          <w:bCs/>
          <w:color w:val="000000"/>
          <w:sz w:val="20"/>
          <w:lang w:val="bg-BG" w:eastAsia="bg-BG"/>
        </w:rPr>
      </w:pPr>
      <w:r w:rsidRPr="00B05786">
        <w:rPr>
          <w:rFonts w:ascii="Verdana" w:hAnsi="Verdana"/>
          <w:bCs/>
          <w:color w:val="000000"/>
          <w:sz w:val="20"/>
          <w:lang w:val="bg-BG" w:eastAsia="bg-BG"/>
        </w:rPr>
        <w:t>Споразумение за партньорство на Република България, очертаващо помощта от европейските структурни и инвестиционни фондове за периода 2014-2020</w:t>
      </w:r>
      <w:r w:rsidR="00390DD1">
        <w:rPr>
          <w:rFonts w:ascii="Verdana" w:hAnsi="Verdana"/>
          <w:bCs/>
          <w:color w:val="000000"/>
          <w:sz w:val="20"/>
          <w:lang w:val="bg-BG" w:eastAsia="bg-BG"/>
        </w:rPr>
        <w:t> </w:t>
      </w:r>
      <w:r w:rsidRPr="00B05786">
        <w:rPr>
          <w:rFonts w:ascii="Verdana" w:hAnsi="Verdana"/>
          <w:bCs/>
          <w:color w:val="000000"/>
          <w:sz w:val="20"/>
          <w:lang w:val="bg-BG" w:eastAsia="bg-BG"/>
        </w:rPr>
        <w:t>г.</w:t>
      </w:r>
      <w:r w:rsidR="00390DD1">
        <w:rPr>
          <w:rFonts w:ascii="Verdana" w:hAnsi="Verdana"/>
          <w:bCs/>
          <w:color w:val="000000"/>
          <w:sz w:val="20"/>
          <w:lang w:val="bg-BG" w:eastAsia="bg-BG"/>
        </w:rPr>
        <w:t>;</w:t>
      </w:r>
    </w:p>
    <w:p w:rsidR="00AD796B" w:rsidRPr="00B05786" w:rsidRDefault="00AD796B" w:rsidP="00AD796B">
      <w:pPr>
        <w:pStyle w:val="ListParagraph1"/>
        <w:widowControl w:val="0"/>
        <w:numPr>
          <w:ilvl w:val="0"/>
          <w:numId w:val="60"/>
        </w:numPr>
        <w:tabs>
          <w:tab w:val="left" w:pos="0"/>
          <w:tab w:val="right" w:pos="9214"/>
        </w:tabs>
        <w:spacing w:before="60" w:after="60" w:line="276" w:lineRule="auto"/>
        <w:ind w:left="714" w:hanging="357"/>
        <w:rPr>
          <w:rFonts w:ascii="Verdana" w:hAnsi="Verdana"/>
          <w:bCs/>
          <w:color w:val="000000"/>
          <w:sz w:val="20"/>
          <w:lang w:val="bg-BG" w:eastAsia="bg-BG"/>
        </w:rPr>
      </w:pPr>
      <w:r w:rsidRPr="00B05786">
        <w:rPr>
          <w:rFonts w:ascii="Verdana" w:hAnsi="Verdana"/>
          <w:bCs/>
          <w:color w:val="000000"/>
          <w:sz w:val="20"/>
          <w:lang w:val="bg-BG" w:eastAsia="bg-BG"/>
        </w:rPr>
        <w:t>Становище на службите на Комисията относно разработването на Споразумение за партньорство и програми в България за периода 2014—2020</w:t>
      </w:r>
      <w:r w:rsidR="00390DD1">
        <w:rPr>
          <w:rFonts w:ascii="Verdana" w:hAnsi="Verdana"/>
          <w:bCs/>
          <w:color w:val="000000"/>
          <w:sz w:val="20"/>
          <w:lang w:val="bg-BG" w:eastAsia="bg-BG"/>
        </w:rPr>
        <w:t> </w:t>
      </w:r>
      <w:r w:rsidRPr="00B05786">
        <w:rPr>
          <w:rFonts w:ascii="Verdana" w:hAnsi="Verdana"/>
          <w:bCs/>
          <w:color w:val="000000"/>
          <w:sz w:val="20"/>
          <w:lang w:val="bg-BG" w:eastAsia="bg-BG"/>
        </w:rPr>
        <w:t>г.</w:t>
      </w:r>
      <w:r w:rsidR="00390DD1">
        <w:rPr>
          <w:rFonts w:ascii="Verdana" w:hAnsi="Verdana"/>
          <w:bCs/>
          <w:color w:val="000000"/>
          <w:sz w:val="20"/>
          <w:lang w:val="bg-BG" w:eastAsia="bg-BG"/>
        </w:rPr>
        <w:t>;</w:t>
      </w:r>
    </w:p>
    <w:p w:rsidR="00AD796B" w:rsidRPr="00B05786" w:rsidRDefault="00AD796B" w:rsidP="00AD796B">
      <w:pPr>
        <w:pStyle w:val="ListParagraph1"/>
        <w:widowControl w:val="0"/>
        <w:numPr>
          <w:ilvl w:val="0"/>
          <w:numId w:val="60"/>
        </w:numPr>
        <w:tabs>
          <w:tab w:val="left" w:pos="0"/>
          <w:tab w:val="right" w:pos="9214"/>
        </w:tabs>
        <w:spacing w:before="60" w:after="60" w:line="276" w:lineRule="auto"/>
        <w:ind w:left="714" w:hanging="357"/>
        <w:rPr>
          <w:rFonts w:ascii="Verdana" w:hAnsi="Verdana"/>
          <w:bCs/>
          <w:color w:val="000000"/>
          <w:sz w:val="20"/>
          <w:lang w:val="bg-BG" w:eastAsia="bg-BG"/>
        </w:rPr>
      </w:pPr>
      <w:r w:rsidRPr="00B05786">
        <w:rPr>
          <w:rFonts w:ascii="Verdana" w:hAnsi="Verdana"/>
          <w:bCs/>
          <w:color w:val="000000"/>
          <w:sz w:val="20"/>
          <w:lang w:val="bg-BG" w:eastAsia="bg-BG"/>
        </w:rPr>
        <w:t>Национална програма за развитие: България 2020</w:t>
      </w:r>
      <w:r w:rsidR="00390DD1">
        <w:rPr>
          <w:rFonts w:ascii="Verdana" w:hAnsi="Verdana"/>
          <w:bCs/>
          <w:color w:val="000000"/>
          <w:sz w:val="20"/>
          <w:lang w:val="bg-BG" w:eastAsia="bg-BG"/>
        </w:rPr>
        <w:t>;</w:t>
      </w:r>
    </w:p>
    <w:p w:rsidR="00AD796B" w:rsidRPr="00B05786" w:rsidRDefault="00AD796B" w:rsidP="00AD796B">
      <w:pPr>
        <w:pStyle w:val="ListParagraph1"/>
        <w:widowControl w:val="0"/>
        <w:numPr>
          <w:ilvl w:val="0"/>
          <w:numId w:val="60"/>
        </w:numPr>
        <w:tabs>
          <w:tab w:val="left" w:pos="0"/>
          <w:tab w:val="right" w:pos="9214"/>
        </w:tabs>
        <w:spacing w:before="60" w:after="60" w:line="276" w:lineRule="auto"/>
        <w:ind w:left="714" w:hanging="357"/>
        <w:rPr>
          <w:rFonts w:ascii="Verdana" w:hAnsi="Verdana"/>
          <w:bCs/>
          <w:color w:val="000000"/>
          <w:sz w:val="20"/>
          <w:lang w:val="bg-BG" w:eastAsia="bg-BG"/>
        </w:rPr>
      </w:pPr>
      <w:r w:rsidRPr="00B05786">
        <w:rPr>
          <w:rFonts w:ascii="Verdana" w:hAnsi="Verdana"/>
          <w:bCs/>
          <w:color w:val="000000"/>
          <w:sz w:val="20"/>
          <w:lang w:val="bg-BG" w:eastAsia="bg-BG"/>
        </w:rPr>
        <w:t xml:space="preserve">1303/2013 Регламент на Европейския парламент и на Съвета за определяне на </w:t>
      </w:r>
      <w:proofErr w:type="spellStart"/>
      <w:r w:rsidRPr="00B05786">
        <w:rPr>
          <w:rFonts w:ascii="Verdana" w:hAnsi="Verdana"/>
          <w:bCs/>
          <w:color w:val="000000"/>
          <w:sz w:val="20"/>
          <w:lang w:val="bg-BG" w:eastAsia="bg-BG"/>
        </w:rPr>
        <w:t>общоприложими</w:t>
      </w:r>
      <w:proofErr w:type="spellEnd"/>
      <w:r w:rsidRPr="00B05786">
        <w:rPr>
          <w:rFonts w:ascii="Verdana" w:hAnsi="Verdana"/>
          <w:bCs/>
          <w:color w:val="000000"/>
          <w:sz w:val="20"/>
          <w:lang w:val="bg-BG" w:eastAsia="bg-BG"/>
        </w:rPr>
        <w:t xml:space="preserve"> разпоредби за ЕФРР, ЕСФ, КФ, ЕЗФРСР, ЕФМДР, обхванати от ОСР и за определяне на общи разпоредби за ЕФРР, ЕСФ, КФ и Елементи за обща стратегическа рамка за периода 2014 — 2020 г.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w:t>
      </w:r>
      <w:r w:rsidR="00390DD1">
        <w:rPr>
          <w:rFonts w:ascii="Verdana" w:hAnsi="Verdana"/>
          <w:bCs/>
          <w:color w:val="000000"/>
          <w:sz w:val="20"/>
          <w:lang w:val="bg-BG" w:eastAsia="bg-BG"/>
        </w:rPr>
        <w:t>;</w:t>
      </w:r>
    </w:p>
    <w:p w:rsidR="00AD796B" w:rsidRPr="00B05786" w:rsidRDefault="00AD796B" w:rsidP="00AD796B">
      <w:pPr>
        <w:pStyle w:val="ListParagraph1"/>
        <w:widowControl w:val="0"/>
        <w:numPr>
          <w:ilvl w:val="0"/>
          <w:numId w:val="60"/>
        </w:numPr>
        <w:tabs>
          <w:tab w:val="left" w:pos="0"/>
          <w:tab w:val="right" w:pos="9214"/>
        </w:tabs>
        <w:spacing w:before="60" w:after="60" w:line="276" w:lineRule="auto"/>
        <w:ind w:left="714" w:hanging="357"/>
        <w:rPr>
          <w:rFonts w:ascii="Verdana" w:hAnsi="Verdana"/>
          <w:bCs/>
          <w:color w:val="000000"/>
          <w:sz w:val="20"/>
          <w:lang w:val="bg-BG" w:eastAsia="bg-BG"/>
        </w:rPr>
      </w:pPr>
      <w:r w:rsidRPr="00B05786">
        <w:rPr>
          <w:rFonts w:ascii="Verdana" w:hAnsi="Verdana"/>
          <w:bCs/>
          <w:color w:val="000000"/>
          <w:sz w:val="20"/>
          <w:lang w:val="bg-BG" w:eastAsia="bg-BG"/>
        </w:rPr>
        <w:t>1304/2013 Регламент на Европейския парламент и на Съвета относно Европейския социален фонд и за отмяна на Регламент (ЕО) № 1081/2006 на Съвета.</w:t>
      </w:r>
    </w:p>
    <w:p w:rsidR="00AD796B" w:rsidRPr="00B05786" w:rsidRDefault="00AD796B" w:rsidP="00AD796B">
      <w:pPr>
        <w:widowControl w:val="0"/>
        <w:tabs>
          <w:tab w:val="left" w:pos="0"/>
          <w:tab w:val="right" w:pos="9214"/>
        </w:tabs>
        <w:spacing w:before="120" w:after="120"/>
        <w:jc w:val="both"/>
        <w:rPr>
          <w:rFonts w:ascii="Verdana" w:eastAsia="Times New Roman" w:hAnsi="Verdana"/>
          <w:bCs/>
          <w:color w:val="000000"/>
          <w:sz w:val="20"/>
          <w:szCs w:val="20"/>
          <w:lang w:val="bg-BG" w:eastAsia="bg-BG"/>
        </w:rPr>
      </w:pPr>
      <w:r w:rsidRPr="00B05786">
        <w:rPr>
          <w:rFonts w:ascii="Verdana" w:eastAsia="Times New Roman" w:hAnsi="Verdana"/>
          <w:bCs/>
          <w:color w:val="000000"/>
          <w:sz w:val="20"/>
          <w:szCs w:val="20"/>
          <w:lang w:val="bg-BG" w:eastAsia="bg-BG"/>
        </w:rPr>
        <w:t xml:space="preserve">Като цяло, само няколко от изброените по-горе стратегически документи съдържат оценка на финансовото изражение на идентифицираните нужди и предложените области на интервенция. </w:t>
      </w:r>
      <w:r w:rsidR="00B045AA">
        <w:rPr>
          <w:rFonts w:ascii="Verdana" w:eastAsia="Times New Roman" w:hAnsi="Verdana"/>
          <w:bCs/>
          <w:color w:val="000000"/>
          <w:sz w:val="20"/>
          <w:szCs w:val="20"/>
          <w:lang w:val="bg-BG" w:eastAsia="bg-BG"/>
        </w:rPr>
        <w:t>Споразумението за партньорство</w:t>
      </w:r>
      <w:r w:rsidRPr="00B05786">
        <w:rPr>
          <w:rFonts w:ascii="Verdana" w:eastAsia="Times New Roman" w:hAnsi="Verdana"/>
          <w:bCs/>
          <w:color w:val="000000"/>
          <w:sz w:val="20"/>
          <w:szCs w:val="20"/>
          <w:lang w:val="bg-BG" w:eastAsia="bg-BG"/>
        </w:rPr>
        <w:t xml:space="preserve"> задава разпределение на финансовия ресурс по ЕСИФ по тематични цели и оперативни програми, което значително намалява възможността за п</w:t>
      </w:r>
      <w:r>
        <w:rPr>
          <w:rFonts w:ascii="Verdana" w:eastAsia="Times New Roman" w:hAnsi="Verdana"/>
          <w:bCs/>
          <w:color w:val="000000"/>
          <w:sz w:val="20"/>
          <w:szCs w:val="20"/>
          <w:lang w:val="bg-BG" w:eastAsia="bg-BG"/>
        </w:rPr>
        <w:t>реразпределяне на бюджета на ОПНОИР</w:t>
      </w:r>
      <w:r w:rsidRPr="00B05786">
        <w:rPr>
          <w:rFonts w:ascii="Verdana" w:eastAsia="Times New Roman" w:hAnsi="Verdana"/>
          <w:bCs/>
          <w:color w:val="000000"/>
          <w:sz w:val="20"/>
          <w:szCs w:val="20"/>
          <w:lang w:val="bg-BG" w:eastAsia="bg-BG"/>
        </w:rPr>
        <w:t xml:space="preserve"> 2014-2020 г. Причината за това е, че всяка ос на ОП</w:t>
      </w:r>
      <w:r>
        <w:rPr>
          <w:rFonts w:ascii="Verdana" w:eastAsia="Times New Roman" w:hAnsi="Verdana"/>
          <w:bCs/>
          <w:color w:val="000000"/>
          <w:sz w:val="20"/>
          <w:szCs w:val="20"/>
          <w:lang w:val="bg-BG" w:eastAsia="bg-BG"/>
        </w:rPr>
        <w:t>НОИР</w:t>
      </w:r>
      <w:r w:rsidRPr="00B05786">
        <w:rPr>
          <w:rFonts w:ascii="Verdana" w:eastAsia="Times New Roman" w:hAnsi="Verdana"/>
          <w:bCs/>
          <w:color w:val="000000"/>
          <w:sz w:val="20"/>
          <w:szCs w:val="20"/>
          <w:lang w:val="bg-BG" w:eastAsia="bg-BG"/>
        </w:rPr>
        <w:t xml:space="preserve"> 2014-2020 г. отговаря на една тематична цел</w:t>
      </w:r>
      <w:r>
        <w:rPr>
          <w:rFonts w:ascii="Verdana" w:eastAsia="Times New Roman" w:hAnsi="Verdana"/>
          <w:bCs/>
          <w:color w:val="000000"/>
          <w:sz w:val="20"/>
          <w:szCs w:val="20"/>
          <w:lang w:val="bg-BG" w:eastAsia="bg-BG"/>
        </w:rPr>
        <w:t>, а в случая с ПО 1, и на отделен фонд.</w:t>
      </w:r>
    </w:p>
    <w:p w:rsidR="00AD796B" w:rsidRPr="00B05786" w:rsidRDefault="00AD796B" w:rsidP="00AD796B">
      <w:pPr>
        <w:widowControl w:val="0"/>
        <w:tabs>
          <w:tab w:val="left" w:pos="0"/>
          <w:tab w:val="right" w:pos="9214"/>
        </w:tabs>
        <w:spacing w:before="120" w:after="0"/>
        <w:jc w:val="both"/>
        <w:rPr>
          <w:rFonts w:ascii="Verdana" w:eastAsia="Times New Roman" w:hAnsi="Verdana"/>
          <w:bCs/>
          <w:color w:val="000000"/>
          <w:sz w:val="20"/>
          <w:szCs w:val="20"/>
          <w:lang w:val="bg-BG" w:eastAsia="bg-BG"/>
        </w:rPr>
      </w:pPr>
      <w:r>
        <w:rPr>
          <w:rFonts w:ascii="Verdana" w:eastAsia="Times New Roman" w:hAnsi="Verdana"/>
          <w:bCs/>
          <w:color w:val="000000"/>
          <w:sz w:val="20"/>
          <w:szCs w:val="20"/>
          <w:lang w:val="bg-BG" w:eastAsia="bg-BG"/>
        </w:rPr>
        <w:t xml:space="preserve">Директно съпоставяне на </w:t>
      </w:r>
      <w:r w:rsidRPr="00B05786">
        <w:rPr>
          <w:rFonts w:ascii="Verdana" w:eastAsia="Times New Roman" w:hAnsi="Verdana"/>
          <w:bCs/>
          <w:color w:val="000000"/>
          <w:sz w:val="20"/>
          <w:szCs w:val="20"/>
          <w:lang w:val="bg-BG" w:eastAsia="bg-BG"/>
        </w:rPr>
        <w:t>заложен</w:t>
      </w:r>
      <w:r>
        <w:rPr>
          <w:rFonts w:ascii="Verdana" w:eastAsia="Times New Roman" w:hAnsi="Verdana"/>
          <w:bCs/>
          <w:color w:val="000000"/>
          <w:sz w:val="20"/>
          <w:szCs w:val="20"/>
          <w:lang w:val="bg-BG" w:eastAsia="bg-BG"/>
        </w:rPr>
        <w:t>ото в програмния документ на ОПНОИР</w:t>
      </w:r>
      <w:r w:rsidRPr="00B05786">
        <w:rPr>
          <w:rFonts w:ascii="Verdana" w:eastAsia="Times New Roman" w:hAnsi="Verdana"/>
          <w:bCs/>
          <w:color w:val="000000"/>
          <w:sz w:val="20"/>
          <w:szCs w:val="20"/>
          <w:lang w:val="bg-BG" w:eastAsia="bg-BG"/>
        </w:rPr>
        <w:t xml:space="preserve"> 2014-2020 г. и Споразумението за партньорство разпределение по тематични цели с финансовото изражение на приоритетите на Националната програма за развит</w:t>
      </w:r>
      <w:r>
        <w:rPr>
          <w:rFonts w:ascii="Verdana" w:eastAsia="Times New Roman" w:hAnsi="Verdana"/>
          <w:bCs/>
          <w:color w:val="000000"/>
          <w:sz w:val="20"/>
          <w:szCs w:val="20"/>
          <w:lang w:val="bg-BG" w:eastAsia="bg-BG"/>
        </w:rPr>
        <w:t xml:space="preserve">ие: </w:t>
      </w:r>
      <w:r>
        <w:rPr>
          <w:rFonts w:ascii="Verdana" w:eastAsia="Times New Roman" w:hAnsi="Verdana"/>
          <w:bCs/>
          <w:color w:val="000000"/>
          <w:sz w:val="20"/>
          <w:szCs w:val="20"/>
          <w:lang w:val="bg-BG" w:eastAsia="bg-BG"/>
        </w:rPr>
        <w:lastRenderedPageBreak/>
        <w:t>България 2020 (НПР:БГ 2020) е трудно да бъде направено</w:t>
      </w:r>
      <w:r w:rsidRPr="00B05786">
        <w:rPr>
          <w:rFonts w:ascii="Verdana" w:eastAsia="Times New Roman" w:hAnsi="Verdana"/>
          <w:bCs/>
          <w:color w:val="000000"/>
          <w:sz w:val="20"/>
          <w:szCs w:val="20"/>
          <w:lang w:val="bg-BG" w:eastAsia="bg-BG"/>
        </w:rPr>
        <w:t>.</w:t>
      </w:r>
      <w:r>
        <w:rPr>
          <w:rFonts w:ascii="Verdana" w:eastAsia="Times New Roman" w:hAnsi="Verdana"/>
          <w:bCs/>
          <w:color w:val="000000"/>
          <w:sz w:val="20"/>
          <w:szCs w:val="20"/>
          <w:lang w:val="bg-BG" w:eastAsia="bg-BG"/>
        </w:rPr>
        <w:t xml:space="preserve"> Причината за това е, че по тези приоритетни области за инвестиции, се предвиждат и съществени интервенции и по други оперативни програми, основно по ОПРЧР и ОП „Иновации и Конкурентоспособност“.</w:t>
      </w:r>
    </w:p>
    <w:p w:rsidR="00AD796B" w:rsidRPr="00B05786" w:rsidRDefault="00AD796B" w:rsidP="00AD796B">
      <w:pPr>
        <w:widowControl w:val="0"/>
        <w:tabs>
          <w:tab w:val="left" w:pos="0"/>
          <w:tab w:val="right" w:pos="9214"/>
        </w:tabs>
        <w:spacing w:before="120" w:after="0"/>
        <w:jc w:val="both"/>
        <w:rPr>
          <w:rFonts w:ascii="Verdana" w:eastAsia="Times New Roman" w:hAnsi="Verdana"/>
          <w:bCs/>
          <w:color w:val="000000"/>
          <w:sz w:val="20"/>
          <w:szCs w:val="20"/>
          <w:lang w:val="bg-BG" w:eastAsia="bg-BG"/>
        </w:rPr>
      </w:pPr>
      <w:r w:rsidRPr="00B05786">
        <w:rPr>
          <w:rFonts w:ascii="Verdana" w:eastAsia="Times New Roman" w:hAnsi="Verdana"/>
          <w:bCs/>
          <w:color w:val="000000"/>
          <w:sz w:val="20"/>
          <w:szCs w:val="20"/>
          <w:lang w:val="bg-BG" w:eastAsia="bg-BG"/>
        </w:rPr>
        <w:t xml:space="preserve">В рамките на НПР: БГ 2020 ОП </w:t>
      </w:r>
      <w:r>
        <w:rPr>
          <w:rFonts w:ascii="Verdana" w:eastAsia="Times New Roman" w:hAnsi="Verdana"/>
          <w:bCs/>
          <w:color w:val="000000"/>
          <w:sz w:val="20"/>
          <w:szCs w:val="20"/>
          <w:lang w:val="bg-BG" w:eastAsia="bg-BG"/>
        </w:rPr>
        <w:t>НОИР</w:t>
      </w:r>
      <w:r w:rsidRPr="00B05786">
        <w:rPr>
          <w:rFonts w:ascii="Verdana" w:eastAsia="Times New Roman" w:hAnsi="Verdana"/>
          <w:bCs/>
          <w:color w:val="000000"/>
          <w:sz w:val="20"/>
          <w:szCs w:val="20"/>
          <w:lang w:val="bg-BG" w:eastAsia="bg-BG"/>
        </w:rPr>
        <w:t xml:space="preserve"> има отношение към постигането най-вече на следните приоритети на НПР:БГ 2020:</w:t>
      </w:r>
    </w:p>
    <w:p w:rsidR="00AD796B" w:rsidRDefault="00AD796B" w:rsidP="00AD796B">
      <w:pPr>
        <w:widowControl w:val="0"/>
        <w:tabs>
          <w:tab w:val="left" w:pos="360"/>
          <w:tab w:val="right" w:pos="9214"/>
        </w:tabs>
        <w:spacing w:before="120" w:after="0"/>
        <w:ind w:left="360"/>
        <w:jc w:val="both"/>
        <w:rPr>
          <w:rFonts w:ascii="Verdana" w:eastAsia="Times New Roman" w:hAnsi="Verdana"/>
          <w:bCs/>
          <w:color w:val="000000"/>
          <w:sz w:val="20"/>
          <w:szCs w:val="20"/>
          <w:lang w:val="bg-BG" w:eastAsia="bg-BG"/>
        </w:rPr>
      </w:pPr>
      <w:r w:rsidRPr="00B05786">
        <w:rPr>
          <w:rFonts w:ascii="Verdana" w:eastAsia="Times New Roman" w:hAnsi="Verdana"/>
          <w:bCs/>
          <w:color w:val="000000"/>
          <w:sz w:val="20"/>
          <w:szCs w:val="20"/>
          <w:lang w:val="bg-BG" w:eastAsia="bg-BG"/>
        </w:rPr>
        <w:t>1. Подобряване на достъпа и повишаване на качеството на образованието и обучението и качествените х</w:t>
      </w:r>
      <w:r w:rsidR="00390DD1">
        <w:rPr>
          <w:rFonts w:ascii="Verdana" w:eastAsia="Times New Roman" w:hAnsi="Verdana"/>
          <w:bCs/>
          <w:color w:val="000000"/>
          <w:sz w:val="20"/>
          <w:szCs w:val="20"/>
          <w:lang w:val="bg-BG" w:eastAsia="bg-BG"/>
        </w:rPr>
        <w:t>арактеристики на работната сила;</w:t>
      </w:r>
    </w:p>
    <w:p w:rsidR="00AD796B" w:rsidRPr="00B05786" w:rsidRDefault="00AD796B" w:rsidP="00AD796B">
      <w:pPr>
        <w:widowControl w:val="0"/>
        <w:tabs>
          <w:tab w:val="left" w:pos="360"/>
          <w:tab w:val="right" w:pos="9214"/>
        </w:tabs>
        <w:spacing w:before="120" w:after="0"/>
        <w:ind w:left="360"/>
        <w:jc w:val="both"/>
        <w:rPr>
          <w:rFonts w:ascii="Verdana" w:eastAsia="Times New Roman" w:hAnsi="Verdana"/>
          <w:bCs/>
          <w:color w:val="000000"/>
          <w:sz w:val="20"/>
          <w:szCs w:val="20"/>
          <w:lang w:val="bg-BG" w:eastAsia="bg-BG"/>
        </w:rPr>
      </w:pPr>
      <w:r>
        <w:rPr>
          <w:rFonts w:ascii="Verdana" w:eastAsia="Times New Roman" w:hAnsi="Verdana"/>
          <w:bCs/>
          <w:color w:val="000000"/>
          <w:sz w:val="20"/>
          <w:szCs w:val="20"/>
          <w:lang w:val="bg-BG" w:eastAsia="bg-BG"/>
        </w:rPr>
        <w:t xml:space="preserve">2. </w:t>
      </w:r>
      <w:r w:rsidRPr="0018694D">
        <w:rPr>
          <w:rFonts w:ascii="Verdana" w:eastAsia="Times New Roman" w:hAnsi="Verdana"/>
          <w:bCs/>
          <w:color w:val="000000"/>
          <w:sz w:val="20"/>
          <w:szCs w:val="20"/>
          <w:lang w:val="bg-BG" w:eastAsia="bg-BG"/>
        </w:rPr>
        <w:t>Намаляване на бедността и насърчаване на социалното включване</w:t>
      </w:r>
      <w:r w:rsidR="00390DD1">
        <w:rPr>
          <w:rFonts w:ascii="Verdana" w:eastAsia="Times New Roman" w:hAnsi="Verdana"/>
          <w:bCs/>
          <w:color w:val="000000"/>
          <w:sz w:val="20"/>
          <w:szCs w:val="20"/>
          <w:lang w:val="bg-BG" w:eastAsia="bg-BG"/>
        </w:rPr>
        <w:t>;</w:t>
      </w:r>
    </w:p>
    <w:p w:rsidR="00AD796B" w:rsidRDefault="00AD796B" w:rsidP="00AD796B">
      <w:pPr>
        <w:widowControl w:val="0"/>
        <w:tabs>
          <w:tab w:val="left" w:pos="360"/>
          <w:tab w:val="right" w:pos="9214"/>
        </w:tabs>
        <w:spacing w:before="120" w:after="0"/>
        <w:ind w:left="360"/>
        <w:jc w:val="both"/>
        <w:rPr>
          <w:rFonts w:ascii="Verdana" w:eastAsia="Times New Roman" w:hAnsi="Verdana"/>
          <w:bCs/>
          <w:color w:val="000000"/>
          <w:sz w:val="20"/>
          <w:szCs w:val="20"/>
          <w:lang w:val="bg-BG" w:eastAsia="bg-BG"/>
        </w:rPr>
      </w:pPr>
      <w:r w:rsidRPr="004D26B9">
        <w:rPr>
          <w:rFonts w:ascii="Verdana" w:eastAsia="Times New Roman" w:hAnsi="Verdana"/>
          <w:bCs/>
          <w:color w:val="000000"/>
          <w:sz w:val="20"/>
          <w:szCs w:val="20"/>
          <w:lang w:val="bg-BG" w:eastAsia="bg-BG"/>
        </w:rPr>
        <w:t>5. Подкрепа на иновационните и инвестиционни дейности за повишаване на конкурентоспособността на икономиката.</w:t>
      </w:r>
    </w:p>
    <w:p w:rsidR="00AD796B" w:rsidRDefault="00AD796B" w:rsidP="00AD796B">
      <w:pPr>
        <w:widowControl w:val="0"/>
        <w:tabs>
          <w:tab w:val="left" w:pos="0"/>
          <w:tab w:val="right" w:pos="9214"/>
        </w:tabs>
        <w:spacing w:before="120" w:after="0"/>
        <w:jc w:val="both"/>
        <w:rPr>
          <w:rFonts w:ascii="Verdana" w:eastAsia="Times New Roman" w:hAnsi="Verdana"/>
          <w:bCs/>
          <w:color w:val="000000"/>
          <w:sz w:val="20"/>
          <w:szCs w:val="20"/>
          <w:lang w:val="bg-BG" w:eastAsia="bg-BG"/>
        </w:rPr>
      </w:pPr>
      <w:r w:rsidRPr="00B05786">
        <w:rPr>
          <w:rFonts w:ascii="Verdana" w:eastAsia="Times New Roman" w:hAnsi="Verdana"/>
          <w:bCs/>
          <w:color w:val="000000"/>
          <w:sz w:val="20"/>
          <w:szCs w:val="20"/>
          <w:lang w:val="bg-BG" w:eastAsia="bg-BG"/>
        </w:rPr>
        <w:t>Финансовото разпределение в Споразумението за партньорство, което до голя</w:t>
      </w:r>
      <w:r>
        <w:rPr>
          <w:rFonts w:ascii="Verdana" w:eastAsia="Times New Roman" w:hAnsi="Verdana"/>
          <w:bCs/>
          <w:color w:val="000000"/>
          <w:sz w:val="20"/>
          <w:szCs w:val="20"/>
          <w:lang w:val="bg-BG" w:eastAsia="bg-BG"/>
        </w:rPr>
        <w:t>ма степен определя и това на ОПНОИР (към ТЦ1 трябва да бъдат отчетени и заделените средства по ОПИК)</w:t>
      </w:r>
      <w:r w:rsidRPr="00B05786">
        <w:rPr>
          <w:rFonts w:ascii="Verdana" w:eastAsia="Times New Roman" w:hAnsi="Verdana"/>
          <w:bCs/>
          <w:color w:val="000000"/>
          <w:sz w:val="20"/>
          <w:szCs w:val="20"/>
          <w:lang w:val="bg-BG" w:eastAsia="bg-BG"/>
        </w:rPr>
        <w:t xml:space="preserve">, предполага за </w:t>
      </w:r>
      <w:r>
        <w:rPr>
          <w:rFonts w:ascii="Verdana" w:eastAsia="Times New Roman" w:hAnsi="Verdana"/>
          <w:bCs/>
          <w:color w:val="000000"/>
          <w:sz w:val="20"/>
          <w:szCs w:val="20"/>
          <w:lang w:val="bg-BG" w:eastAsia="bg-BG"/>
        </w:rPr>
        <w:t>ТЦ 1, 9 и 10</w:t>
      </w:r>
      <w:r w:rsidRPr="00B05786">
        <w:rPr>
          <w:rFonts w:ascii="Verdana" w:eastAsia="Times New Roman" w:hAnsi="Verdana"/>
          <w:bCs/>
          <w:color w:val="000000"/>
          <w:sz w:val="20"/>
          <w:szCs w:val="20"/>
          <w:lang w:val="bg-BG" w:eastAsia="bg-BG"/>
        </w:rPr>
        <w:t xml:space="preserve"> </w:t>
      </w:r>
      <w:r>
        <w:rPr>
          <w:rFonts w:ascii="Verdana" w:eastAsia="Times New Roman" w:hAnsi="Verdana"/>
          <w:bCs/>
          <w:color w:val="000000"/>
          <w:sz w:val="20"/>
          <w:szCs w:val="20"/>
          <w:lang w:val="bg-BG" w:eastAsia="bg-BG"/>
        </w:rPr>
        <w:t>да</w:t>
      </w:r>
      <w:r w:rsidRPr="00B05786">
        <w:rPr>
          <w:rFonts w:ascii="Verdana" w:eastAsia="Times New Roman" w:hAnsi="Verdana"/>
          <w:bCs/>
          <w:color w:val="000000"/>
          <w:sz w:val="20"/>
          <w:szCs w:val="20"/>
          <w:lang w:val="bg-BG" w:eastAsia="bg-BG"/>
        </w:rPr>
        <w:t xml:space="preserve"> бъдат изразходени общо </w:t>
      </w:r>
      <w:r>
        <w:rPr>
          <w:rFonts w:ascii="Verdana" w:eastAsia="Times New Roman" w:hAnsi="Verdana"/>
          <w:bCs/>
          <w:color w:val="000000"/>
          <w:sz w:val="20"/>
          <w:szCs w:val="20"/>
          <w:lang w:val="bg-BG" w:eastAsia="bg-BG"/>
        </w:rPr>
        <w:t>23</w:t>
      </w:r>
      <w:r w:rsidRPr="00B05786">
        <w:rPr>
          <w:rFonts w:ascii="Verdana" w:eastAsia="Times New Roman" w:hAnsi="Verdana"/>
          <w:bCs/>
          <w:color w:val="000000"/>
          <w:sz w:val="20"/>
          <w:szCs w:val="20"/>
          <w:lang w:val="bg-BG" w:eastAsia="bg-BG"/>
        </w:rPr>
        <w:t xml:space="preserve">% от всички европейски средства, което </w:t>
      </w:r>
      <w:r>
        <w:rPr>
          <w:rFonts w:ascii="Verdana" w:eastAsia="Times New Roman" w:hAnsi="Verdana"/>
          <w:bCs/>
          <w:color w:val="000000"/>
          <w:sz w:val="20"/>
          <w:szCs w:val="20"/>
          <w:lang w:val="bg-BG" w:eastAsia="bg-BG"/>
        </w:rPr>
        <w:t xml:space="preserve">е по-ниско, но съпоставимо на </w:t>
      </w:r>
      <w:r w:rsidRPr="00B05786">
        <w:rPr>
          <w:rFonts w:ascii="Verdana" w:eastAsia="Times New Roman" w:hAnsi="Verdana"/>
          <w:bCs/>
          <w:color w:val="000000"/>
          <w:sz w:val="20"/>
          <w:szCs w:val="20"/>
          <w:lang w:val="bg-BG" w:eastAsia="bg-BG"/>
        </w:rPr>
        <w:t xml:space="preserve">заложените общо </w:t>
      </w:r>
      <w:r>
        <w:rPr>
          <w:rFonts w:ascii="Verdana" w:eastAsia="Times New Roman" w:hAnsi="Verdana"/>
          <w:bCs/>
          <w:color w:val="000000"/>
          <w:sz w:val="20"/>
          <w:szCs w:val="20"/>
          <w:lang w:val="bg-BG" w:eastAsia="bg-BG"/>
        </w:rPr>
        <w:t>28</w:t>
      </w:r>
      <w:r w:rsidRPr="00B05786">
        <w:rPr>
          <w:rFonts w:ascii="Verdana" w:eastAsia="Times New Roman" w:hAnsi="Verdana"/>
          <w:bCs/>
          <w:color w:val="000000"/>
          <w:sz w:val="20"/>
          <w:szCs w:val="20"/>
          <w:lang w:val="bg-BG" w:eastAsia="bg-BG"/>
        </w:rPr>
        <w:t>% за аналогичните приоритети в НПР: БГ 2020.</w:t>
      </w:r>
    </w:p>
    <w:p w:rsidR="00AD796B" w:rsidRPr="00B05786" w:rsidRDefault="00AD796B" w:rsidP="00AD796B">
      <w:pPr>
        <w:widowControl w:val="0"/>
        <w:tabs>
          <w:tab w:val="left" w:pos="0"/>
          <w:tab w:val="right" w:pos="9214"/>
        </w:tabs>
        <w:spacing w:after="0"/>
        <w:jc w:val="both"/>
        <w:rPr>
          <w:rFonts w:ascii="Verdana" w:eastAsia="Times New Roman" w:hAnsi="Verdana"/>
          <w:bCs/>
          <w:color w:val="000000"/>
          <w:sz w:val="20"/>
          <w:szCs w:val="20"/>
          <w:lang w:val="bg-BG" w:eastAsia="bg-BG"/>
        </w:rPr>
      </w:pPr>
    </w:p>
    <w:tbl>
      <w:tblPr>
        <w:tblStyle w:val="IkaTable"/>
        <w:tblW w:w="0" w:type="auto"/>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3"/>
        <w:gridCol w:w="2182"/>
        <w:gridCol w:w="1973"/>
        <w:gridCol w:w="2182"/>
      </w:tblGrid>
      <w:tr w:rsidR="00AD796B" w:rsidRPr="00B05786" w:rsidTr="004020E1">
        <w:trPr>
          <w:cnfStyle w:val="100000000000" w:firstRow="1" w:lastRow="0" w:firstColumn="0" w:lastColumn="0" w:oddVBand="0" w:evenVBand="0" w:oddHBand="0" w:evenHBand="0" w:firstRowFirstColumn="0" w:firstRowLastColumn="0" w:lastRowFirstColumn="0" w:lastRowLastColumn="0"/>
        </w:trPr>
        <w:tc>
          <w:tcPr>
            <w:tcW w:w="2793" w:type="dxa"/>
            <w:shd w:val="clear" w:color="auto" w:fill="17365D" w:themeFill="text2" w:themeFillShade="BF"/>
          </w:tcPr>
          <w:p w:rsidR="00AD796B" w:rsidRPr="00B05786" w:rsidRDefault="00AD796B" w:rsidP="004020E1">
            <w:pPr>
              <w:widowControl w:val="0"/>
              <w:tabs>
                <w:tab w:val="left" w:pos="0"/>
                <w:tab w:val="right" w:pos="9214"/>
              </w:tabs>
              <w:spacing w:before="120" w:after="0"/>
              <w:jc w:val="both"/>
              <w:rPr>
                <w:rFonts w:ascii="Verdana" w:eastAsia="Times New Roman" w:hAnsi="Verdana"/>
                <w:bCs/>
                <w:sz w:val="18"/>
                <w:szCs w:val="18"/>
                <w:lang w:val="bg-BG"/>
              </w:rPr>
            </w:pPr>
            <w:r w:rsidRPr="00B05786">
              <w:rPr>
                <w:rFonts w:ascii="Verdana" w:eastAsia="Times New Roman" w:hAnsi="Verdana"/>
                <w:bCs/>
                <w:sz w:val="18"/>
                <w:szCs w:val="18"/>
                <w:lang w:val="bg-BG"/>
              </w:rPr>
              <w:t>Области на интервенция</w:t>
            </w:r>
          </w:p>
        </w:tc>
        <w:tc>
          <w:tcPr>
            <w:tcW w:w="2182" w:type="dxa"/>
            <w:shd w:val="clear" w:color="auto" w:fill="17365D" w:themeFill="text2" w:themeFillShade="BF"/>
          </w:tcPr>
          <w:p w:rsidR="00AD796B" w:rsidRDefault="00AD796B" w:rsidP="004020E1">
            <w:pPr>
              <w:widowControl w:val="0"/>
              <w:tabs>
                <w:tab w:val="left" w:pos="0"/>
                <w:tab w:val="right" w:pos="9214"/>
              </w:tabs>
              <w:spacing w:before="120" w:after="0"/>
              <w:jc w:val="both"/>
              <w:rPr>
                <w:rFonts w:ascii="Verdana" w:eastAsia="Times New Roman" w:hAnsi="Verdana"/>
                <w:bCs/>
                <w:sz w:val="18"/>
                <w:szCs w:val="18"/>
                <w:lang w:val="bg-BG"/>
              </w:rPr>
            </w:pPr>
            <w:r w:rsidRPr="00B05786">
              <w:rPr>
                <w:rFonts w:ascii="Verdana" w:eastAsia="Times New Roman" w:hAnsi="Verdana"/>
                <w:bCs/>
                <w:sz w:val="18"/>
                <w:szCs w:val="18"/>
                <w:lang w:val="bg-BG"/>
              </w:rPr>
              <w:t xml:space="preserve">ОП </w:t>
            </w:r>
            <w:r>
              <w:rPr>
                <w:rFonts w:ascii="Verdana" w:eastAsia="Times New Roman" w:hAnsi="Verdana"/>
                <w:bCs/>
                <w:sz w:val="18"/>
                <w:szCs w:val="18"/>
                <w:lang w:val="bg-BG"/>
              </w:rPr>
              <w:t>НОИР</w:t>
            </w:r>
            <w:r w:rsidRPr="00B05786">
              <w:rPr>
                <w:rFonts w:ascii="Verdana" w:eastAsia="Times New Roman" w:hAnsi="Verdana"/>
                <w:bCs/>
                <w:sz w:val="18"/>
                <w:szCs w:val="18"/>
                <w:lang w:val="bg-BG"/>
              </w:rPr>
              <w:t xml:space="preserve"> </w:t>
            </w:r>
          </w:p>
          <w:p w:rsidR="00AD796B" w:rsidRPr="00B05786" w:rsidRDefault="00AD796B" w:rsidP="004020E1">
            <w:pPr>
              <w:widowControl w:val="0"/>
              <w:tabs>
                <w:tab w:val="left" w:pos="0"/>
                <w:tab w:val="right" w:pos="9214"/>
              </w:tabs>
              <w:spacing w:after="0"/>
              <w:jc w:val="both"/>
              <w:rPr>
                <w:rFonts w:ascii="Verdana" w:eastAsia="Times New Roman" w:hAnsi="Verdana"/>
                <w:bCs/>
                <w:sz w:val="18"/>
                <w:szCs w:val="18"/>
                <w:lang w:val="bg-BG"/>
              </w:rPr>
            </w:pPr>
            <w:r w:rsidRPr="00B05786">
              <w:rPr>
                <w:rFonts w:ascii="Verdana" w:eastAsia="Times New Roman" w:hAnsi="Verdana"/>
                <w:bCs/>
                <w:sz w:val="18"/>
                <w:szCs w:val="18"/>
                <w:lang w:val="bg-BG"/>
              </w:rPr>
              <w:t>2014-2020 г.</w:t>
            </w:r>
          </w:p>
        </w:tc>
        <w:tc>
          <w:tcPr>
            <w:tcW w:w="1973" w:type="dxa"/>
            <w:shd w:val="clear" w:color="auto" w:fill="17365D" w:themeFill="text2" w:themeFillShade="BF"/>
          </w:tcPr>
          <w:p w:rsidR="00AD796B" w:rsidRDefault="00AD796B" w:rsidP="004020E1">
            <w:pPr>
              <w:widowControl w:val="0"/>
              <w:tabs>
                <w:tab w:val="left" w:pos="0"/>
                <w:tab w:val="right" w:pos="9214"/>
              </w:tabs>
              <w:spacing w:before="120" w:after="0"/>
              <w:jc w:val="both"/>
              <w:rPr>
                <w:rFonts w:ascii="Verdana" w:eastAsia="Times New Roman" w:hAnsi="Verdana"/>
                <w:bCs/>
                <w:sz w:val="18"/>
                <w:szCs w:val="18"/>
                <w:lang w:val="bg-BG"/>
              </w:rPr>
            </w:pPr>
            <w:r>
              <w:rPr>
                <w:rFonts w:ascii="Verdana" w:eastAsia="Times New Roman" w:hAnsi="Verdana"/>
                <w:bCs/>
                <w:sz w:val="18"/>
                <w:szCs w:val="18"/>
                <w:lang w:val="bg-BG"/>
              </w:rPr>
              <w:t xml:space="preserve">Споразумение </w:t>
            </w:r>
          </w:p>
          <w:p w:rsidR="00AD796B" w:rsidRPr="00B05786" w:rsidRDefault="00AD796B" w:rsidP="004020E1">
            <w:pPr>
              <w:widowControl w:val="0"/>
              <w:tabs>
                <w:tab w:val="left" w:pos="0"/>
                <w:tab w:val="right" w:pos="9214"/>
              </w:tabs>
              <w:spacing w:after="0"/>
              <w:jc w:val="both"/>
              <w:rPr>
                <w:rFonts w:ascii="Verdana" w:eastAsia="Times New Roman" w:hAnsi="Verdana"/>
                <w:bCs/>
                <w:sz w:val="18"/>
                <w:szCs w:val="18"/>
                <w:lang w:val="bg-BG"/>
              </w:rPr>
            </w:pPr>
            <w:r>
              <w:rPr>
                <w:rFonts w:ascii="Verdana" w:eastAsia="Times New Roman" w:hAnsi="Verdana"/>
                <w:bCs/>
                <w:sz w:val="18"/>
                <w:szCs w:val="18"/>
                <w:lang w:val="bg-BG"/>
              </w:rPr>
              <w:t>за партньорство</w:t>
            </w:r>
          </w:p>
        </w:tc>
        <w:tc>
          <w:tcPr>
            <w:tcW w:w="2182" w:type="dxa"/>
            <w:shd w:val="clear" w:color="auto" w:fill="17365D" w:themeFill="text2" w:themeFillShade="BF"/>
          </w:tcPr>
          <w:p w:rsidR="00AD796B" w:rsidRPr="00B05786" w:rsidRDefault="00AD796B" w:rsidP="004020E1">
            <w:pPr>
              <w:widowControl w:val="0"/>
              <w:tabs>
                <w:tab w:val="left" w:pos="0"/>
                <w:tab w:val="right" w:pos="9214"/>
              </w:tabs>
              <w:spacing w:before="120" w:after="0"/>
              <w:jc w:val="both"/>
              <w:rPr>
                <w:rFonts w:ascii="Verdana" w:eastAsia="Times New Roman" w:hAnsi="Verdana"/>
                <w:bCs/>
                <w:sz w:val="18"/>
                <w:szCs w:val="18"/>
                <w:lang w:val="bg-BG"/>
              </w:rPr>
            </w:pPr>
            <w:r w:rsidRPr="00B05786">
              <w:rPr>
                <w:rFonts w:ascii="Verdana" w:eastAsia="Times New Roman" w:hAnsi="Verdana"/>
                <w:bCs/>
                <w:sz w:val="18"/>
                <w:szCs w:val="18"/>
                <w:lang w:val="bg-BG"/>
              </w:rPr>
              <w:t xml:space="preserve">НПР: БГ 2020 </w:t>
            </w:r>
          </w:p>
        </w:tc>
      </w:tr>
      <w:tr w:rsidR="00AD796B" w:rsidRPr="00B05786" w:rsidTr="004020E1">
        <w:trPr>
          <w:cnfStyle w:val="000000100000" w:firstRow="0" w:lastRow="0" w:firstColumn="0" w:lastColumn="0" w:oddVBand="0" w:evenVBand="0" w:oddHBand="1" w:evenHBand="0" w:firstRowFirstColumn="0" w:firstRowLastColumn="0" w:lastRowFirstColumn="0" w:lastRowLastColumn="0"/>
        </w:trPr>
        <w:tc>
          <w:tcPr>
            <w:tcW w:w="2793" w:type="dxa"/>
            <w:vAlign w:val="top"/>
          </w:tcPr>
          <w:p w:rsidR="00AD796B" w:rsidRPr="0022722B" w:rsidRDefault="00AD796B" w:rsidP="004020E1">
            <w:pPr>
              <w:widowControl w:val="0"/>
              <w:tabs>
                <w:tab w:val="left" w:pos="0"/>
                <w:tab w:val="right" w:pos="9214"/>
              </w:tabs>
              <w:spacing w:before="120" w:after="0"/>
              <w:jc w:val="both"/>
              <w:rPr>
                <w:rFonts w:ascii="Verdana" w:eastAsia="Times New Roman" w:hAnsi="Verdana"/>
                <w:bCs/>
                <w:color w:val="000000"/>
                <w:sz w:val="18"/>
                <w:szCs w:val="18"/>
                <w:lang w:val="bg-BG" w:eastAsia="bg-BG"/>
              </w:rPr>
            </w:pPr>
            <w:r>
              <w:rPr>
                <w:rFonts w:ascii="Verdana" w:eastAsia="Times New Roman" w:hAnsi="Verdana"/>
                <w:bCs/>
                <w:color w:val="000000"/>
                <w:sz w:val="18"/>
                <w:szCs w:val="18"/>
                <w:lang w:val="bg-BG" w:eastAsia="bg-BG"/>
              </w:rPr>
              <w:t>1.</w:t>
            </w:r>
            <w:r w:rsidRPr="0022722B">
              <w:rPr>
                <w:rFonts w:ascii="Verdana" w:eastAsia="Times New Roman" w:hAnsi="Verdana"/>
                <w:bCs/>
                <w:color w:val="000000"/>
                <w:sz w:val="18"/>
                <w:szCs w:val="18"/>
                <w:lang w:val="bg-BG" w:eastAsia="bg-BG"/>
              </w:rPr>
              <w:t>Засилване на научно</w:t>
            </w:r>
            <w:r>
              <w:rPr>
                <w:rFonts w:ascii="Verdana" w:eastAsia="Times New Roman" w:hAnsi="Verdana"/>
                <w:bCs/>
                <w:color w:val="000000"/>
                <w:sz w:val="18"/>
                <w:szCs w:val="18"/>
                <w:lang w:val="bg-BG" w:eastAsia="bg-BG"/>
              </w:rPr>
              <w:t xml:space="preserve"> </w:t>
            </w:r>
            <w:r w:rsidRPr="0022722B">
              <w:rPr>
                <w:rFonts w:ascii="Verdana" w:eastAsia="Times New Roman" w:hAnsi="Verdana"/>
                <w:bCs/>
                <w:color w:val="000000"/>
                <w:sz w:val="18"/>
                <w:szCs w:val="18"/>
                <w:lang w:val="bg-BG" w:eastAsia="bg-BG"/>
              </w:rPr>
              <w:t>изследователската дейност, технологичното развитие и иновациите</w:t>
            </w:r>
          </w:p>
        </w:tc>
        <w:tc>
          <w:tcPr>
            <w:tcW w:w="2182" w:type="dxa"/>
          </w:tcPr>
          <w:p w:rsidR="00AD796B" w:rsidRPr="00B05786" w:rsidRDefault="00AD796B" w:rsidP="004020E1">
            <w:pPr>
              <w:widowControl w:val="0"/>
              <w:tabs>
                <w:tab w:val="left" w:pos="0"/>
                <w:tab w:val="right" w:pos="9214"/>
              </w:tabs>
              <w:spacing w:before="120" w:after="0"/>
              <w:jc w:val="right"/>
              <w:rPr>
                <w:rFonts w:ascii="Verdana" w:eastAsia="Times New Roman" w:hAnsi="Verdana" w:cs="Times New Roman"/>
                <w:bCs/>
                <w:color w:val="000000"/>
                <w:sz w:val="18"/>
                <w:szCs w:val="18"/>
                <w:lang w:val="bg-BG"/>
              </w:rPr>
            </w:pPr>
            <w:r>
              <w:rPr>
                <w:rFonts w:ascii="Verdana" w:eastAsia="Times New Roman" w:hAnsi="Verdana"/>
                <w:bCs/>
                <w:color w:val="000000"/>
                <w:sz w:val="18"/>
                <w:szCs w:val="18"/>
                <w:lang w:val="bg-BG"/>
              </w:rPr>
              <w:t>41</w:t>
            </w:r>
            <w:r w:rsidRPr="00B05786">
              <w:rPr>
                <w:rFonts w:ascii="Verdana" w:eastAsia="Times New Roman" w:hAnsi="Verdana"/>
                <w:bCs/>
                <w:color w:val="000000"/>
                <w:sz w:val="18"/>
                <w:szCs w:val="18"/>
                <w:lang w:val="bg-BG"/>
              </w:rPr>
              <w:t>%</w:t>
            </w:r>
          </w:p>
        </w:tc>
        <w:tc>
          <w:tcPr>
            <w:tcW w:w="1973" w:type="dxa"/>
          </w:tcPr>
          <w:p w:rsidR="00AD796B" w:rsidRPr="00B05786" w:rsidRDefault="00AD796B" w:rsidP="004020E1">
            <w:pPr>
              <w:widowControl w:val="0"/>
              <w:tabs>
                <w:tab w:val="left" w:pos="0"/>
                <w:tab w:val="right" w:pos="9214"/>
              </w:tabs>
              <w:spacing w:before="120" w:after="0"/>
              <w:jc w:val="right"/>
              <w:rPr>
                <w:rFonts w:ascii="Verdana" w:eastAsia="Times New Roman" w:hAnsi="Verdana"/>
                <w:bCs/>
                <w:color w:val="000000"/>
                <w:sz w:val="18"/>
                <w:szCs w:val="18"/>
                <w:lang w:val="bg-BG"/>
              </w:rPr>
            </w:pPr>
            <w:r>
              <w:rPr>
                <w:rFonts w:ascii="Verdana" w:eastAsia="Times New Roman" w:hAnsi="Verdana"/>
                <w:bCs/>
                <w:color w:val="000000"/>
                <w:sz w:val="18"/>
                <w:szCs w:val="18"/>
                <w:lang w:val="bg-BG"/>
              </w:rPr>
              <w:t>5.4%</w:t>
            </w:r>
          </w:p>
        </w:tc>
        <w:tc>
          <w:tcPr>
            <w:tcW w:w="2182" w:type="dxa"/>
          </w:tcPr>
          <w:p w:rsidR="00AD796B" w:rsidRPr="00B05786" w:rsidRDefault="00AD796B" w:rsidP="004020E1">
            <w:pPr>
              <w:widowControl w:val="0"/>
              <w:tabs>
                <w:tab w:val="left" w:pos="0"/>
                <w:tab w:val="right" w:pos="9214"/>
              </w:tabs>
              <w:spacing w:before="120" w:after="0"/>
              <w:jc w:val="right"/>
              <w:rPr>
                <w:rFonts w:ascii="Verdana" w:eastAsia="Times New Roman" w:hAnsi="Verdana"/>
                <w:bCs/>
                <w:color w:val="000000"/>
                <w:sz w:val="18"/>
                <w:szCs w:val="18"/>
                <w:lang w:val="bg-BG"/>
              </w:rPr>
            </w:pPr>
            <w:r>
              <w:rPr>
                <w:rFonts w:ascii="Verdana" w:eastAsia="Times New Roman" w:hAnsi="Verdana"/>
                <w:bCs/>
                <w:color w:val="000000"/>
                <w:sz w:val="18"/>
                <w:szCs w:val="18"/>
                <w:lang w:val="bg-BG"/>
              </w:rPr>
              <w:t>5</w:t>
            </w:r>
            <w:r w:rsidRPr="00B05786">
              <w:rPr>
                <w:rFonts w:ascii="Verdana" w:eastAsia="Times New Roman" w:hAnsi="Verdana"/>
                <w:bCs/>
                <w:color w:val="000000"/>
                <w:sz w:val="18"/>
                <w:szCs w:val="18"/>
                <w:lang w:val="bg-BG"/>
              </w:rPr>
              <w:t>.5%</w:t>
            </w:r>
          </w:p>
        </w:tc>
      </w:tr>
      <w:tr w:rsidR="00AD796B" w:rsidRPr="00B05786" w:rsidTr="004020E1">
        <w:trPr>
          <w:cnfStyle w:val="000000010000" w:firstRow="0" w:lastRow="0" w:firstColumn="0" w:lastColumn="0" w:oddVBand="0" w:evenVBand="0" w:oddHBand="0" w:evenHBand="1" w:firstRowFirstColumn="0" w:firstRowLastColumn="0" w:lastRowFirstColumn="0" w:lastRowLastColumn="0"/>
        </w:trPr>
        <w:tc>
          <w:tcPr>
            <w:tcW w:w="2793" w:type="dxa"/>
            <w:shd w:val="clear" w:color="auto" w:fill="DBE5F1" w:themeFill="accent1" w:themeFillTint="33"/>
            <w:vAlign w:val="top"/>
          </w:tcPr>
          <w:p w:rsidR="00AD796B" w:rsidRPr="0022722B" w:rsidRDefault="00AD796B" w:rsidP="004020E1">
            <w:pPr>
              <w:widowControl w:val="0"/>
              <w:tabs>
                <w:tab w:val="left" w:pos="0"/>
                <w:tab w:val="right" w:pos="9214"/>
              </w:tabs>
              <w:spacing w:before="120" w:after="0"/>
              <w:jc w:val="both"/>
              <w:rPr>
                <w:rFonts w:ascii="Verdana" w:eastAsia="Times New Roman" w:hAnsi="Verdana"/>
                <w:bCs/>
                <w:color w:val="000000"/>
                <w:sz w:val="18"/>
                <w:szCs w:val="18"/>
                <w:lang w:val="bg-BG" w:eastAsia="bg-BG"/>
              </w:rPr>
            </w:pPr>
            <w:r>
              <w:rPr>
                <w:rFonts w:ascii="Verdana" w:eastAsia="Times New Roman" w:hAnsi="Verdana"/>
                <w:bCs/>
                <w:color w:val="000000"/>
                <w:sz w:val="18"/>
                <w:szCs w:val="18"/>
                <w:lang w:val="bg-BG" w:eastAsia="bg-BG"/>
              </w:rPr>
              <w:t>9.</w:t>
            </w:r>
            <w:r w:rsidRPr="0022722B">
              <w:rPr>
                <w:rFonts w:ascii="Verdana" w:eastAsia="Times New Roman" w:hAnsi="Verdana"/>
                <w:bCs/>
                <w:color w:val="000000"/>
                <w:sz w:val="18"/>
                <w:szCs w:val="18"/>
                <w:lang w:val="bg-BG" w:eastAsia="bg-BG"/>
              </w:rPr>
              <w:t>Насърчаване на социалното приобщаване и борба с бедността</w:t>
            </w:r>
          </w:p>
        </w:tc>
        <w:tc>
          <w:tcPr>
            <w:tcW w:w="2182" w:type="dxa"/>
            <w:shd w:val="clear" w:color="auto" w:fill="DBE5F1" w:themeFill="accent1" w:themeFillTint="33"/>
          </w:tcPr>
          <w:p w:rsidR="00AD796B" w:rsidRDefault="00AD796B" w:rsidP="004020E1">
            <w:pPr>
              <w:widowControl w:val="0"/>
              <w:tabs>
                <w:tab w:val="left" w:pos="0"/>
                <w:tab w:val="right" w:pos="9214"/>
              </w:tabs>
              <w:spacing w:before="120" w:after="0"/>
              <w:jc w:val="right"/>
              <w:rPr>
                <w:rFonts w:ascii="Verdana" w:eastAsia="Times New Roman" w:hAnsi="Verdana" w:cs="Times New Roman"/>
                <w:bCs/>
                <w:color w:val="000000"/>
                <w:sz w:val="18"/>
                <w:szCs w:val="18"/>
                <w:lang w:val="bg-BG"/>
              </w:rPr>
            </w:pPr>
            <w:r>
              <w:rPr>
                <w:rFonts w:ascii="Verdana" w:eastAsia="Times New Roman" w:hAnsi="Verdana"/>
                <w:bCs/>
                <w:color w:val="000000"/>
                <w:sz w:val="18"/>
                <w:szCs w:val="18"/>
                <w:lang w:val="bg-BG"/>
              </w:rPr>
              <w:t>18%</w:t>
            </w:r>
          </w:p>
        </w:tc>
        <w:tc>
          <w:tcPr>
            <w:tcW w:w="1973" w:type="dxa"/>
            <w:shd w:val="clear" w:color="auto" w:fill="DBE5F1" w:themeFill="accent1" w:themeFillTint="33"/>
          </w:tcPr>
          <w:p w:rsidR="00AD796B" w:rsidRDefault="00AD796B" w:rsidP="004020E1">
            <w:pPr>
              <w:widowControl w:val="0"/>
              <w:tabs>
                <w:tab w:val="left" w:pos="0"/>
                <w:tab w:val="right" w:pos="9214"/>
              </w:tabs>
              <w:spacing w:before="120" w:after="0"/>
              <w:jc w:val="right"/>
              <w:rPr>
                <w:rFonts w:ascii="Verdana" w:eastAsia="Times New Roman" w:hAnsi="Verdana"/>
                <w:bCs/>
                <w:color w:val="000000"/>
                <w:sz w:val="18"/>
                <w:szCs w:val="18"/>
                <w:lang w:val="bg-BG"/>
              </w:rPr>
            </w:pPr>
            <w:r>
              <w:rPr>
                <w:rFonts w:ascii="Verdana" w:eastAsia="Times New Roman" w:hAnsi="Verdana"/>
                <w:bCs/>
                <w:color w:val="000000"/>
                <w:sz w:val="18"/>
                <w:szCs w:val="18"/>
                <w:lang w:val="bg-BG"/>
              </w:rPr>
              <w:t>12.7%</w:t>
            </w:r>
          </w:p>
        </w:tc>
        <w:tc>
          <w:tcPr>
            <w:tcW w:w="2182" w:type="dxa"/>
            <w:shd w:val="clear" w:color="auto" w:fill="DBE5F1" w:themeFill="accent1" w:themeFillTint="33"/>
          </w:tcPr>
          <w:p w:rsidR="00AD796B" w:rsidRDefault="00AD796B" w:rsidP="004020E1">
            <w:pPr>
              <w:widowControl w:val="0"/>
              <w:tabs>
                <w:tab w:val="left" w:pos="0"/>
                <w:tab w:val="right" w:pos="9214"/>
              </w:tabs>
              <w:spacing w:before="120" w:after="0"/>
              <w:jc w:val="right"/>
              <w:rPr>
                <w:rFonts w:ascii="Verdana" w:eastAsia="Times New Roman" w:hAnsi="Verdana"/>
                <w:bCs/>
                <w:color w:val="000000"/>
                <w:sz w:val="18"/>
                <w:szCs w:val="18"/>
                <w:lang w:val="bg-BG"/>
              </w:rPr>
            </w:pPr>
            <w:r>
              <w:rPr>
                <w:rFonts w:ascii="Verdana" w:eastAsia="Times New Roman" w:hAnsi="Verdana"/>
                <w:bCs/>
                <w:color w:val="000000"/>
                <w:sz w:val="18"/>
                <w:szCs w:val="18"/>
                <w:lang w:val="bg-BG"/>
              </w:rPr>
              <w:t>7.9%</w:t>
            </w:r>
          </w:p>
        </w:tc>
      </w:tr>
      <w:tr w:rsidR="00AD796B" w:rsidRPr="00B05786" w:rsidTr="004020E1">
        <w:trPr>
          <w:cnfStyle w:val="000000100000" w:firstRow="0" w:lastRow="0" w:firstColumn="0" w:lastColumn="0" w:oddVBand="0" w:evenVBand="0" w:oddHBand="1" w:evenHBand="0" w:firstRowFirstColumn="0" w:firstRowLastColumn="0" w:lastRowFirstColumn="0" w:lastRowLastColumn="0"/>
        </w:trPr>
        <w:tc>
          <w:tcPr>
            <w:tcW w:w="2793" w:type="dxa"/>
            <w:vAlign w:val="top"/>
          </w:tcPr>
          <w:p w:rsidR="00AD796B" w:rsidRPr="0022722B" w:rsidRDefault="00AD796B" w:rsidP="004020E1">
            <w:pPr>
              <w:widowControl w:val="0"/>
              <w:tabs>
                <w:tab w:val="left" w:pos="0"/>
                <w:tab w:val="right" w:pos="9214"/>
              </w:tabs>
              <w:spacing w:before="120" w:after="0"/>
              <w:jc w:val="both"/>
              <w:rPr>
                <w:rFonts w:ascii="Verdana" w:eastAsia="Times New Roman" w:hAnsi="Verdana"/>
                <w:bCs/>
                <w:color w:val="000000"/>
                <w:sz w:val="18"/>
                <w:szCs w:val="18"/>
                <w:lang w:val="bg-BG" w:eastAsia="bg-BG"/>
              </w:rPr>
            </w:pPr>
            <w:r>
              <w:rPr>
                <w:rFonts w:ascii="Verdana" w:eastAsia="Times New Roman" w:hAnsi="Verdana"/>
                <w:bCs/>
                <w:color w:val="000000"/>
                <w:sz w:val="18"/>
                <w:szCs w:val="18"/>
                <w:lang w:val="bg-BG" w:eastAsia="bg-BG"/>
              </w:rPr>
              <w:t>10.</w:t>
            </w:r>
            <w:r w:rsidRPr="0022722B">
              <w:rPr>
                <w:rFonts w:ascii="Verdana" w:eastAsia="Times New Roman" w:hAnsi="Verdana"/>
                <w:bCs/>
                <w:color w:val="000000"/>
                <w:sz w:val="18"/>
                <w:szCs w:val="18"/>
                <w:lang w:val="bg-BG" w:eastAsia="bg-BG"/>
              </w:rPr>
              <w:t>Инвестиции в образованието, уменията и ученето през целия живот</w:t>
            </w:r>
          </w:p>
        </w:tc>
        <w:tc>
          <w:tcPr>
            <w:tcW w:w="2182" w:type="dxa"/>
          </w:tcPr>
          <w:p w:rsidR="00AD796B" w:rsidRPr="00B05786" w:rsidRDefault="00AD796B" w:rsidP="004020E1">
            <w:pPr>
              <w:widowControl w:val="0"/>
              <w:tabs>
                <w:tab w:val="left" w:pos="0"/>
                <w:tab w:val="right" w:pos="9214"/>
              </w:tabs>
              <w:spacing w:before="120" w:after="0"/>
              <w:jc w:val="right"/>
              <w:rPr>
                <w:rFonts w:ascii="Verdana" w:eastAsia="Times New Roman" w:hAnsi="Verdana" w:cs="Times New Roman"/>
                <w:bCs/>
                <w:color w:val="000000"/>
                <w:sz w:val="18"/>
                <w:szCs w:val="18"/>
                <w:lang w:val="bg-BG"/>
              </w:rPr>
            </w:pPr>
            <w:r>
              <w:rPr>
                <w:rFonts w:ascii="Verdana" w:eastAsia="Times New Roman" w:hAnsi="Verdana"/>
                <w:bCs/>
                <w:color w:val="000000"/>
                <w:sz w:val="18"/>
                <w:szCs w:val="18"/>
                <w:lang w:val="bg-BG"/>
              </w:rPr>
              <w:t>36</w:t>
            </w:r>
            <w:r w:rsidRPr="00B05786">
              <w:rPr>
                <w:rFonts w:ascii="Verdana" w:eastAsia="Times New Roman" w:hAnsi="Verdana"/>
                <w:bCs/>
                <w:color w:val="000000"/>
                <w:sz w:val="18"/>
                <w:szCs w:val="18"/>
                <w:lang w:val="bg-BG"/>
              </w:rPr>
              <w:t>%</w:t>
            </w:r>
          </w:p>
        </w:tc>
        <w:tc>
          <w:tcPr>
            <w:tcW w:w="1973" w:type="dxa"/>
          </w:tcPr>
          <w:p w:rsidR="00AD796B" w:rsidRPr="00B05786" w:rsidRDefault="00AD796B" w:rsidP="004020E1">
            <w:pPr>
              <w:widowControl w:val="0"/>
              <w:tabs>
                <w:tab w:val="left" w:pos="0"/>
                <w:tab w:val="right" w:pos="9214"/>
              </w:tabs>
              <w:spacing w:before="120" w:after="0"/>
              <w:jc w:val="right"/>
              <w:rPr>
                <w:rFonts w:ascii="Verdana" w:eastAsia="Times New Roman" w:hAnsi="Verdana"/>
                <w:bCs/>
                <w:color w:val="000000"/>
                <w:sz w:val="18"/>
                <w:szCs w:val="18"/>
                <w:lang w:val="bg-BG"/>
              </w:rPr>
            </w:pPr>
            <w:r>
              <w:rPr>
                <w:rFonts w:ascii="Verdana" w:eastAsia="Times New Roman" w:hAnsi="Verdana"/>
                <w:bCs/>
                <w:color w:val="000000"/>
                <w:sz w:val="18"/>
                <w:szCs w:val="18"/>
                <w:lang w:val="bg-BG"/>
              </w:rPr>
              <w:t>5.1%</w:t>
            </w:r>
          </w:p>
        </w:tc>
        <w:tc>
          <w:tcPr>
            <w:tcW w:w="2182" w:type="dxa"/>
          </w:tcPr>
          <w:p w:rsidR="00AD796B" w:rsidRPr="00B05786" w:rsidRDefault="00AD796B" w:rsidP="004020E1">
            <w:pPr>
              <w:widowControl w:val="0"/>
              <w:tabs>
                <w:tab w:val="left" w:pos="0"/>
                <w:tab w:val="right" w:pos="9214"/>
              </w:tabs>
              <w:spacing w:before="120" w:after="0"/>
              <w:jc w:val="right"/>
              <w:rPr>
                <w:rFonts w:ascii="Verdana" w:eastAsia="Times New Roman" w:hAnsi="Verdana"/>
                <w:bCs/>
                <w:color w:val="000000"/>
                <w:sz w:val="18"/>
                <w:szCs w:val="18"/>
                <w:lang w:val="bg-BG"/>
              </w:rPr>
            </w:pPr>
            <w:r>
              <w:rPr>
                <w:rFonts w:ascii="Verdana" w:eastAsia="Times New Roman" w:hAnsi="Verdana"/>
                <w:bCs/>
                <w:color w:val="000000"/>
                <w:sz w:val="18"/>
                <w:szCs w:val="18"/>
                <w:lang w:val="bg-BG"/>
              </w:rPr>
              <w:t>14</w:t>
            </w:r>
            <w:r w:rsidRPr="00B05786">
              <w:rPr>
                <w:rFonts w:ascii="Verdana" w:eastAsia="Times New Roman" w:hAnsi="Verdana"/>
                <w:bCs/>
                <w:color w:val="000000"/>
                <w:sz w:val="18"/>
                <w:szCs w:val="18"/>
                <w:lang w:val="bg-BG"/>
              </w:rPr>
              <w:t>.</w:t>
            </w:r>
            <w:r>
              <w:rPr>
                <w:rFonts w:ascii="Verdana" w:eastAsia="Times New Roman" w:hAnsi="Verdana"/>
                <w:bCs/>
                <w:color w:val="000000"/>
                <w:sz w:val="18"/>
                <w:szCs w:val="18"/>
                <w:lang w:val="bg-BG"/>
              </w:rPr>
              <w:t>5</w:t>
            </w:r>
            <w:r w:rsidRPr="00B05786">
              <w:rPr>
                <w:rFonts w:ascii="Verdana" w:eastAsia="Times New Roman" w:hAnsi="Verdana"/>
                <w:bCs/>
                <w:color w:val="000000"/>
                <w:sz w:val="18"/>
                <w:szCs w:val="18"/>
                <w:lang w:val="bg-BG"/>
              </w:rPr>
              <w:t>%</w:t>
            </w:r>
          </w:p>
        </w:tc>
      </w:tr>
    </w:tbl>
    <w:p w:rsidR="00AD796B" w:rsidRPr="00B05786" w:rsidRDefault="00AD796B" w:rsidP="00AD796B">
      <w:pPr>
        <w:widowControl w:val="0"/>
        <w:tabs>
          <w:tab w:val="left" w:pos="0"/>
          <w:tab w:val="right" w:pos="9214"/>
        </w:tabs>
        <w:spacing w:before="120" w:after="0"/>
        <w:rPr>
          <w:rFonts w:ascii="Verdana" w:eastAsia="Times New Roman" w:hAnsi="Verdana"/>
          <w:bCs/>
          <w:color w:val="000000"/>
          <w:sz w:val="14"/>
          <w:szCs w:val="14"/>
          <w:lang w:val="bg-BG" w:eastAsia="bg-BG"/>
        </w:rPr>
      </w:pPr>
      <w:r w:rsidRPr="00B05786">
        <w:rPr>
          <w:rFonts w:ascii="Verdana" w:eastAsia="Times New Roman" w:hAnsi="Verdana"/>
          <w:bCs/>
          <w:color w:val="000000"/>
          <w:sz w:val="14"/>
          <w:szCs w:val="14"/>
          <w:lang w:val="bg-BG" w:eastAsia="bg-BG"/>
        </w:rPr>
        <w:t xml:space="preserve">Източник: </w:t>
      </w:r>
      <w:r w:rsidRPr="007C793F">
        <w:rPr>
          <w:rFonts w:ascii="Verdana" w:eastAsia="Times New Roman" w:hAnsi="Verdana"/>
          <w:bCs/>
          <w:color w:val="000000"/>
          <w:sz w:val="14"/>
          <w:szCs w:val="14"/>
          <w:lang w:val="bg-BG" w:eastAsia="bg-BG"/>
        </w:rPr>
        <w:t>Оперативна програма „</w:t>
      </w:r>
      <w:r w:rsidRPr="00F12AE3">
        <w:rPr>
          <w:rFonts w:ascii="Verdana" w:eastAsia="Times New Roman" w:hAnsi="Verdana"/>
          <w:bCs/>
          <w:color w:val="000000"/>
          <w:sz w:val="14"/>
          <w:szCs w:val="14"/>
          <w:lang w:val="bg-BG" w:eastAsia="bg-BG"/>
        </w:rPr>
        <w:t>Наука и образование за интелигентен растеж</w:t>
      </w:r>
      <w:r w:rsidRPr="00F12AE3">
        <w:rPr>
          <w:rFonts w:ascii="Verdana" w:eastAsia="Calibri" w:hAnsi="Verdana"/>
          <w:sz w:val="14"/>
          <w:szCs w:val="14"/>
          <w:lang w:val="bg-BG"/>
        </w:rPr>
        <w:t xml:space="preserve"> 2014-2020 г.” </w:t>
      </w:r>
      <w:r w:rsidRPr="007C793F">
        <w:rPr>
          <w:rFonts w:ascii="Verdana" w:eastAsia="Times New Roman" w:hAnsi="Verdana"/>
          <w:bCs/>
          <w:color w:val="000000"/>
          <w:sz w:val="14"/>
          <w:szCs w:val="14"/>
          <w:lang w:val="bg-BG" w:eastAsia="bg-BG"/>
        </w:rPr>
        <w:t xml:space="preserve">(вариант към </w:t>
      </w:r>
      <w:r>
        <w:rPr>
          <w:rFonts w:ascii="Verdana" w:eastAsia="Times New Roman" w:hAnsi="Verdana"/>
          <w:bCs/>
          <w:color w:val="000000"/>
          <w:sz w:val="14"/>
          <w:szCs w:val="14"/>
          <w:lang w:val="bg-BG" w:eastAsia="bg-BG"/>
        </w:rPr>
        <w:t xml:space="preserve">август 2014 г.), </w:t>
      </w:r>
      <w:r w:rsidRPr="00B05786">
        <w:rPr>
          <w:rFonts w:ascii="Verdana" w:eastAsia="Times New Roman" w:hAnsi="Verdana"/>
          <w:bCs/>
          <w:color w:val="000000"/>
          <w:sz w:val="14"/>
          <w:szCs w:val="14"/>
          <w:lang w:val="bg-BG" w:eastAsia="bg-BG"/>
        </w:rPr>
        <w:t>Споразумение за партньорство на България и НПР: БГ 2020.</w:t>
      </w:r>
    </w:p>
    <w:p w:rsidR="00AD796B" w:rsidRDefault="00AD796B" w:rsidP="00AD796B">
      <w:pPr>
        <w:spacing w:after="0"/>
        <w:jc w:val="both"/>
        <w:rPr>
          <w:rFonts w:ascii="Verdana" w:eastAsia="Times New Roman" w:hAnsi="Verdana"/>
          <w:bCs/>
          <w:color w:val="000000"/>
          <w:sz w:val="20"/>
          <w:szCs w:val="20"/>
          <w:lang w:val="bg-BG" w:eastAsia="bg-BG"/>
        </w:rPr>
      </w:pPr>
    </w:p>
    <w:p w:rsidR="00AD796B" w:rsidRPr="00B05786" w:rsidRDefault="00AD796B" w:rsidP="00AD796B">
      <w:pPr>
        <w:spacing w:after="0"/>
        <w:jc w:val="both"/>
        <w:rPr>
          <w:rFonts w:ascii="Verdana" w:eastAsia="Times New Roman" w:hAnsi="Verdana"/>
          <w:bCs/>
          <w:color w:val="000000"/>
          <w:sz w:val="20"/>
          <w:szCs w:val="20"/>
          <w:lang w:val="bg-BG" w:eastAsia="bg-BG"/>
        </w:rPr>
      </w:pPr>
      <w:r>
        <w:rPr>
          <w:rFonts w:ascii="Verdana" w:eastAsia="Times New Roman" w:hAnsi="Verdana"/>
          <w:bCs/>
          <w:color w:val="000000"/>
          <w:sz w:val="20"/>
          <w:szCs w:val="20"/>
          <w:lang w:val="bg-BG" w:eastAsia="bg-BG"/>
        </w:rPr>
        <w:t xml:space="preserve">Във връзка с финансовия ресурс, заделен за приобщаване към образованието (ПО3), трябва да се отбележи, че той формално се отнася към тематична цел 9, но на практика адресира проблеми за приобщаване към образование на уязвими групи и хора със СОП и не преследва социални цели, които като цяло са адресирани в ОП РЧР 2014-2020 г. </w:t>
      </w:r>
    </w:p>
    <w:p w:rsidR="00AD796B" w:rsidRDefault="00AD796B" w:rsidP="00AD796B">
      <w:pPr>
        <w:pStyle w:val="ListParagraph1"/>
        <w:widowControl w:val="0"/>
        <w:tabs>
          <w:tab w:val="left" w:pos="0"/>
          <w:tab w:val="right" w:pos="9214"/>
        </w:tabs>
        <w:spacing w:before="120" w:after="120" w:line="276" w:lineRule="auto"/>
        <w:ind w:left="0"/>
        <w:rPr>
          <w:rFonts w:ascii="Verdana" w:hAnsi="Verdana"/>
          <w:bCs/>
          <w:color w:val="000000"/>
          <w:sz w:val="20"/>
          <w:lang w:val="bg-BG" w:eastAsia="bg-BG"/>
        </w:rPr>
      </w:pPr>
      <w:r w:rsidRPr="00180A30">
        <w:rPr>
          <w:rFonts w:ascii="Verdana" w:hAnsi="Verdana"/>
          <w:bCs/>
          <w:color w:val="000000"/>
          <w:sz w:val="20"/>
          <w:lang w:val="bg-BG" w:eastAsia="bg-BG"/>
        </w:rPr>
        <w:t xml:space="preserve">Редица </w:t>
      </w:r>
      <w:r w:rsidRPr="009D26DC">
        <w:rPr>
          <w:rFonts w:ascii="Verdana" w:hAnsi="Verdana"/>
          <w:bCs/>
          <w:color w:val="548DD4" w:themeColor="text2" w:themeTint="99"/>
          <w:sz w:val="20"/>
          <w:lang w:val="bg-BG" w:eastAsia="bg-BG"/>
        </w:rPr>
        <w:t xml:space="preserve">други стратегии </w:t>
      </w:r>
      <w:r w:rsidRPr="00180A30">
        <w:rPr>
          <w:rFonts w:ascii="Verdana" w:hAnsi="Verdana"/>
          <w:bCs/>
          <w:color w:val="000000"/>
          <w:sz w:val="20"/>
          <w:lang w:val="bg-BG" w:eastAsia="bg-BG"/>
        </w:rPr>
        <w:t xml:space="preserve">също определят политиката по отношение на научните изследвания, иновациите, образованието и социалното приобщаване. Част от тях включват и информация за финансирането на </w:t>
      </w:r>
      <w:r>
        <w:rPr>
          <w:rFonts w:ascii="Verdana" w:hAnsi="Verdana"/>
          <w:bCs/>
          <w:color w:val="000000"/>
          <w:sz w:val="20"/>
          <w:lang w:val="bg-BG" w:eastAsia="bg-BG"/>
        </w:rPr>
        <w:t xml:space="preserve">предвидените в съответните стратегии мерки. </w:t>
      </w:r>
      <w:r w:rsidRPr="00D633ED">
        <w:rPr>
          <w:rFonts w:ascii="Verdana" w:hAnsi="Verdana"/>
          <w:b/>
          <w:bCs/>
          <w:color w:val="000000"/>
          <w:sz w:val="20"/>
          <w:lang w:val="bg-BG" w:eastAsia="bg-BG"/>
        </w:rPr>
        <w:t xml:space="preserve">Голяма част от тези стратегии обаче дават само обща формулировка, че средствата за изпълнението им ще бъдат осигурени от държавния бюджет, европейските структурни фондове, финансови ресурси на </w:t>
      </w:r>
      <w:r w:rsidRPr="00D633ED">
        <w:rPr>
          <w:rFonts w:ascii="Verdana" w:hAnsi="Verdana"/>
          <w:b/>
          <w:bCs/>
          <w:color w:val="000000"/>
          <w:sz w:val="20"/>
          <w:lang w:val="bg-BG" w:eastAsia="bg-BG"/>
        </w:rPr>
        <w:lastRenderedPageBreak/>
        <w:t>неправителствени организации и други международни (външни) източници</w:t>
      </w:r>
      <w:r w:rsidRPr="00180A30">
        <w:rPr>
          <w:rFonts w:ascii="Verdana" w:hAnsi="Verdana"/>
          <w:bCs/>
          <w:color w:val="000000"/>
          <w:sz w:val="20"/>
          <w:lang w:val="bg-BG" w:eastAsia="bg-BG"/>
        </w:rPr>
        <w:t>.</w:t>
      </w:r>
      <w:r>
        <w:rPr>
          <w:rFonts w:ascii="Verdana" w:hAnsi="Verdana"/>
          <w:bCs/>
          <w:color w:val="000000"/>
          <w:sz w:val="20"/>
          <w:lang w:val="bg-BG" w:eastAsia="bg-BG"/>
        </w:rPr>
        <w:t xml:space="preserve"> По-долу са изброени стратегиите и документи, където има информация за финансирането им.</w:t>
      </w:r>
    </w:p>
    <w:p w:rsidR="00AD796B" w:rsidRDefault="00AD796B" w:rsidP="00AD796B">
      <w:pPr>
        <w:pStyle w:val="ListParagraph1"/>
        <w:widowControl w:val="0"/>
        <w:numPr>
          <w:ilvl w:val="0"/>
          <w:numId w:val="60"/>
        </w:numPr>
        <w:tabs>
          <w:tab w:val="left" w:pos="0"/>
          <w:tab w:val="right" w:pos="9214"/>
        </w:tabs>
        <w:spacing w:before="60" w:after="60" w:line="276" w:lineRule="auto"/>
        <w:ind w:left="714" w:hanging="357"/>
        <w:rPr>
          <w:rFonts w:ascii="Verdana" w:hAnsi="Verdana"/>
          <w:bCs/>
          <w:color w:val="000000"/>
          <w:sz w:val="20"/>
          <w:lang w:val="bg-BG" w:eastAsia="bg-BG"/>
        </w:rPr>
      </w:pPr>
      <w:r w:rsidRPr="00D633ED">
        <w:rPr>
          <w:rFonts w:ascii="Verdana" w:hAnsi="Verdana"/>
          <w:b/>
          <w:bCs/>
          <w:i/>
          <w:color w:val="000000"/>
          <w:sz w:val="20"/>
          <w:lang w:val="bg-BG" w:eastAsia="bg-BG"/>
        </w:rPr>
        <w:t>Иновационната стратегия за интелигентна специализация на Република България 2014-2020</w:t>
      </w:r>
      <w:r>
        <w:rPr>
          <w:rFonts w:ascii="Verdana" w:hAnsi="Verdana"/>
          <w:bCs/>
          <w:color w:val="000000"/>
          <w:sz w:val="20"/>
          <w:lang w:val="bg-BG" w:eastAsia="bg-BG"/>
        </w:rPr>
        <w:t>: Анализирани са източниците на финансиране през последните 7 години, но не са идентифицирани източници на финансиране през следващия програмен период. Разработен е финансов модел за проследяване на степента на изпълнение на националната цел за дял на НИРД в БВП от 1.5%.</w:t>
      </w:r>
    </w:p>
    <w:p w:rsidR="00AD796B" w:rsidRDefault="00AD796B" w:rsidP="00AD796B">
      <w:pPr>
        <w:pStyle w:val="ListParagraph1"/>
        <w:widowControl w:val="0"/>
        <w:numPr>
          <w:ilvl w:val="0"/>
          <w:numId w:val="60"/>
        </w:numPr>
        <w:tabs>
          <w:tab w:val="left" w:pos="0"/>
          <w:tab w:val="right" w:pos="9214"/>
        </w:tabs>
        <w:spacing w:before="60" w:after="60"/>
        <w:ind w:left="714" w:hanging="357"/>
        <w:rPr>
          <w:rFonts w:ascii="Verdana" w:hAnsi="Verdana"/>
          <w:bCs/>
          <w:color w:val="000000"/>
          <w:sz w:val="20"/>
          <w:lang w:val="bg-BG" w:eastAsia="bg-BG"/>
        </w:rPr>
      </w:pPr>
      <w:r w:rsidRPr="00D633ED">
        <w:rPr>
          <w:rFonts w:ascii="Verdana" w:hAnsi="Verdana"/>
          <w:b/>
          <w:bCs/>
          <w:i/>
          <w:color w:val="000000"/>
          <w:sz w:val="20"/>
          <w:lang w:val="bg-BG" w:eastAsia="bg-BG"/>
        </w:rPr>
        <w:t>Национална стратегия за развитие на педагогическите кадри</w:t>
      </w:r>
      <w:r w:rsidRPr="00D633ED">
        <w:rPr>
          <w:rFonts w:ascii="Verdana" w:hAnsi="Verdana"/>
          <w:bCs/>
          <w:color w:val="000000"/>
          <w:sz w:val="20"/>
          <w:lang w:val="bg-BG" w:eastAsia="bg-BG"/>
        </w:rPr>
        <w:t xml:space="preserve">: Стратегията дава само обща рамка на източниците на финансиране те включват държавния бюджет и бюджетите на общините </w:t>
      </w:r>
      <w:r>
        <w:rPr>
          <w:rFonts w:ascii="Verdana" w:hAnsi="Verdana"/>
          <w:bCs/>
          <w:color w:val="000000"/>
          <w:sz w:val="20"/>
          <w:lang w:val="bg-BG" w:eastAsia="bg-BG"/>
        </w:rPr>
        <w:t>ОП РЧР и ОП НОИР, собствени средства на МОН и други</w:t>
      </w:r>
      <w:r w:rsidRPr="007637E7">
        <w:rPr>
          <w:rFonts w:ascii="Verdana" w:hAnsi="Verdana"/>
          <w:bCs/>
          <w:color w:val="000000"/>
          <w:sz w:val="20"/>
          <w:lang w:val="bg-BG" w:eastAsia="bg-BG"/>
        </w:rPr>
        <w:t>.</w:t>
      </w:r>
    </w:p>
    <w:p w:rsidR="00AD796B" w:rsidRDefault="00AD796B" w:rsidP="00AD796B">
      <w:pPr>
        <w:pStyle w:val="ListParagraph1"/>
        <w:widowControl w:val="0"/>
        <w:numPr>
          <w:ilvl w:val="0"/>
          <w:numId w:val="60"/>
        </w:numPr>
        <w:tabs>
          <w:tab w:val="left" w:pos="0"/>
          <w:tab w:val="right" w:pos="9214"/>
        </w:tabs>
        <w:spacing w:before="60" w:after="60" w:line="276" w:lineRule="auto"/>
        <w:ind w:left="714" w:hanging="357"/>
        <w:rPr>
          <w:rFonts w:ascii="Verdana" w:hAnsi="Verdana"/>
          <w:bCs/>
          <w:color w:val="000000"/>
          <w:sz w:val="20"/>
          <w:lang w:val="bg-BG" w:eastAsia="bg-BG"/>
        </w:rPr>
      </w:pPr>
      <w:r w:rsidRPr="007637E7">
        <w:rPr>
          <w:rFonts w:ascii="Verdana" w:hAnsi="Verdana"/>
          <w:b/>
          <w:bCs/>
          <w:i/>
          <w:color w:val="000000"/>
          <w:sz w:val="20"/>
          <w:lang w:val="bg-BG" w:eastAsia="bg-BG"/>
        </w:rPr>
        <w:t>Проекта на стратегия за превенция на и намаляване на дела на отпадащите и преждевременно напусналите образователната система (2013-2020)</w:t>
      </w:r>
      <w:r>
        <w:rPr>
          <w:rFonts w:ascii="Verdana" w:hAnsi="Verdana"/>
          <w:bCs/>
          <w:color w:val="000000"/>
          <w:sz w:val="20"/>
          <w:lang w:val="bg-BG" w:eastAsia="bg-BG"/>
        </w:rPr>
        <w:t>: Стратегията дава само обща информация за източниците на финансиране.</w:t>
      </w:r>
    </w:p>
    <w:p w:rsidR="00AD796B" w:rsidRDefault="00AD796B" w:rsidP="00AD796B">
      <w:pPr>
        <w:pStyle w:val="ListParagraph1"/>
        <w:widowControl w:val="0"/>
        <w:numPr>
          <w:ilvl w:val="0"/>
          <w:numId w:val="60"/>
        </w:numPr>
        <w:tabs>
          <w:tab w:val="left" w:pos="0"/>
          <w:tab w:val="right" w:pos="9214"/>
        </w:tabs>
        <w:spacing w:before="60" w:after="60" w:line="276" w:lineRule="auto"/>
        <w:ind w:left="714" w:hanging="357"/>
        <w:rPr>
          <w:rFonts w:ascii="Verdana" w:hAnsi="Verdana"/>
          <w:bCs/>
          <w:color w:val="000000"/>
          <w:sz w:val="20"/>
          <w:lang w:val="bg-BG" w:eastAsia="bg-BG"/>
        </w:rPr>
      </w:pPr>
      <w:r w:rsidRPr="007637E7">
        <w:rPr>
          <w:rFonts w:ascii="Verdana" w:hAnsi="Verdana"/>
          <w:b/>
          <w:bCs/>
          <w:i/>
          <w:color w:val="000000"/>
          <w:sz w:val="20"/>
          <w:lang w:val="bg-BG" w:eastAsia="bg-BG"/>
        </w:rPr>
        <w:t>Национална стратегия за младежта (2010-2020)</w:t>
      </w:r>
      <w:r>
        <w:rPr>
          <w:rFonts w:ascii="Verdana" w:hAnsi="Verdana"/>
          <w:bCs/>
          <w:color w:val="000000"/>
          <w:sz w:val="20"/>
          <w:lang w:val="bg-BG" w:eastAsia="bg-BG"/>
        </w:rPr>
        <w:t>: Стратегията дава само обща информация за източниците на финансиране. ОП НОИР не е спомената като източник на финансиране.</w:t>
      </w:r>
    </w:p>
    <w:p w:rsidR="00AD796B" w:rsidRPr="004E09A3" w:rsidRDefault="00AD796B" w:rsidP="00AD796B">
      <w:pPr>
        <w:pStyle w:val="ListParagraph1"/>
        <w:widowControl w:val="0"/>
        <w:numPr>
          <w:ilvl w:val="0"/>
          <w:numId w:val="60"/>
        </w:numPr>
        <w:tabs>
          <w:tab w:val="left" w:pos="0"/>
          <w:tab w:val="right" w:pos="9214"/>
        </w:tabs>
        <w:spacing w:before="60" w:after="60" w:line="276" w:lineRule="auto"/>
        <w:ind w:left="714" w:hanging="357"/>
        <w:rPr>
          <w:rFonts w:ascii="Verdana" w:hAnsi="Verdana"/>
          <w:bCs/>
          <w:color w:val="000000"/>
          <w:sz w:val="20"/>
          <w:lang w:val="bg-BG" w:eastAsia="bg-BG"/>
        </w:rPr>
      </w:pPr>
      <w:r w:rsidRPr="004E09A3">
        <w:rPr>
          <w:rFonts w:ascii="Verdana" w:hAnsi="Verdana"/>
          <w:b/>
          <w:bCs/>
          <w:i/>
          <w:color w:val="000000"/>
          <w:sz w:val="20"/>
          <w:lang w:val="bg-BG" w:eastAsia="bg-BG"/>
        </w:rPr>
        <w:t>Национална стратегия за учене през целия живот за периода 2014 – 2020 година</w:t>
      </w:r>
      <w:r w:rsidRPr="004E09A3">
        <w:rPr>
          <w:rFonts w:ascii="Verdana" w:hAnsi="Verdana"/>
          <w:bCs/>
          <w:color w:val="000000"/>
          <w:sz w:val="20"/>
          <w:lang w:val="bg-BG" w:eastAsia="bg-BG"/>
        </w:rPr>
        <w:t>: Стратегията дава само обща информация, че финансирането й ще се осъществява със средства на държавния бюджет, европейските фондове и програмата на ЕС „Еразъм+”, както и чрез дарения, спонсорство и други източници. Предвижда се бюджетът и източниците ще бъдат включени в плановете за действие в</w:t>
      </w:r>
      <w:r>
        <w:rPr>
          <w:rFonts w:ascii="Verdana" w:hAnsi="Verdana"/>
          <w:bCs/>
          <w:color w:val="000000"/>
          <w:sz w:val="20"/>
          <w:lang w:val="bg-BG" w:eastAsia="bg-BG"/>
        </w:rPr>
        <w:t xml:space="preserve"> </w:t>
      </w:r>
      <w:r w:rsidRPr="004E09A3">
        <w:rPr>
          <w:rFonts w:ascii="Verdana" w:hAnsi="Verdana"/>
          <w:bCs/>
          <w:color w:val="000000"/>
          <w:sz w:val="20"/>
          <w:lang w:val="bg-BG" w:eastAsia="bg-BG"/>
        </w:rPr>
        <w:t>изпълнение на Стратегията.</w:t>
      </w:r>
    </w:p>
    <w:p w:rsidR="00AD796B" w:rsidRDefault="00AD796B" w:rsidP="00AD796B">
      <w:pPr>
        <w:pStyle w:val="ListParagraph1"/>
        <w:widowControl w:val="0"/>
        <w:numPr>
          <w:ilvl w:val="0"/>
          <w:numId w:val="60"/>
        </w:numPr>
        <w:tabs>
          <w:tab w:val="left" w:pos="0"/>
          <w:tab w:val="right" w:pos="9214"/>
        </w:tabs>
        <w:spacing w:before="60" w:after="60" w:line="276" w:lineRule="auto"/>
        <w:ind w:left="714" w:hanging="357"/>
        <w:rPr>
          <w:rFonts w:ascii="Verdana" w:hAnsi="Verdana"/>
          <w:bCs/>
          <w:color w:val="000000"/>
          <w:sz w:val="20"/>
          <w:lang w:val="bg-BG" w:eastAsia="bg-BG"/>
        </w:rPr>
      </w:pPr>
      <w:r w:rsidRPr="004E09A3">
        <w:rPr>
          <w:rFonts w:ascii="Verdana" w:hAnsi="Verdana"/>
          <w:b/>
          <w:bCs/>
          <w:i/>
          <w:color w:val="000000"/>
          <w:sz w:val="20"/>
          <w:lang w:val="bg-BG" w:eastAsia="bg-BG"/>
        </w:rPr>
        <w:t>Национална пътна карта за научна инфраструктура</w:t>
      </w:r>
      <w:r>
        <w:rPr>
          <w:rFonts w:ascii="Verdana" w:hAnsi="Verdana"/>
          <w:bCs/>
          <w:color w:val="000000"/>
          <w:sz w:val="20"/>
          <w:lang w:val="bg-BG" w:eastAsia="bg-BG"/>
        </w:rPr>
        <w:t>: Дава подробна разбивка на източниците на финансиране.</w:t>
      </w:r>
    </w:p>
    <w:p w:rsidR="00AD796B" w:rsidRDefault="00AD796B" w:rsidP="00AD796B">
      <w:pPr>
        <w:pStyle w:val="ListParagraph1"/>
        <w:widowControl w:val="0"/>
        <w:numPr>
          <w:ilvl w:val="0"/>
          <w:numId w:val="60"/>
        </w:numPr>
        <w:tabs>
          <w:tab w:val="left" w:pos="0"/>
          <w:tab w:val="right" w:pos="9214"/>
        </w:tabs>
        <w:spacing w:before="60" w:after="60" w:line="276" w:lineRule="auto"/>
        <w:ind w:left="714" w:hanging="357"/>
        <w:rPr>
          <w:rFonts w:ascii="Verdana" w:hAnsi="Verdana"/>
          <w:bCs/>
          <w:color w:val="000000"/>
          <w:sz w:val="20"/>
          <w:lang w:val="bg-BG" w:eastAsia="bg-BG"/>
        </w:rPr>
      </w:pPr>
      <w:r w:rsidRPr="004E09A3">
        <w:rPr>
          <w:rFonts w:ascii="Verdana" w:hAnsi="Verdana"/>
          <w:b/>
          <w:bCs/>
          <w:i/>
          <w:color w:val="000000"/>
          <w:sz w:val="20"/>
          <w:lang w:val="bg-BG" w:eastAsia="bg-BG"/>
        </w:rPr>
        <w:t xml:space="preserve">Национална стратегия „Визия за </w:t>
      </w:r>
      <w:proofErr w:type="spellStart"/>
      <w:r w:rsidRPr="004E09A3">
        <w:rPr>
          <w:rFonts w:ascii="Verdana" w:hAnsi="Verdana"/>
          <w:b/>
          <w:bCs/>
          <w:i/>
          <w:color w:val="000000"/>
          <w:sz w:val="20"/>
          <w:lang w:val="bg-BG" w:eastAsia="bg-BG"/>
        </w:rPr>
        <w:t>деинституционализацията</w:t>
      </w:r>
      <w:proofErr w:type="spellEnd"/>
      <w:r w:rsidRPr="004E09A3">
        <w:rPr>
          <w:rFonts w:ascii="Verdana" w:hAnsi="Verdana"/>
          <w:b/>
          <w:bCs/>
          <w:i/>
          <w:color w:val="000000"/>
          <w:sz w:val="20"/>
          <w:lang w:val="bg-BG" w:eastAsia="bg-BG"/>
        </w:rPr>
        <w:t xml:space="preserve"> на децата в Република България</w:t>
      </w:r>
      <w:r>
        <w:rPr>
          <w:rFonts w:ascii="Verdana" w:hAnsi="Verdana"/>
          <w:bCs/>
          <w:color w:val="000000"/>
          <w:sz w:val="20"/>
          <w:lang w:val="bg-BG" w:eastAsia="bg-BG"/>
        </w:rPr>
        <w:t>: В</w:t>
      </w:r>
      <w:r w:rsidRPr="004E09A3">
        <w:rPr>
          <w:rFonts w:ascii="Verdana" w:hAnsi="Verdana"/>
          <w:bCs/>
          <w:color w:val="000000"/>
          <w:sz w:val="20"/>
          <w:lang w:val="bg-BG" w:eastAsia="bg-BG"/>
        </w:rPr>
        <w:t>изия</w:t>
      </w:r>
      <w:r>
        <w:rPr>
          <w:rFonts w:ascii="Verdana" w:hAnsi="Verdana"/>
          <w:bCs/>
          <w:color w:val="000000"/>
          <w:sz w:val="20"/>
          <w:lang w:val="bg-BG" w:eastAsia="bg-BG"/>
        </w:rPr>
        <w:t>та</w:t>
      </w:r>
      <w:r w:rsidRPr="004E09A3">
        <w:rPr>
          <w:rFonts w:ascii="Verdana" w:hAnsi="Verdana"/>
          <w:bCs/>
          <w:color w:val="000000"/>
          <w:sz w:val="20"/>
          <w:lang w:val="bg-BG" w:eastAsia="bg-BG"/>
        </w:rPr>
        <w:t xml:space="preserve"> дава по-подробна </w:t>
      </w:r>
      <w:proofErr w:type="spellStart"/>
      <w:r w:rsidRPr="004E09A3">
        <w:rPr>
          <w:rFonts w:ascii="Verdana" w:hAnsi="Verdana"/>
          <w:bCs/>
          <w:color w:val="000000"/>
          <w:sz w:val="20"/>
          <w:lang w:val="bg-BG" w:eastAsia="bg-BG"/>
        </w:rPr>
        <w:t>околичествена</w:t>
      </w:r>
      <w:proofErr w:type="spellEnd"/>
      <w:r w:rsidRPr="004E09A3">
        <w:rPr>
          <w:rFonts w:ascii="Verdana" w:hAnsi="Verdana"/>
          <w:bCs/>
          <w:color w:val="000000"/>
          <w:sz w:val="20"/>
          <w:lang w:val="bg-BG" w:eastAsia="bg-BG"/>
        </w:rPr>
        <w:t xml:space="preserve"> разбивка на източниц</w:t>
      </w:r>
      <w:r>
        <w:rPr>
          <w:rFonts w:ascii="Verdana" w:hAnsi="Verdana"/>
          <w:bCs/>
          <w:color w:val="000000"/>
          <w:sz w:val="20"/>
          <w:lang w:val="bg-BG" w:eastAsia="bg-BG"/>
        </w:rPr>
        <w:t>ите на финансиране, но в нея ОП</w:t>
      </w:r>
      <w:r w:rsidRPr="004E09A3">
        <w:rPr>
          <w:rFonts w:ascii="Verdana" w:hAnsi="Verdana"/>
          <w:bCs/>
          <w:color w:val="000000"/>
          <w:sz w:val="20"/>
          <w:lang w:val="bg-BG" w:eastAsia="bg-BG"/>
        </w:rPr>
        <w:t>НОИР не присъства.</w:t>
      </w:r>
    </w:p>
    <w:p w:rsidR="00AD796B" w:rsidRDefault="00AD796B" w:rsidP="00AD796B">
      <w:pPr>
        <w:pStyle w:val="ListParagraph1"/>
        <w:widowControl w:val="0"/>
        <w:numPr>
          <w:ilvl w:val="0"/>
          <w:numId w:val="60"/>
        </w:numPr>
        <w:tabs>
          <w:tab w:val="left" w:pos="0"/>
          <w:tab w:val="right" w:pos="9214"/>
        </w:tabs>
        <w:spacing w:before="60" w:after="60" w:line="276" w:lineRule="auto"/>
        <w:ind w:left="714" w:hanging="357"/>
        <w:rPr>
          <w:rFonts w:ascii="Verdana" w:hAnsi="Verdana"/>
          <w:bCs/>
          <w:color w:val="000000"/>
          <w:sz w:val="20"/>
          <w:lang w:val="bg-BG" w:eastAsia="bg-BG"/>
        </w:rPr>
      </w:pPr>
      <w:r w:rsidRPr="004E09A3">
        <w:rPr>
          <w:rFonts w:ascii="Verdana" w:hAnsi="Verdana"/>
          <w:b/>
          <w:bCs/>
          <w:i/>
          <w:color w:val="000000"/>
          <w:sz w:val="20"/>
          <w:lang w:val="bg-BG" w:eastAsia="bg-BG"/>
        </w:rPr>
        <w:t>Актуализирана национална стратегия за демографско развитие на населението в Република България (2012 г. - 2030 г.)</w:t>
      </w:r>
      <w:r>
        <w:rPr>
          <w:rFonts w:ascii="Verdana" w:hAnsi="Verdana"/>
          <w:bCs/>
          <w:color w:val="000000"/>
          <w:sz w:val="20"/>
          <w:lang w:val="bg-BG" w:eastAsia="bg-BG"/>
        </w:rPr>
        <w:t>: В стратегията източниците на финансиране са само общо споменати.</w:t>
      </w:r>
    </w:p>
    <w:p w:rsidR="00AD796B" w:rsidRPr="00632267" w:rsidRDefault="00AD796B" w:rsidP="00AD796B">
      <w:pPr>
        <w:widowControl w:val="0"/>
        <w:tabs>
          <w:tab w:val="left" w:pos="1276"/>
        </w:tabs>
        <w:overflowPunct w:val="0"/>
        <w:autoSpaceDE w:val="0"/>
        <w:autoSpaceDN w:val="0"/>
        <w:adjustRightInd w:val="0"/>
        <w:spacing w:before="360" w:after="120"/>
        <w:jc w:val="both"/>
        <w:textAlignment w:val="baseline"/>
        <w:outlineLvl w:val="2"/>
        <w:rPr>
          <w:rFonts w:ascii="Verdana" w:eastAsia="Times New Roman" w:hAnsi="Verdana" w:cs="Calibri"/>
          <w:b/>
          <w:color w:val="365F91"/>
          <w:lang w:val="bg-BG" w:eastAsia="cs-CZ"/>
        </w:rPr>
      </w:pPr>
      <w:bookmarkStart w:id="148" w:name="_Toc390262450"/>
      <w:bookmarkStart w:id="149" w:name="_Toc395612524"/>
      <w:r w:rsidRPr="00632267">
        <w:rPr>
          <w:rFonts w:ascii="Verdana" w:eastAsia="Times New Roman" w:hAnsi="Verdana" w:cs="Calibri"/>
          <w:b/>
          <w:color w:val="365F91"/>
          <w:lang w:val="bg-BG" w:eastAsia="cs-CZ"/>
        </w:rPr>
        <w:t>Изводи и препоръки</w:t>
      </w:r>
      <w:bookmarkEnd w:id="148"/>
      <w:bookmarkEnd w:id="149"/>
    </w:p>
    <w:p w:rsidR="00AD796B" w:rsidRDefault="00AD796B" w:rsidP="00AD796B">
      <w:pPr>
        <w:widowControl w:val="0"/>
        <w:tabs>
          <w:tab w:val="left" w:pos="0"/>
          <w:tab w:val="right" w:pos="9214"/>
        </w:tabs>
        <w:spacing w:after="0"/>
        <w:jc w:val="both"/>
        <w:rPr>
          <w:rFonts w:ascii="Verdana" w:eastAsia="Times New Roman" w:hAnsi="Verdana"/>
          <w:bCs/>
          <w:color w:val="000000"/>
          <w:sz w:val="20"/>
          <w:szCs w:val="20"/>
          <w:lang w:val="bg-BG" w:eastAsia="bg-BG"/>
        </w:rPr>
      </w:pPr>
      <w:r>
        <w:rPr>
          <w:rFonts w:ascii="Verdana" w:eastAsia="Times New Roman" w:hAnsi="Verdana"/>
          <w:bCs/>
          <w:color w:val="000000"/>
          <w:sz w:val="20"/>
          <w:szCs w:val="20"/>
          <w:lang w:val="bg-BG" w:eastAsia="bg-BG"/>
        </w:rPr>
        <w:t>Разпределението на бюджета на програмата предстои да бъде уточнявано. Необходимо е да се обърне внимание на следното:</w:t>
      </w:r>
    </w:p>
    <w:p w:rsidR="00AD796B" w:rsidRPr="004F0EA0" w:rsidRDefault="00AD796B" w:rsidP="00AD796B">
      <w:pPr>
        <w:pStyle w:val="ListParagraph"/>
        <w:widowControl w:val="0"/>
        <w:numPr>
          <w:ilvl w:val="0"/>
          <w:numId w:val="69"/>
        </w:numPr>
        <w:tabs>
          <w:tab w:val="left" w:pos="0"/>
          <w:tab w:val="right" w:pos="9214"/>
        </w:tabs>
        <w:spacing w:after="0"/>
        <w:ind w:left="714" w:hanging="357"/>
        <w:jc w:val="both"/>
        <w:rPr>
          <w:rFonts w:ascii="Verdana" w:eastAsia="Times New Roman" w:hAnsi="Verdana"/>
          <w:bCs/>
          <w:color w:val="000000"/>
          <w:sz w:val="20"/>
          <w:szCs w:val="20"/>
          <w:lang w:val="bg-BG" w:eastAsia="bg-BG"/>
        </w:rPr>
      </w:pPr>
      <w:r>
        <w:rPr>
          <w:rFonts w:ascii="Verdana" w:hAnsi="Verdana"/>
          <w:sz w:val="20"/>
          <w:szCs w:val="20"/>
          <w:lang w:val="bg-BG"/>
        </w:rPr>
        <w:t>Да се уеднаквят сумите в ОПНОИР и Споразумението за партньорство;</w:t>
      </w:r>
    </w:p>
    <w:p w:rsidR="00AD796B" w:rsidRPr="00843FD1" w:rsidRDefault="00AD796B" w:rsidP="00AD796B">
      <w:pPr>
        <w:pStyle w:val="ListParagraph"/>
        <w:widowControl w:val="0"/>
        <w:numPr>
          <w:ilvl w:val="0"/>
          <w:numId w:val="69"/>
        </w:numPr>
        <w:tabs>
          <w:tab w:val="left" w:pos="0"/>
          <w:tab w:val="right" w:pos="9214"/>
        </w:tabs>
        <w:spacing w:after="0"/>
        <w:ind w:left="714" w:hanging="357"/>
        <w:jc w:val="both"/>
        <w:rPr>
          <w:rFonts w:ascii="Verdana" w:eastAsia="Times New Roman" w:hAnsi="Verdana"/>
          <w:bCs/>
          <w:color w:val="000000"/>
          <w:sz w:val="20"/>
          <w:szCs w:val="20"/>
          <w:lang w:val="bg-BG" w:eastAsia="bg-BG"/>
        </w:rPr>
      </w:pPr>
      <w:r>
        <w:rPr>
          <w:rFonts w:ascii="Verdana" w:hAnsi="Verdana"/>
          <w:sz w:val="20"/>
          <w:szCs w:val="20"/>
          <w:lang w:val="bg-BG"/>
        </w:rPr>
        <w:t>Да се допълни информация относно изпълнението на изискването за концентрация на поне 60% от бюджета на програмата в най-много 5 инвестиционни приоритета;</w:t>
      </w:r>
    </w:p>
    <w:p w:rsidR="00AD796B" w:rsidRPr="004F0EA0" w:rsidRDefault="00AD796B" w:rsidP="00AD796B">
      <w:pPr>
        <w:pStyle w:val="ListParagraph"/>
        <w:widowControl w:val="0"/>
        <w:numPr>
          <w:ilvl w:val="0"/>
          <w:numId w:val="69"/>
        </w:numPr>
        <w:tabs>
          <w:tab w:val="left" w:pos="0"/>
          <w:tab w:val="right" w:pos="9214"/>
        </w:tabs>
        <w:spacing w:after="0"/>
        <w:ind w:left="714" w:hanging="357"/>
        <w:jc w:val="both"/>
        <w:rPr>
          <w:rFonts w:ascii="Verdana" w:eastAsia="Times New Roman" w:hAnsi="Verdana"/>
          <w:bCs/>
          <w:color w:val="000000"/>
          <w:sz w:val="20"/>
          <w:szCs w:val="20"/>
          <w:lang w:val="bg-BG" w:eastAsia="bg-BG"/>
        </w:rPr>
      </w:pPr>
      <w:r>
        <w:rPr>
          <w:rFonts w:ascii="Verdana" w:hAnsi="Verdana"/>
          <w:sz w:val="20"/>
          <w:szCs w:val="20"/>
          <w:lang w:val="bg-BG"/>
        </w:rPr>
        <w:t xml:space="preserve">Да се премахне заделения за техническа помощ резерв за изпълнение, като </w:t>
      </w:r>
      <w:r>
        <w:rPr>
          <w:rFonts w:ascii="Verdana" w:hAnsi="Verdana"/>
          <w:sz w:val="20"/>
          <w:szCs w:val="20"/>
          <w:lang w:val="bg-BG"/>
        </w:rPr>
        <w:lastRenderedPageBreak/>
        <w:t>той се разпредели по останалите приоритетни оси на програмата, за да не се допуска противоречие с чл. 22 (1) от Общия регламент за</w:t>
      </w:r>
      <w:r w:rsidR="00390DD1">
        <w:rPr>
          <w:rFonts w:ascii="Verdana" w:hAnsi="Verdana"/>
          <w:sz w:val="20"/>
          <w:szCs w:val="20"/>
          <w:lang w:val="bg-BG"/>
        </w:rPr>
        <w:t xml:space="preserve"> ЕСИФ;</w:t>
      </w:r>
    </w:p>
    <w:p w:rsidR="00AD796B" w:rsidRPr="00390DD1" w:rsidRDefault="00AD796B" w:rsidP="00AD796B">
      <w:pPr>
        <w:pStyle w:val="ListParagraph"/>
        <w:widowControl w:val="0"/>
        <w:numPr>
          <w:ilvl w:val="0"/>
          <w:numId w:val="69"/>
        </w:numPr>
        <w:tabs>
          <w:tab w:val="left" w:pos="0"/>
          <w:tab w:val="right" w:pos="9214"/>
        </w:tabs>
        <w:spacing w:after="0"/>
        <w:ind w:left="714" w:hanging="357"/>
        <w:jc w:val="both"/>
        <w:rPr>
          <w:rFonts w:ascii="Verdana" w:eastAsia="Times New Roman" w:hAnsi="Verdana"/>
          <w:bCs/>
          <w:color w:val="000000"/>
          <w:sz w:val="20"/>
          <w:szCs w:val="20"/>
          <w:lang w:val="bg-BG" w:eastAsia="bg-BG"/>
        </w:rPr>
      </w:pPr>
      <w:r w:rsidRPr="001B40F2">
        <w:rPr>
          <w:rFonts w:ascii="Verdana" w:hAnsi="Verdana"/>
          <w:sz w:val="20"/>
          <w:szCs w:val="20"/>
          <w:lang w:val="bg-BG"/>
        </w:rPr>
        <w:t>УО да обмисли възможността, при наличие на интерес и достатъчен обем на заделените за тях средства, дейностите по ЕСФ, свързани с транснационално сътрудничество, да бъдат обособени в отделна приоритетна ос.</w:t>
      </w:r>
      <w:r w:rsidR="00390DD1">
        <w:rPr>
          <w:rFonts w:ascii="Verdana" w:hAnsi="Verdana"/>
          <w:sz w:val="20"/>
          <w:szCs w:val="20"/>
          <w:lang w:val="bg-BG"/>
        </w:rPr>
        <w:t xml:space="preserve"> </w:t>
      </w:r>
    </w:p>
    <w:p w:rsidR="00390DD1" w:rsidRPr="00390DD1" w:rsidRDefault="00390DD1" w:rsidP="00390DD1">
      <w:pPr>
        <w:pStyle w:val="ListParagraph"/>
        <w:widowControl w:val="0"/>
        <w:tabs>
          <w:tab w:val="left" w:pos="0"/>
          <w:tab w:val="right" w:pos="9214"/>
        </w:tabs>
        <w:spacing w:after="0"/>
        <w:ind w:left="714"/>
        <w:jc w:val="both"/>
        <w:rPr>
          <w:rFonts w:ascii="Verdana" w:eastAsia="Times New Roman" w:hAnsi="Verdana"/>
          <w:bCs/>
          <w:color w:val="000000"/>
          <w:sz w:val="20"/>
          <w:szCs w:val="20"/>
          <w:lang w:val="bg-BG" w:eastAsia="bg-BG"/>
        </w:rPr>
      </w:pPr>
    </w:p>
    <w:p w:rsidR="00A62214" w:rsidRPr="00A62214" w:rsidRDefault="00A62214" w:rsidP="00A62214">
      <w:pPr>
        <w:pStyle w:val="Heading2"/>
        <w:shd w:val="clear" w:color="auto" w:fill="FFCC99"/>
        <w:spacing w:line="276" w:lineRule="auto"/>
        <w:rPr>
          <w:rFonts w:ascii="Verdana" w:hAnsi="Verdana"/>
          <w:i w:val="0"/>
          <w:iCs/>
          <w:color w:val="0063B8"/>
          <w:sz w:val="26"/>
          <w:szCs w:val="26"/>
          <w:lang w:val="bg-BG"/>
        </w:rPr>
      </w:pPr>
      <w:bookmarkStart w:id="150" w:name="_Toc319498704"/>
      <w:bookmarkStart w:id="151" w:name="_Toc395612525"/>
      <w:r>
        <w:rPr>
          <w:rFonts w:ascii="Verdana" w:hAnsi="Verdana"/>
          <w:i w:val="0"/>
          <w:iCs/>
          <w:color w:val="0063B8"/>
          <w:sz w:val="26"/>
          <w:szCs w:val="26"/>
          <w:lang w:val="bg-BG"/>
        </w:rPr>
        <w:t>Оценка на административния капацитет, управлението, наблюдението и оценката на ОПНОИР</w:t>
      </w:r>
      <w:bookmarkEnd w:id="151"/>
    </w:p>
    <w:p w:rsidR="00632267" w:rsidRPr="00632267" w:rsidRDefault="00632267" w:rsidP="00632267">
      <w:pPr>
        <w:widowControl w:val="0"/>
        <w:tabs>
          <w:tab w:val="left" w:pos="1276"/>
        </w:tabs>
        <w:overflowPunct w:val="0"/>
        <w:autoSpaceDE w:val="0"/>
        <w:autoSpaceDN w:val="0"/>
        <w:adjustRightInd w:val="0"/>
        <w:spacing w:before="360" w:after="120"/>
        <w:jc w:val="both"/>
        <w:textAlignment w:val="baseline"/>
        <w:outlineLvl w:val="2"/>
        <w:rPr>
          <w:rFonts w:ascii="Verdana" w:eastAsia="Times New Roman" w:hAnsi="Verdana" w:cs="Calibri"/>
          <w:b/>
          <w:color w:val="365F91"/>
          <w:lang w:val="bg-BG" w:eastAsia="cs-CZ"/>
        </w:rPr>
      </w:pPr>
      <w:bookmarkStart w:id="152" w:name="_Toc395612526"/>
      <w:r>
        <w:rPr>
          <w:rFonts w:ascii="Verdana" w:eastAsia="Times New Roman" w:hAnsi="Verdana" w:cs="Calibri"/>
          <w:b/>
          <w:color w:val="365F91"/>
          <w:lang w:val="bg-BG" w:eastAsia="cs-CZ"/>
        </w:rPr>
        <w:t>Анализ</w:t>
      </w:r>
      <w:bookmarkEnd w:id="152"/>
    </w:p>
    <w:tbl>
      <w:tblPr>
        <w:tblW w:w="9090" w:type="dxa"/>
        <w:tblInd w:w="108" w:type="dxa"/>
        <w:tblBorders>
          <w:top w:val="single" w:sz="4" w:space="0" w:color="auto"/>
          <w:bottom w:val="single" w:sz="4" w:space="0" w:color="auto"/>
        </w:tblBorders>
        <w:tblLook w:val="04A0" w:firstRow="1" w:lastRow="0" w:firstColumn="1" w:lastColumn="0" w:noHBand="0" w:noVBand="1"/>
      </w:tblPr>
      <w:tblGrid>
        <w:gridCol w:w="531"/>
        <w:gridCol w:w="8559"/>
      </w:tblGrid>
      <w:tr w:rsidR="00B67535" w:rsidRPr="005757F7" w:rsidTr="001B6329">
        <w:trPr>
          <w:trHeight w:val="452"/>
        </w:trPr>
        <w:tc>
          <w:tcPr>
            <w:tcW w:w="531" w:type="dxa"/>
            <w:vAlign w:val="center"/>
          </w:tcPr>
          <w:p w:rsidR="00B67535" w:rsidRPr="005757F7" w:rsidRDefault="00B67535" w:rsidP="00B67535">
            <w:pPr>
              <w:pStyle w:val="BodyText"/>
              <w:spacing w:before="120"/>
              <w:jc w:val="center"/>
              <w:rPr>
                <w:rFonts w:ascii="Verdana" w:hAnsi="Verdana"/>
                <w:color w:val="548DD4"/>
                <w:sz w:val="36"/>
                <w:szCs w:val="36"/>
              </w:rPr>
            </w:pPr>
            <w:r w:rsidRPr="005757F7">
              <w:rPr>
                <w:rFonts w:ascii="Verdana" w:hAnsi="Verdana"/>
                <w:color w:val="548DD4"/>
                <w:sz w:val="36"/>
                <w:szCs w:val="36"/>
              </w:rPr>
              <w:t>?</w:t>
            </w:r>
          </w:p>
        </w:tc>
        <w:tc>
          <w:tcPr>
            <w:tcW w:w="8559" w:type="dxa"/>
            <w:shd w:val="clear" w:color="auto" w:fill="B8CCE4"/>
            <w:vAlign w:val="center"/>
          </w:tcPr>
          <w:p w:rsidR="00B67535" w:rsidRPr="005757F7" w:rsidRDefault="00B67535" w:rsidP="001B6329">
            <w:pPr>
              <w:autoSpaceDE w:val="0"/>
              <w:autoSpaceDN w:val="0"/>
              <w:adjustRightInd w:val="0"/>
              <w:spacing w:before="120" w:after="120"/>
              <w:rPr>
                <w:rFonts w:ascii="Verdana" w:hAnsi="Verdana"/>
                <w:sz w:val="20"/>
                <w:szCs w:val="20"/>
                <w:lang w:val="bg-BG"/>
              </w:rPr>
            </w:pPr>
            <w:r w:rsidRPr="005757F7">
              <w:rPr>
                <w:rFonts w:ascii="Verdana" w:hAnsi="Verdana"/>
                <w:sz w:val="20"/>
                <w:szCs w:val="20"/>
                <w:lang w:val="bg-BG"/>
              </w:rPr>
              <w:t>Адекватност на структурата за управление</w:t>
            </w:r>
          </w:p>
        </w:tc>
      </w:tr>
    </w:tbl>
    <w:p w:rsidR="00AB594A" w:rsidRDefault="00AB594A" w:rsidP="00AB594A">
      <w:pPr>
        <w:autoSpaceDE w:val="0"/>
        <w:autoSpaceDN w:val="0"/>
        <w:adjustRightInd w:val="0"/>
        <w:spacing w:before="120" w:after="120"/>
        <w:jc w:val="both"/>
        <w:rPr>
          <w:rFonts w:ascii="Verdana" w:hAnsi="Verdana"/>
          <w:bCs/>
          <w:color w:val="000000"/>
          <w:sz w:val="20"/>
          <w:szCs w:val="20"/>
          <w:lang w:val="bg-BG"/>
        </w:rPr>
      </w:pPr>
      <w:r>
        <w:rPr>
          <w:rFonts w:ascii="Verdana" w:hAnsi="Verdana" w:cs="TimesNewRomanPSMT"/>
          <w:sz w:val="20"/>
          <w:szCs w:val="20"/>
          <w:lang w:val="bg-BG" w:eastAsia="bg-BG"/>
        </w:rPr>
        <w:t xml:space="preserve">През програмен период 2007 – 2013, ГДСФМОП е изпълнявала функциите на междинно звено по ОПРЧР 2007 – 2013, с УО -  </w:t>
      </w:r>
      <w:r w:rsidRPr="00173D95">
        <w:rPr>
          <w:rFonts w:ascii="Verdana" w:hAnsi="Verdana"/>
          <w:bCs/>
          <w:color w:val="000000"/>
          <w:sz w:val="20"/>
          <w:szCs w:val="20"/>
          <w:lang w:val="bg-BG"/>
        </w:rPr>
        <w:t>ГДЕФМПП</w:t>
      </w:r>
      <w:r>
        <w:rPr>
          <w:rFonts w:ascii="Verdana" w:hAnsi="Verdana"/>
          <w:bCs/>
          <w:color w:val="000000"/>
          <w:sz w:val="20"/>
          <w:szCs w:val="20"/>
          <w:lang w:val="bg-BG"/>
        </w:rPr>
        <w:t xml:space="preserve"> в МТСП. </w:t>
      </w:r>
      <w:r>
        <w:rPr>
          <w:rFonts w:ascii="Verdana" w:hAnsi="Verdana" w:cs="TimesNewRomanPSMT"/>
          <w:sz w:val="20"/>
          <w:szCs w:val="20"/>
          <w:lang w:val="bg-BG" w:eastAsia="bg-BG"/>
        </w:rPr>
        <w:t>Съгласно РМС №792 на МС от 17.12.2013 г. дирекцията е определена за УО на</w:t>
      </w:r>
      <w:r w:rsidRPr="00173D95">
        <w:rPr>
          <w:rFonts w:ascii="Verdana" w:hAnsi="Verdana" w:cs="TimesNewRomanPSMT"/>
          <w:sz w:val="20"/>
          <w:szCs w:val="20"/>
          <w:lang w:val="bg-BG" w:eastAsia="bg-BG"/>
        </w:rPr>
        <w:t xml:space="preserve"> ОП</w:t>
      </w:r>
      <w:r>
        <w:rPr>
          <w:rFonts w:ascii="Verdana" w:hAnsi="Verdana" w:cs="TimesNewRomanPSMT"/>
          <w:sz w:val="20"/>
          <w:szCs w:val="20"/>
          <w:lang w:val="bg-BG" w:eastAsia="bg-BG"/>
        </w:rPr>
        <w:t>НОИР</w:t>
      </w:r>
      <w:r w:rsidRPr="00173D95">
        <w:rPr>
          <w:rFonts w:ascii="Verdana" w:hAnsi="Verdana" w:cs="TimesNewRomanPSMT"/>
          <w:sz w:val="20"/>
          <w:szCs w:val="20"/>
          <w:lang w:val="bg-BG" w:eastAsia="bg-BG"/>
        </w:rPr>
        <w:t xml:space="preserve"> 2014-2020</w:t>
      </w:r>
      <w:r>
        <w:rPr>
          <w:rFonts w:ascii="Verdana" w:hAnsi="Verdana" w:cs="TimesNewRomanPSMT"/>
          <w:sz w:val="20"/>
          <w:szCs w:val="20"/>
          <w:lang w:val="bg-BG" w:eastAsia="bg-BG"/>
        </w:rPr>
        <w:t xml:space="preserve">г. </w:t>
      </w:r>
      <w:r>
        <w:rPr>
          <w:rFonts w:ascii="Verdana" w:hAnsi="Verdana"/>
          <w:bCs/>
          <w:color w:val="000000"/>
          <w:sz w:val="20"/>
          <w:szCs w:val="20"/>
          <w:lang w:val="bg-BG"/>
        </w:rPr>
        <w:t>Новите функции и отговорности на дирекцията наложиха изменение на структурата за да бъдат въведени и разпределени допълнителните задачи, които дирекцията трябва да изпълнява в качеството и на УО.</w:t>
      </w:r>
    </w:p>
    <w:p w:rsidR="00AB594A" w:rsidRPr="00AB594A" w:rsidRDefault="00AB594A" w:rsidP="00AB594A">
      <w:pPr>
        <w:autoSpaceDE w:val="0"/>
        <w:autoSpaceDN w:val="0"/>
        <w:adjustRightInd w:val="0"/>
        <w:spacing w:before="120" w:after="120"/>
        <w:jc w:val="both"/>
        <w:rPr>
          <w:rFonts w:ascii="Verdana" w:hAnsi="Verdana"/>
          <w:bCs/>
          <w:color w:val="000000"/>
          <w:sz w:val="20"/>
          <w:szCs w:val="20"/>
          <w:lang w:val="bg-BG"/>
        </w:rPr>
      </w:pPr>
      <w:r>
        <w:rPr>
          <w:rFonts w:ascii="Verdana" w:hAnsi="Verdana"/>
          <w:bCs/>
          <w:color w:val="000000"/>
          <w:sz w:val="20"/>
          <w:szCs w:val="20"/>
          <w:lang w:val="bg-BG"/>
        </w:rPr>
        <w:t>Адекватността на структурата на управление е един от трите основни елемента на оценката на административния капацитет</w:t>
      </w:r>
      <w:r>
        <w:rPr>
          <w:rStyle w:val="FootnoteReference"/>
          <w:rFonts w:ascii="Verdana" w:hAnsi="Verdana"/>
          <w:bCs/>
          <w:color w:val="000000"/>
          <w:sz w:val="20"/>
          <w:szCs w:val="20"/>
          <w:lang w:val="bg-BG"/>
        </w:rPr>
        <w:footnoteReference w:id="8"/>
      </w:r>
      <w:r>
        <w:rPr>
          <w:rFonts w:ascii="Verdana" w:hAnsi="Verdana"/>
          <w:bCs/>
          <w:color w:val="000000"/>
          <w:sz w:val="20"/>
          <w:szCs w:val="20"/>
          <w:lang w:val="bg-BG"/>
        </w:rPr>
        <w:t xml:space="preserve">, които включват още адекватност на човешките ресурси и наличие </w:t>
      </w:r>
      <w:r w:rsidRPr="00173D95">
        <w:rPr>
          <w:rFonts w:ascii="Verdana" w:eastAsia="Malgun Gothic" w:hAnsi="Verdana" w:cs="TimesNewRomanPSMT"/>
          <w:sz w:val="20"/>
          <w:szCs w:val="20"/>
          <w:lang w:val="bg-BG" w:eastAsia="ko-KR"/>
        </w:rPr>
        <w:t>на системи, инструменти, насоки, наръчници, процедури, които</w:t>
      </w:r>
      <w:r>
        <w:rPr>
          <w:rFonts w:ascii="Verdana" w:eastAsia="Malgun Gothic" w:hAnsi="Verdana" w:cs="TimesNewRomanPSMT"/>
          <w:sz w:val="20"/>
          <w:szCs w:val="20"/>
          <w:lang w:val="bg-BG" w:eastAsia="ko-KR"/>
        </w:rPr>
        <w:t xml:space="preserve"> да</w:t>
      </w:r>
      <w:r w:rsidRPr="00173D95">
        <w:rPr>
          <w:rFonts w:ascii="Verdana" w:eastAsia="Malgun Gothic" w:hAnsi="Verdana" w:cs="TimesNewRomanPSMT"/>
          <w:sz w:val="20"/>
          <w:szCs w:val="20"/>
          <w:lang w:val="bg-BG" w:eastAsia="ko-KR"/>
        </w:rPr>
        <w:t xml:space="preserve"> гарантират ефективно и правилно изпълнение на програмата</w:t>
      </w:r>
      <w:r>
        <w:rPr>
          <w:rFonts w:ascii="Verdana" w:eastAsia="Malgun Gothic" w:hAnsi="Verdana" w:cs="TimesNewRomanPSMT"/>
          <w:sz w:val="20"/>
          <w:szCs w:val="20"/>
          <w:lang w:val="bg-BG" w:eastAsia="ko-KR"/>
        </w:rPr>
        <w:t xml:space="preserve">. Човешките ресурси и системите и процедурите са разгледани в следващата под-точка на </w:t>
      </w:r>
      <w:r w:rsidRPr="00AB594A">
        <w:rPr>
          <w:rFonts w:ascii="Verdana" w:eastAsia="Malgun Gothic" w:hAnsi="Verdana" w:cs="TimesNewRomanPSMT"/>
          <w:sz w:val="20"/>
          <w:szCs w:val="20"/>
          <w:lang w:val="bg-BG" w:eastAsia="ko-KR"/>
        </w:rPr>
        <w:t>настоящия анализ.</w:t>
      </w:r>
    </w:p>
    <w:p w:rsidR="00AB594A" w:rsidRDefault="00AB594A" w:rsidP="00AB594A">
      <w:pPr>
        <w:autoSpaceDE w:val="0"/>
        <w:autoSpaceDN w:val="0"/>
        <w:adjustRightInd w:val="0"/>
        <w:spacing w:before="120" w:after="120"/>
        <w:jc w:val="both"/>
        <w:rPr>
          <w:rFonts w:ascii="Verdana" w:hAnsi="Verdana" w:cs="TimesNewRomanPSMT"/>
          <w:sz w:val="20"/>
          <w:szCs w:val="20"/>
          <w:lang w:val="bg-BG" w:eastAsia="bg-BG"/>
        </w:rPr>
      </w:pPr>
      <w:r w:rsidRPr="00AB594A">
        <w:rPr>
          <w:rFonts w:ascii="Verdana" w:hAnsi="Verdana"/>
          <w:bCs/>
          <w:color w:val="000000"/>
          <w:sz w:val="20"/>
          <w:szCs w:val="20"/>
          <w:lang w:val="bg-BG"/>
        </w:rPr>
        <w:t>През юни 2014г. е приета</w:t>
      </w:r>
      <w:r>
        <w:rPr>
          <w:rFonts w:ascii="Verdana" w:hAnsi="Verdana"/>
          <w:bCs/>
          <w:color w:val="000000"/>
          <w:sz w:val="20"/>
          <w:szCs w:val="20"/>
          <w:lang w:val="bg-BG"/>
        </w:rPr>
        <w:t xml:space="preserve"> следната новата структура  на </w:t>
      </w:r>
      <w:r>
        <w:rPr>
          <w:rFonts w:ascii="Verdana" w:hAnsi="Verdana" w:cs="TimesNewRomanPSMT"/>
          <w:sz w:val="20"/>
          <w:szCs w:val="20"/>
          <w:lang w:val="bg-BG" w:eastAsia="bg-BG"/>
        </w:rPr>
        <w:t>ГДСФМОП като УО на ОПНОИР, която включва:</w:t>
      </w:r>
    </w:p>
    <w:p w:rsidR="00AB594A" w:rsidRPr="00173D95" w:rsidRDefault="00AB594A" w:rsidP="00AB594A">
      <w:pPr>
        <w:autoSpaceDE w:val="0"/>
        <w:autoSpaceDN w:val="0"/>
        <w:adjustRightInd w:val="0"/>
        <w:spacing w:before="120" w:after="120"/>
        <w:jc w:val="both"/>
        <w:rPr>
          <w:rFonts w:ascii="Verdana" w:hAnsi="Verdana" w:cs="TimesNewRomanPSMT"/>
          <w:sz w:val="20"/>
          <w:szCs w:val="20"/>
          <w:lang w:val="bg-BG" w:eastAsia="bg-BG"/>
        </w:rPr>
      </w:pPr>
      <w:r>
        <w:rPr>
          <w:rFonts w:ascii="Verdana" w:hAnsi="Verdana" w:cs="TimesNewRomanPSMT"/>
          <w:sz w:val="20"/>
          <w:szCs w:val="20"/>
          <w:lang w:val="bg-BG" w:eastAsia="bg-BG"/>
        </w:rPr>
        <w:t>1 главен</w:t>
      </w:r>
      <w:r w:rsidRPr="00173D95">
        <w:rPr>
          <w:rFonts w:ascii="Verdana" w:hAnsi="Verdana" w:cs="TimesNewRomanPSMT"/>
          <w:sz w:val="20"/>
          <w:szCs w:val="20"/>
          <w:lang w:val="bg-BG" w:eastAsia="bg-BG"/>
        </w:rPr>
        <w:t xml:space="preserve"> директор,</w:t>
      </w:r>
      <w:r>
        <w:rPr>
          <w:rFonts w:ascii="Verdana" w:hAnsi="Verdana" w:cs="TimesNewRomanPSMT"/>
          <w:sz w:val="20"/>
          <w:szCs w:val="20"/>
          <w:lang w:val="bg-BG" w:eastAsia="bg-BG"/>
        </w:rPr>
        <w:t xml:space="preserve"> </w:t>
      </w:r>
      <w:r w:rsidRPr="00173D95">
        <w:rPr>
          <w:rFonts w:ascii="Verdana" w:hAnsi="Verdana" w:cs="TimesNewRomanPSMT"/>
          <w:sz w:val="20"/>
          <w:szCs w:val="20"/>
          <w:lang w:val="bg-BG" w:eastAsia="bg-BG"/>
        </w:rPr>
        <w:t>2 заместник</w:t>
      </w:r>
      <w:r>
        <w:rPr>
          <w:rFonts w:ascii="Verdana" w:hAnsi="Verdana" w:cs="TimesNewRomanPSMT"/>
          <w:sz w:val="20"/>
          <w:szCs w:val="20"/>
          <w:lang w:val="bg-BG" w:eastAsia="bg-BG"/>
        </w:rPr>
        <w:t xml:space="preserve"> главни директора и 6</w:t>
      </w:r>
      <w:r w:rsidRPr="00173D95">
        <w:rPr>
          <w:rFonts w:ascii="Verdana" w:hAnsi="Verdana" w:cs="TimesNewRomanPSMT"/>
          <w:sz w:val="20"/>
          <w:szCs w:val="20"/>
          <w:lang w:val="bg-BG" w:eastAsia="bg-BG"/>
        </w:rPr>
        <w:t xml:space="preserve"> отдела</w:t>
      </w:r>
      <w:r>
        <w:rPr>
          <w:rFonts w:ascii="Verdana" w:hAnsi="Verdana" w:cs="TimesNewRomanPSMT"/>
          <w:sz w:val="20"/>
          <w:szCs w:val="20"/>
          <w:lang w:val="bg-BG" w:eastAsia="bg-BG"/>
        </w:rPr>
        <w:t>, а един от отделите е разделен на два сектора</w:t>
      </w:r>
      <w:r w:rsidRPr="00173D95">
        <w:rPr>
          <w:rFonts w:ascii="Verdana" w:hAnsi="Verdana" w:cs="TimesNewRomanPSMT"/>
          <w:sz w:val="20"/>
          <w:szCs w:val="20"/>
          <w:lang w:val="bg-BG" w:eastAsia="bg-BG"/>
        </w:rPr>
        <w:t>:</w:t>
      </w:r>
    </w:p>
    <w:p w:rsidR="00AB594A" w:rsidRPr="00173D95" w:rsidRDefault="00AB594A" w:rsidP="006861B0">
      <w:pPr>
        <w:pStyle w:val="ListParagraph"/>
        <w:numPr>
          <w:ilvl w:val="0"/>
          <w:numId w:val="70"/>
        </w:numPr>
        <w:autoSpaceDE w:val="0"/>
        <w:autoSpaceDN w:val="0"/>
        <w:adjustRightInd w:val="0"/>
        <w:spacing w:before="120" w:after="120"/>
        <w:jc w:val="both"/>
        <w:rPr>
          <w:rFonts w:ascii="Verdana" w:hAnsi="Verdana" w:cs="TimesNewRomanPSMT"/>
          <w:sz w:val="20"/>
          <w:szCs w:val="20"/>
          <w:lang w:val="bg-BG" w:eastAsia="bg-BG"/>
        </w:rPr>
      </w:pPr>
      <w:r w:rsidRPr="00173D95">
        <w:rPr>
          <w:rFonts w:ascii="Verdana" w:hAnsi="Verdana" w:cs="TimesNewRomanPSMT"/>
          <w:sz w:val="20"/>
          <w:szCs w:val="20"/>
          <w:lang w:val="bg-BG" w:eastAsia="bg-BG"/>
        </w:rPr>
        <w:t>Отдел „</w:t>
      </w:r>
      <w:r>
        <w:rPr>
          <w:rFonts w:ascii="Verdana" w:hAnsi="Verdana" w:cs="TimesNewRomanPSMT"/>
          <w:sz w:val="20"/>
          <w:szCs w:val="20"/>
          <w:lang w:val="bg-BG" w:eastAsia="bg-BG"/>
        </w:rPr>
        <w:t>Програмиране и договаряне</w:t>
      </w:r>
      <w:r w:rsidRPr="00173D95">
        <w:rPr>
          <w:rFonts w:ascii="Verdana" w:hAnsi="Verdana" w:cs="TimesNewRomanPSMT"/>
          <w:sz w:val="20"/>
          <w:szCs w:val="20"/>
          <w:lang w:val="bg-BG" w:eastAsia="bg-BG"/>
        </w:rPr>
        <w:t>”;</w:t>
      </w:r>
    </w:p>
    <w:p w:rsidR="00AB594A" w:rsidRPr="00173D95" w:rsidRDefault="00AB594A" w:rsidP="006861B0">
      <w:pPr>
        <w:pStyle w:val="ListParagraph"/>
        <w:numPr>
          <w:ilvl w:val="0"/>
          <w:numId w:val="70"/>
        </w:numPr>
        <w:autoSpaceDE w:val="0"/>
        <w:autoSpaceDN w:val="0"/>
        <w:adjustRightInd w:val="0"/>
        <w:spacing w:before="120" w:after="120"/>
        <w:jc w:val="both"/>
        <w:rPr>
          <w:rFonts w:ascii="Verdana" w:hAnsi="Verdana" w:cs="TimesNewRomanPSMT"/>
          <w:sz w:val="20"/>
          <w:szCs w:val="20"/>
          <w:lang w:val="bg-BG" w:eastAsia="bg-BG"/>
        </w:rPr>
      </w:pPr>
      <w:r w:rsidRPr="00173D95">
        <w:rPr>
          <w:rFonts w:ascii="Verdana" w:hAnsi="Verdana" w:cs="TimesNewRomanPSMT"/>
          <w:sz w:val="20"/>
          <w:szCs w:val="20"/>
          <w:lang w:val="bg-BG" w:eastAsia="bg-BG"/>
        </w:rPr>
        <w:t>Отдел „</w:t>
      </w:r>
      <w:r>
        <w:rPr>
          <w:rFonts w:ascii="Verdana" w:hAnsi="Verdana" w:cs="TimesNewRomanPSMT"/>
          <w:sz w:val="20"/>
          <w:szCs w:val="20"/>
          <w:lang w:val="bg-BG" w:eastAsia="bg-BG"/>
        </w:rPr>
        <w:t>Наблюдение и оценка</w:t>
      </w:r>
      <w:r w:rsidRPr="00173D95">
        <w:rPr>
          <w:rFonts w:ascii="Verdana" w:hAnsi="Verdana" w:cs="TimesNewRomanPSMT"/>
          <w:sz w:val="20"/>
          <w:szCs w:val="20"/>
          <w:lang w:val="bg-BG" w:eastAsia="bg-BG"/>
        </w:rPr>
        <w:t>”;</w:t>
      </w:r>
    </w:p>
    <w:p w:rsidR="00AB594A" w:rsidRPr="00173D95" w:rsidRDefault="00AB594A" w:rsidP="006861B0">
      <w:pPr>
        <w:pStyle w:val="ListParagraph"/>
        <w:numPr>
          <w:ilvl w:val="0"/>
          <w:numId w:val="70"/>
        </w:numPr>
        <w:autoSpaceDE w:val="0"/>
        <w:autoSpaceDN w:val="0"/>
        <w:adjustRightInd w:val="0"/>
        <w:spacing w:before="120" w:after="120"/>
        <w:jc w:val="both"/>
        <w:rPr>
          <w:rFonts w:ascii="Verdana" w:hAnsi="Verdana" w:cs="TimesNewRomanPSMT"/>
          <w:sz w:val="20"/>
          <w:szCs w:val="20"/>
          <w:lang w:val="bg-BG" w:eastAsia="bg-BG"/>
        </w:rPr>
      </w:pPr>
      <w:r w:rsidRPr="00173D95">
        <w:rPr>
          <w:rFonts w:ascii="Verdana" w:hAnsi="Verdana" w:cs="TimesNewRomanPSMT"/>
          <w:sz w:val="20"/>
          <w:szCs w:val="20"/>
          <w:lang w:val="bg-BG" w:eastAsia="bg-BG"/>
        </w:rPr>
        <w:t>Отдел „</w:t>
      </w:r>
      <w:r>
        <w:rPr>
          <w:rFonts w:ascii="Verdana" w:hAnsi="Verdana" w:cs="TimesNewRomanPSMT"/>
          <w:sz w:val="20"/>
          <w:szCs w:val="20"/>
          <w:lang w:val="bg-BG" w:eastAsia="bg-BG"/>
        </w:rPr>
        <w:t>Верификация</w:t>
      </w:r>
      <w:r w:rsidRPr="00173D95">
        <w:rPr>
          <w:rFonts w:ascii="Verdana" w:hAnsi="Verdana" w:cs="TimesNewRomanPSMT"/>
          <w:sz w:val="20"/>
          <w:szCs w:val="20"/>
          <w:lang w:val="bg-BG" w:eastAsia="bg-BG"/>
        </w:rPr>
        <w:t>”;</w:t>
      </w:r>
    </w:p>
    <w:p w:rsidR="00AB594A" w:rsidRPr="00173D95" w:rsidRDefault="00AB594A" w:rsidP="006861B0">
      <w:pPr>
        <w:pStyle w:val="ListParagraph"/>
        <w:numPr>
          <w:ilvl w:val="0"/>
          <w:numId w:val="70"/>
        </w:numPr>
        <w:autoSpaceDE w:val="0"/>
        <w:autoSpaceDN w:val="0"/>
        <w:adjustRightInd w:val="0"/>
        <w:spacing w:before="120" w:after="120"/>
        <w:jc w:val="both"/>
        <w:rPr>
          <w:rFonts w:ascii="Verdana" w:hAnsi="Verdana" w:cs="TimesNewRomanPSMT"/>
          <w:sz w:val="20"/>
          <w:szCs w:val="20"/>
          <w:lang w:val="bg-BG" w:eastAsia="bg-BG"/>
        </w:rPr>
      </w:pPr>
      <w:r w:rsidRPr="00173D95">
        <w:rPr>
          <w:rFonts w:ascii="Verdana" w:hAnsi="Verdana" w:cs="TimesNewRomanPSMT"/>
          <w:sz w:val="20"/>
          <w:szCs w:val="20"/>
          <w:lang w:val="bg-BG" w:eastAsia="bg-BG"/>
        </w:rPr>
        <w:t>Отдел „</w:t>
      </w:r>
      <w:r>
        <w:rPr>
          <w:rFonts w:ascii="Verdana" w:hAnsi="Verdana" w:cs="TimesNewRomanPSMT"/>
          <w:sz w:val="20"/>
          <w:szCs w:val="20"/>
          <w:lang w:val="bg-BG" w:eastAsia="bg-BG"/>
        </w:rPr>
        <w:t>Управление на риска и контрол</w:t>
      </w:r>
      <w:r w:rsidRPr="00173D95">
        <w:rPr>
          <w:rFonts w:ascii="Verdana" w:hAnsi="Verdana" w:cs="TimesNewRomanPSMT"/>
          <w:sz w:val="20"/>
          <w:szCs w:val="20"/>
          <w:lang w:val="bg-BG" w:eastAsia="bg-BG"/>
        </w:rPr>
        <w:t>”;</w:t>
      </w:r>
    </w:p>
    <w:p w:rsidR="00AB594A" w:rsidRPr="00173D95" w:rsidRDefault="00AB594A" w:rsidP="006861B0">
      <w:pPr>
        <w:pStyle w:val="ListParagraph"/>
        <w:numPr>
          <w:ilvl w:val="0"/>
          <w:numId w:val="70"/>
        </w:numPr>
        <w:autoSpaceDE w:val="0"/>
        <w:autoSpaceDN w:val="0"/>
        <w:adjustRightInd w:val="0"/>
        <w:spacing w:before="120" w:after="120"/>
        <w:jc w:val="both"/>
        <w:rPr>
          <w:rFonts w:ascii="Verdana" w:hAnsi="Verdana" w:cs="TimesNewRomanPSMT"/>
          <w:sz w:val="20"/>
          <w:szCs w:val="20"/>
          <w:lang w:val="bg-BG" w:eastAsia="bg-BG"/>
        </w:rPr>
      </w:pPr>
      <w:r w:rsidRPr="00173D95">
        <w:rPr>
          <w:rFonts w:ascii="Verdana" w:hAnsi="Verdana" w:cs="TimesNewRomanPSMT"/>
          <w:sz w:val="20"/>
          <w:szCs w:val="20"/>
          <w:lang w:val="bg-BG" w:eastAsia="bg-BG"/>
        </w:rPr>
        <w:t>Отдел „</w:t>
      </w:r>
      <w:r>
        <w:rPr>
          <w:rFonts w:ascii="Verdana" w:hAnsi="Verdana" w:cs="TimesNewRomanPSMT"/>
          <w:sz w:val="20"/>
          <w:szCs w:val="20"/>
          <w:lang w:val="bg-BG" w:eastAsia="bg-BG"/>
        </w:rPr>
        <w:t>Финансово планиране, счетоводна отчетност и плащания</w:t>
      </w:r>
      <w:r w:rsidRPr="00173D95">
        <w:rPr>
          <w:rFonts w:ascii="Verdana" w:hAnsi="Verdana" w:cs="TimesNewRomanPSMT"/>
          <w:sz w:val="20"/>
          <w:szCs w:val="20"/>
          <w:lang w:val="bg-BG" w:eastAsia="bg-BG"/>
        </w:rPr>
        <w:t>”;</w:t>
      </w:r>
    </w:p>
    <w:p w:rsidR="00AB594A" w:rsidRPr="00173D95" w:rsidRDefault="00AB594A" w:rsidP="006861B0">
      <w:pPr>
        <w:pStyle w:val="ListParagraph"/>
        <w:numPr>
          <w:ilvl w:val="0"/>
          <w:numId w:val="70"/>
        </w:numPr>
        <w:autoSpaceDE w:val="0"/>
        <w:autoSpaceDN w:val="0"/>
        <w:adjustRightInd w:val="0"/>
        <w:spacing w:before="120" w:after="120"/>
        <w:jc w:val="both"/>
        <w:rPr>
          <w:rFonts w:ascii="Verdana" w:hAnsi="Verdana"/>
          <w:sz w:val="20"/>
          <w:szCs w:val="20"/>
          <w:lang w:val="bg-BG"/>
        </w:rPr>
      </w:pPr>
      <w:r w:rsidRPr="00173D95">
        <w:rPr>
          <w:rFonts w:ascii="Verdana" w:hAnsi="Verdana" w:cs="TimesNewRomanPSMT"/>
          <w:sz w:val="20"/>
          <w:szCs w:val="20"/>
          <w:lang w:val="bg-BG" w:eastAsia="bg-BG"/>
        </w:rPr>
        <w:t>Отдел „</w:t>
      </w:r>
      <w:r>
        <w:rPr>
          <w:rFonts w:ascii="Verdana" w:hAnsi="Verdana" w:cs="TimesNewRomanPSMT"/>
          <w:sz w:val="20"/>
          <w:szCs w:val="20"/>
          <w:lang w:val="bg-BG" w:eastAsia="bg-BG"/>
        </w:rPr>
        <w:t>Външни европейски програми”.</w:t>
      </w:r>
    </w:p>
    <w:p w:rsidR="00AB594A" w:rsidRPr="00EC6C4D" w:rsidRDefault="00AB594A" w:rsidP="00D04CA2">
      <w:pPr>
        <w:autoSpaceDE w:val="0"/>
        <w:autoSpaceDN w:val="0"/>
        <w:adjustRightInd w:val="0"/>
        <w:spacing w:after="0" w:line="240" w:lineRule="auto"/>
        <w:jc w:val="both"/>
        <w:rPr>
          <w:rFonts w:ascii="Verdana" w:hAnsi="Verdana" w:cs="TimesNewRomanPSMT"/>
          <w:sz w:val="20"/>
          <w:szCs w:val="20"/>
          <w:lang w:val="bg-BG" w:eastAsia="bg-BG"/>
        </w:rPr>
      </w:pPr>
      <w:r>
        <w:object w:dxaOrig="11819" w:dyaOrig="7071">
          <v:shape id="_x0000_i1027" type="#_x0000_t75" style="width:468pt;height:280.5pt" o:ole="">
            <v:imagedata r:id="rId54" o:title=""/>
          </v:shape>
          <o:OLEObject Type="Embed" ProgID="Visio.Drawing.11" ShapeID="_x0000_i1027" DrawAspect="Content" ObjectID="_1469357522" r:id="rId55"/>
        </w:object>
      </w:r>
    </w:p>
    <w:p w:rsidR="00AB594A" w:rsidRPr="00BB582B" w:rsidRDefault="00AB594A" w:rsidP="00AB594A">
      <w:pPr>
        <w:spacing w:after="0" w:line="240" w:lineRule="auto"/>
        <w:jc w:val="center"/>
        <w:rPr>
          <w:rFonts w:ascii="Verdana" w:hAnsi="Verdana"/>
          <w:b/>
          <w:color w:val="006CB6"/>
          <w:sz w:val="20"/>
          <w:szCs w:val="20"/>
          <w:lang w:val="bg-BG"/>
        </w:rPr>
      </w:pPr>
      <w:bookmarkStart w:id="153" w:name="_Toc388432009"/>
      <w:bookmarkStart w:id="154" w:name="_Toc395609465"/>
      <w:r w:rsidRPr="00AB594A">
        <w:rPr>
          <w:rFonts w:ascii="Verdana" w:hAnsi="Verdana"/>
          <w:b/>
          <w:color w:val="006CB6"/>
          <w:sz w:val="20"/>
          <w:szCs w:val="20"/>
          <w:lang w:val="bg-BG"/>
        </w:rPr>
        <w:t xml:space="preserve">Фигура </w:t>
      </w:r>
      <w:r w:rsidRPr="00AB594A">
        <w:rPr>
          <w:rFonts w:ascii="Verdana" w:hAnsi="Verdana"/>
          <w:b/>
          <w:color w:val="006CB6"/>
          <w:sz w:val="20"/>
          <w:szCs w:val="20"/>
          <w:lang w:val="bg-BG"/>
        </w:rPr>
        <w:fldChar w:fldCharType="begin"/>
      </w:r>
      <w:r w:rsidRPr="00AB594A">
        <w:rPr>
          <w:rFonts w:ascii="Verdana" w:hAnsi="Verdana"/>
          <w:b/>
          <w:color w:val="006CB6"/>
          <w:sz w:val="20"/>
          <w:szCs w:val="20"/>
          <w:lang w:val="bg-BG"/>
        </w:rPr>
        <w:instrText>SEQ фигура \* ARABIC</w:instrText>
      </w:r>
      <w:r w:rsidRPr="00AB594A">
        <w:rPr>
          <w:rFonts w:ascii="Verdana" w:hAnsi="Verdana"/>
          <w:b/>
          <w:color w:val="006CB6"/>
          <w:sz w:val="20"/>
          <w:szCs w:val="20"/>
          <w:lang w:val="bg-BG"/>
        </w:rPr>
        <w:fldChar w:fldCharType="separate"/>
      </w:r>
      <w:r w:rsidR="001361E0">
        <w:rPr>
          <w:rFonts w:ascii="Verdana" w:hAnsi="Verdana"/>
          <w:b/>
          <w:noProof/>
          <w:color w:val="006CB6"/>
          <w:sz w:val="20"/>
          <w:szCs w:val="20"/>
          <w:lang w:val="bg-BG"/>
        </w:rPr>
        <w:t>11</w:t>
      </w:r>
      <w:r w:rsidRPr="00AB594A">
        <w:rPr>
          <w:rFonts w:ascii="Verdana" w:hAnsi="Verdana"/>
          <w:b/>
          <w:color w:val="006CB6"/>
          <w:sz w:val="20"/>
          <w:szCs w:val="20"/>
          <w:lang w:val="bg-BG"/>
        </w:rPr>
        <w:fldChar w:fldCharType="end"/>
      </w:r>
      <w:r w:rsidRPr="00AB594A">
        <w:rPr>
          <w:rFonts w:ascii="Verdana" w:hAnsi="Verdana"/>
          <w:b/>
          <w:color w:val="006CB6"/>
          <w:sz w:val="20"/>
          <w:szCs w:val="20"/>
          <w:lang w:val="bg-BG"/>
        </w:rPr>
        <w:t xml:space="preserve">: </w:t>
      </w:r>
      <w:proofErr w:type="spellStart"/>
      <w:r w:rsidRPr="00AB594A">
        <w:rPr>
          <w:rFonts w:ascii="Verdana" w:hAnsi="Verdana"/>
          <w:b/>
          <w:color w:val="006CB6"/>
          <w:sz w:val="20"/>
          <w:szCs w:val="20"/>
          <w:lang w:val="bg-BG"/>
        </w:rPr>
        <w:t>Органиграма</w:t>
      </w:r>
      <w:proofErr w:type="spellEnd"/>
      <w:r w:rsidRPr="00AB594A">
        <w:rPr>
          <w:rFonts w:ascii="Verdana" w:hAnsi="Verdana"/>
          <w:b/>
          <w:color w:val="006CB6"/>
          <w:sz w:val="20"/>
          <w:szCs w:val="20"/>
          <w:lang w:val="bg-BG"/>
        </w:rPr>
        <w:t xml:space="preserve"> на ГДСФМОП</w:t>
      </w:r>
      <w:bookmarkEnd w:id="153"/>
      <w:bookmarkEnd w:id="154"/>
    </w:p>
    <w:p w:rsidR="00AB594A" w:rsidRPr="00F523C1" w:rsidRDefault="00AB594A" w:rsidP="00AB594A">
      <w:pPr>
        <w:pStyle w:val="Caption"/>
        <w:jc w:val="center"/>
        <w:rPr>
          <w:rFonts w:ascii="Verdana" w:hAnsi="Verdana" w:cs="TimesNewRomanPSMT"/>
          <w:b w:val="0"/>
          <w:sz w:val="16"/>
          <w:szCs w:val="16"/>
        </w:rPr>
      </w:pPr>
      <w:r w:rsidRPr="00F523C1">
        <w:rPr>
          <w:rFonts w:ascii="Verdana" w:eastAsia="Times New Roman" w:hAnsi="Verdana"/>
          <w:b w:val="0"/>
          <w:color w:val="000000"/>
          <w:sz w:val="16"/>
          <w:szCs w:val="16"/>
        </w:rPr>
        <w:t xml:space="preserve">Източник: </w:t>
      </w:r>
      <w:r w:rsidRPr="00F523C1">
        <w:rPr>
          <w:rFonts w:ascii="Verdana" w:hAnsi="Verdana" w:cs="TimesNewRomanPSMT"/>
          <w:b w:val="0"/>
          <w:sz w:val="16"/>
          <w:szCs w:val="16"/>
        </w:rPr>
        <w:t>ГДСФМОП</w:t>
      </w:r>
    </w:p>
    <w:p w:rsidR="00AB594A" w:rsidRDefault="00AB594A" w:rsidP="00AB594A">
      <w:pPr>
        <w:jc w:val="both"/>
        <w:rPr>
          <w:rFonts w:ascii="Verdana" w:hAnsi="Verdana"/>
          <w:sz w:val="20"/>
          <w:szCs w:val="20"/>
          <w:lang w:val="bg-BG" w:eastAsia="bg-BG"/>
        </w:rPr>
      </w:pPr>
    </w:p>
    <w:p w:rsidR="00AB594A" w:rsidRDefault="00AB594A" w:rsidP="00AB594A">
      <w:pPr>
        <w:jc w:val="both"/>
        <w:rPr>
          <w:rFonts w:ascii="Verdana" w:hAnsi="Verdana"/>
          <w:sz w:val="20"/>
          <w:szCs w:val="20"/>
          <w:lang w:val="bg-BG" w:eastAsia="bg-BG"/>
        </w:rPr>
      </w:pPr>
      <w:r w:rsidRPr="00EC6C4D">
        <w:rPr>
          <w:rFonts w:ascii="Verdana" w:hAnsi="Verdana"/>
          <w:sz w:val="20"/>
          <w:szCs w:val="20"/>
          <w:lang w:val="bg-BG" w:eastAsia="bg-BG"/>
        </w:rPr>
        <w:t xml:space="preserve">Представената структура отразява функциите на дирекцията като </w:t>
      </w:r>
      <w:r>
        <w:rPr>
          <w:rFonts w:ascii="Verdana" w:hAnsi="Verdana"/>
          <w:sz w:val="20"/>
          <w:szCs w:val="20"/>
          <w:lang w:val="bg-BG" w:eastAsia="bg-BG"/>
        </w:rPr>
        <w:t>УО и са представени нови звена</w:t>
      </w:r>
      <w:r w:rsidRPr="00EC6C4D">
        <w:rPr>
          <w:rFonts w:ascii="Verdana" w:hAnsi="Verdana"/>
          <w:sz w:val="20"/>
          <w:szCs w:val="20"/>
          <w:lang w:val="bg-BG" w:eastAsia="bg-BG"/>
        </w:rPr>
        <w:t xml:space="preserve">, които да поемат допълнителните отговорности, </w:t>
      </w:r>
      <w:r>
        <w:rPr>
          <w:rFonts w:ascii="Verdana" w:hAnsi="Verdana"/>
          <w:sz w:val="20"/>
          <w:szCs w:val="20"/>
          <w:lang w:val="bg-BG" w:eastAsia="bg-BG"/>
        </w:rPr>
        <w:t>които влизат във функциите на УО</w:t>
      </w:r>
      <w:r w:rsidRPr="00EC6C4D">
        <w:rPr>
          <w:rFonts w:ascii="Verdana" w:hAnsi="Verdana"/>
          <w:sz w:val="20"/>
          <w:szCs w:val="20"/>
          <w:lang w:val="bg-BG" w:eastAsia="bg-BG"/>
        </w:rPr>
        <w:t xml:space="preserve">. </w:t>
      </w:r>
    </w:p>
    <w:p w:rsidR="00AB594A" w:rsidRDefault="00AB594A" w:rsidP="00AB594A">
      <w:pPr>
        <w:jc w:val="both"/>
        <w:rPr>
          <w:rFonts w:ascii="Verdana" w:hAnsi="Verdana"/>
          <w:sz w:val="20"/>
          <w:szCs w:val="20"/>
          <w:lang w:val="bg-BG" w:eastAsia="bg-BG"/>
        </w:rPr>
      </w:pPr>
      <w:r>
        <w:rPr>
          <w:rFonts w:ascii="Verdana" w:hAnsi="Verdana"/>
          <w:sz w:val="20"/>
          <w:szCs w:val="20"/>
          <w:lang w:val="bg-BG" w:eastAsia="bg-BG"/>
        </w:rPr>
        <w:t>Създаден е отдел „Програмиране и договаряне“, който ще включва функции по подготовка на програмата, подготовка и провеждане на процедури за предоставяне на БФП и процедури за определяне на изпълнител. Също така този отдел ще изпълнява задачи свързани с публичността и комуникационните дейности по оперативната програма.</w:t>
      </w:r>
    </w:p>
    <w:p w:rsidR="00AB594A" w:rsidRDefault="00AB594A" w:rsidP="00AB594A">
      <w:pPr>
        <w:jc w:val="both"/>
        <w:rPr>
          <w:rFonts w:ascii="Verdana" w:hAnsi="Verdana"/>
          <w:sz w:val="20"/>
          <w:szCs w:val="20"/>
          <w:lang w:val="bg-BG" w:eastAsia="bg-BG"/>
        </w:rPr>
      </w:pPr>
      <w:r>
        <w:rPr>
          <w:rFonts w:ascii="Verdana" w:hAnsi="Verdana"/>
          <w:sz w:val="20"/>
          <w:szCs w:val="20"/>
          <w:lang w:val="bg-BG" w:eastAsia="bg-BG"/>
        </w:rPr>
        <w:t>Мониторингът на ниво програма, изготвяне на годишните доклади и оценката на ниво програма ще бъде извършвано от нов отдел „Наблюдение и оценка“.</w:t>
      </w:r>
    </w:p>
    <w:p w:rsidR="00AB594A" w:rsidRDefault="00AB594A" w:rsidP="00AB594A">
      <w:pPr>
        <w:jc w:val="both"/>
        <w:rPr>
          <w:rFonts w:ascii="Verdana" w:hAnsi="Verdana"/>
          <w:sz w:val="20"/>
          <w:szCs w:val="20"/>
          <w:lang w:val="bg-BG" w:eastAsia="bg-BG"/>
        </w:rPr>
      </w:pPr>
      <w:r>
        <w:rPr>
          <w:rFonts w:ascii="Verdana" w:hAnsi="Verdana"/>
          <w:sz w:val="20"/>
          <w:szCs w:val="20"/>
          <w:lang w:val="bg-BG" w:eastAsia="bg-BG"/>
        </w:rPr>
        <w:t>С цел оптимизиране на структурата и функциите, отделите отговарящи за техническа и финансова верификация, както и регионалните координатори са обединени в един отдел „Верификация“, с два сектора „Техническа верификация“ и „Финансова верификация“.</w:t>
      </w:r>
    </w:p>
    <w:p w:rsidR="00AB594A" w:rsidRPr="00EA6446" w:rsidRDefault="00AB594A" w:rsidP="00EA6446">
      <w:pPr>
        <w:jc w:val="both"/>
        <w:rPr>
          <w:rFonts w:ascii="Verdana" w:hAnsi="Verdana"/>
          <w:sz w:val="20"/>
          <w:szCs w:val="20"/>
          <w:lang w:val="bg-BG" w:eastAsia="bg-BG"/>
        </w:rPr>
      </w:pPr>
      <w:r w:rsidRPr="00EA6446">
        <w:rPr>
          <w:rFonts w:ascii="Verdana" w:hAnsi="Verdana"/>
          <w:sz w:val="20"/>
          <w:szCs w:val="20"/>
          <w:lang w:val="bg-BG" w:eastAsia="bg-BG"/>
        </w:rPr>
        <w:t>Отдел „Финансово планиране, счетоводна отчетност и плащания“ и отдел „Външни европейски програми“ са на директно подчинение на главния директор на дирекция, а управлението на другите 4 отдела е разпределено между двамата главни заместник директора.</w:t>
      </w:r>
    </w:p>
    <w:p w:rsidR="00AB594A" w:rsidRDefault="00AB594A" w:rsidP="00AB594A">
      <w:pPr>
        <w:jc w:val="both"/>
        <w:rPr>
          <w:rFonts w:ascii="Verdana" w:hAnsi="Verdana"/>
          <w:sz w:val="20"/>
          <w:szCs w:val="20"/>
          <w:lang w:val="bg-BG"/>
        </w:rPr>
      </w:pPr>
      <w:r>
        <w:rPr>
          <w:rFonts w:ascii="Verdana" w:hAnsi="Verdana"/>
          <w:sz w:val="20"/>
          <w:szCs w:val="20"/>
          <w:lang w:val="bg-BG" w:eastAsia="bg-BG"/>
        </w:rPr>
        <w:lastRenderedPageBreak/>
        <w:t xml:space="preserve">Така представената структура предвижда изпълнението на всички функции и отговорности като УО и отговаря на изискванията за разделение на функции. </w:t>
      </w:r>
      <w:proofErr w:type="spellStart"/>
      <w:r w:rsidR="00EA6446">
        <w:rPr>
          <w:rFonts w:ascii="Verdana" w:hAnsi="Verdana"/>
          <w:sz w:val="20"/>
          <w:szCs w:val="20"/>
          <w:lang w:val="bg-BG" w:eastAsia="bg-BG"/>
        </w:rPr>
        <w:t>Б</w:t>
      </w:r>
      <w:r w:rsidRPr="004C656F">
        <w:rPr>
          <w:rFonts w:ascii="Verdana" w:hAnsi="Verdana"/>
          <w:sz w:val="20"/>
          <w:szCs w:val="20"/>
          <w:lang w:val="bg-BG"/>
        </w:rPr>
        <w:t>и</w:t>
      </w:r>
      <w:proofErr w:type="spellEnd"/>
      <w:r w:rsidRPr="004C656F">
        <w:rPr>
          <w:rFonts w:ascii="Verdana" w:hAnsi="Verdana"/>
          <w:sz w:val="20"/>
          <w:szCs w:val="20"/>
          <w:lang w:val="bg-BG"/>
        </w:rPr>
        <w:t xml:space="preserve"> следвало отделът по управление на качеств</w:t>
      </w:r>
      <w:r>
        <w:rPr>
          <w:rFonts w:ascii="Verdana" w:hAnsi="Verdana"/>
          <w:sz w:val="20"/>
          <w:szCs w:val="20"/>
          <w:lang w:val="bg-BG"/>
        </w:rPr>
        <w:t>ото, който включва и служителят</w:t>
      </w:r>
      <w:r w:rsidRPr="004C656F">
        <w:rPr>
          <w:rFonts w:ascii="Verdana" w:hAnsi="Verdana"/>
          <w:sz w:val="20"/>
          <w:szCs w:val="20"/>
          <w:lang w:val="bg-BG"/>
        </w:rPr>
        <w:t xml:space="preserve"> по нередности да бъдат на директно подчинение на главния директор на ГДСФМОП</w:t>
      </w:r>
      <w:r>
        <w:rPr>
          <w:rFonts w:ascii="Verdana" w:hAnsi="Verdana"/>
          <w:sz w:val="20"/>
          <w:szCs w:val="20"/>
          <w:lang w:val="bg-BG"/>
        </w:rPr>
        <w:t>, а не на заместник-директор</w:t>
      </w:r>
      <w:r w:rsidR="00D04CA2">
        <w:rPr>
          <w:rFonts w:ascii="Verdana" w:hAnsi="Verdana"/>
          <w:sz w:val="20"/>
          <w:szCs w:val="20"/>
          <w:lang w:val="bg-BG"/>
        </w:rPr>
        <w:t xml:space="preserve"> за да се осигури независимост на експерта на </w:t>
      </w:r>
      <w:proofErr w:type="spellStart"/>
      <w:r w:rsidR="00D04CA2">
        <w:rPr>
          <w:rFonts w:ascii="Verdana" w:hAnsi="Verdana"/>
          <w:sz w:val="20"/>
          <w:szCs w:val="20"/>
          <w:lang w:val="bg-BG"/>
        </w:rPr>
        <w:t>поредности</w:t>
      </w:r>
      <w:proofErr w:type="spellEnd"/>
      <w:r w:rsidR="00D04CA2">
        <w:rPr>
          <w:rFonts w:ascii="Verdana" w:hAnsi="Verdana"/>
          <w:sz w:val="20"/>
          <w:szCs w:val="20"/>
          <w:lang w:val="bg-BG"/>
        </w:rPr>
        <w:t>.</w:t>
      </w:r>
      <w:r>
        <w:rPr>
          <w:rFonts w:ascii="Verdana" w:hAnsi="Verdana"/>
          <w:sz w:val="20"/>
          <w:szCs w:val="20"/>
          <w:lang w:val="bg-BG"/>
        </w:rPr>
        <w:t xml:space="preserve"> </w:t>
      </w:r>
    </w:p>
    <w:p w:rsidR="00AB594A" w:rsidRPr="004C656F" w:rsidRDefault="00AB594A" w:rsidP="00AB594A">
      <w:pPr>
        <w:jc w:val="both"/>
        <w:rPr>
          <w:rFonts w:ascii="Verdana" w:hAnsi="Verdana"/>
          <w:sz w:val="20"/>
          <w:szCs w:val="20"/>
          <w:lang w:val="bg-BG" w:eastAsia="bg-BG"/>
        </w:rPr>
      </w:pPr>
      <w:r>
        <w:rPr>
          <w:rFonts w:ascii="Verdana" w:hAnsi="Verdana"/>
          <w:sz w:val="20"/>
          <w:szCs w:val="20"/>
          <w:lang w:val="bg-BG"/>
        </w:rPr>
        <w:t xml:space="preserve">В момента, дирекцията разработва наръчника за изпълнение на програмата, като в него ще бъдат разписани задачите и отговорностите на всеки отдел. </w:t>
      </w:r>
    </w:p>
    <w:p w:rsidR="00AB594A" w:rsidRPr="001005E0" w:rsidRDefault="00AB594A" w:rsidP="00AB594A">
      <w:pPr>
        <w:pStyle w:val="broodtekst"/>
        <w:spacing w:before="120" w:after="120" w:line="276" w:lineRule="auto"/>
        <w:jc w:val="both"/>
        <w:rPr>
          <w:rFonts w:ascii="Verdana" w:hAnsi="Verdana" w:cs="Times New Roman"/>
          <w:sz w:val="20"/>
          <w:szCs w:val="20"/>
          <w:lang w:eastAsia="en-US"/>
        </w:rPr>
      </w:pPr>
      <w:r>
        <w:rPr>
          <w:rFonts w:ascii="Verdana" w:hAnsi="Verdana"/>
          <w:sz w:val="20"/>
          <w:szCs w:val="20"/>
        </w:rPr>
        <w:t xml:space="preserve">Основните </w:t>
      </w:r>
      <w:r w:rsidR="00960070">
        <w:rPr>
          <w:rFonts w:ascii="Verdana" w:hAnsi="Verdana"/>
          <w:sz w:val="20"/>
          <w:szCs w:val="20"/>
        </w:rPr>
        <w:t>бележки</w:t>
      </w:r>
      <w:r>
        <w:rPr>
          <w:rFonts w:ascii="Verdana" w:hAnsi="Verdana"/>
          <w:sz w:val="20"/>
          <w:szCs w:val="20"/>
        </w:rPr>
        <w:t>, изразени от служителите на дирекцията, както по вр</w:t>
      </w:r>
      <w:r w:rsidR="00D04CA2">
        <w:rPr>
          <w:rFonts w:ascii="Verdana" w:hAnsi="Verdana"/>
          <w:sz w:val="20"/>
          <w:szCs w:val="20"/>
        </w:rPr>
        <w:t>еме на интервютата, така и в он</w:t>
      </w:r>
      <w:r>
        <w:rPr>
          <w:rFonts w:ascii="Verdana" w:hAnsi="Verdana"/>
          <w:sz w:val="20"/>
          <w:szCs w:val="20"/>
        </w:rPr>
        <w:t xml:space="preserve">лайн проучването, </w:t>
      </w:r>
      <w:r w:rsidR="00D04CA2">
        <w:rPr>
          <w:rFonts w:ascii="Verdana" w:hAnsi="Verdana"/>
          <w:sz w:val="20"/>
          <w:szCs w:val="20"/>
        </w:rPr>
        <w:t>по отношение на</w:t>
      </w:r>
      <w:r>
        <w:rPr>
          <w:rFonts w:ascii="Verdana" w:hAnsi="Verdana"/>
          <w:sz w:val="20"/>
          <w:szCs w:val="20"/>
        </w:rPr>
        <w:t xml:space="preserve"> подобрение и укрепване на структурата на УО са свързани с по-добра координация на работата между отделите.</w:t>
      </w:r>
      <w:r w:rsidR="00D04CA2">
        <w:rPr>
          <w:rFonts w:ascii="Verdana" w:hAnsi="Verdana"/>
          <w:sz w:val="20"/>
          <w:szCs w:val="20"/>
        </w:rPr>
        <w:t xml:space="preserve"> </w:t>
      </w:r>
      <w:r w:rsidRPr="00FB3A39">
        <w:rPr>
          <w:rFonts w:ascii="Verdana" w:hAnsi="Verdana" w:cs="Times New Roman"/>
          <w:sz w:val="20"/>
          <w:szCs w:val="20"/>
          <w:lang w:eastAsia="en-US"/>
        </w:rPr>
        <w:t>62 % от участниците в онлайн анкетата са посочили, че една от основните области където е необходимо укрепване с цел постигане на ефективно управление и изпълнение на ОПНОИР 2014-2020 е по-доброто структуриране на управлението на програмата на централно ниво - дирекции/звена/отдели.</w:t>
      </w:r>
      <w:r>
        <w:rPr>
          <w:noProof/>
        </w:rPr>
        <w:t xml:space="preserve"> </w:t>
      </w:r>
      <w:r w:rsidRPr="001005E0">
        <w:rPr>
          <w:rFonts w:ascii="Verdana" w:hAnsi="Verdana" w:cs="Times New Roman"/>
          <w:sz w:val="20"/>
          <w:szCs w:val="20"/>
          <w:lang w:eastAsia="en-US"/>
        </w:rPr>
        <w:t xml:space="preserve">56% са отбелязали, че по-доброто разпределение на работата между централното и регионални нива ще допринесе за укрепване на административния капацитет на УО. </w:t>
      </w:r>
      <w:r>
        <w:rPr>
          <w:rFonts w:ascii="Verdana" w:hAnsi="Verdana" w:cs="Times New Roman"/>
          <w:sz w:val="20"/>
          <w:szCs w:val="20"/>
          <w:lang w:eastAsia="en-US"/>
        </w:rPr>
        <w:t xml:space="preserve">Експертите от дирекцията, смятат, че </w:t>
      </w:r>
      <w:r w:rsidRPr="001005E0">
        <w:rPr>
          <w:rFonts w:ascii="Verdana" w:hAnsi="Verdana" w:cs="Times New Roman"/>
          <w:sz w:val="20"/>
          <w:szCs w:val="20"/>
          <w:lang w:eastAsia="en-US"/>
        </w:rPr>
        <w:t>функциите по мониторинг (86% от анкетираните) и верификация (50 % от анкетираните) на проекти могат да бъдат изцяло делегирани на регионални</w:t>
      </w:r>
      <w:r>
        <w:rPr>
          <w:rFonts w:ascii="Verdana" w:hAnsi="Verdana" w:cs="Times New Roman"/>
          <w:sz w:val="20"/>
          <w:szCs w:val="20"/>
          <w:lang w:eastAsia="en-US"/>
        </w:rPr>
        <w:t>те подразделения на дирекцията, тъй като последните са в най-тесен контакт с бенефициентите и това е смисъла да се поддържат регионални структури. Функциите, които респондентите не смятат, че трябва да бъдат делегирани на регионалните структури са процедурите по предоставяне на БФП (76%) и предварителния контрол на процедурите по под-договаряне (50%) защото основният капацитет за извършване на тези дейности е съсредоточен на централно ниво. Според служителите на УО за да могат регионалните структури да поемат нови задачи трябва да бъде увеличен капацитета на тези звена чрез интензивни обучения, както и да им бъдат осигурени необходимите технически средства.</w:t>
      </w:r>
    </w:p>
    <w:p w:rsidR="00AB594A" w:rsidRPr="00173D95" w:rsidRDefault="00AB594A" w:rsidP="00AB594A">
      <w:pPr>
        <w:pStyle w:val="broodtekst"/>
        <w:spacing w:before="120" w:after="120" w:line="276" w:lineRule="auto"/>
        <w:jc w:val="both"/>
        <w:rPr>
          <w:rFonts w:ascii="Verdana" w:hAnsi="Verdana"/>
          <w:sz w:val="20"/>
          <w:szCs w:val="20"/>
        </w:rPr>
      </w:pPr>
      <w:r>
        <w:rPr>
          <w:rFonts w:ascii="Verdana" w:hAnsi="Verdana"/>
          <w:sz w:val="20"/>
          <w:szCs w:val="20"/>
        </w:rPr>
        <w:t>На база на гореизложеното, може да се заключи, че</w:t>
      </w:r>
      <w:r w:rsidRPr="00173D95">
        <w:rPr>
          <w:rFonts w:ascii="Verdana" w:hAnsi="Verdana"/>
          <w:sz w:val="20"/>
          <w:szCs w:val="20"/>
        </w:rPr>
        <w:t xml:space="preserve"> при </w:t>
      </w:r>
      <w:r>
        <w:rPr>
          <w:rFonts w:ascii="Verdana" w:hAnsi="Verdana"/>
          <w:sz w:val="20"/>
          <w:szCs w:val="20"/>
        </w:rPr>
        <w:t xml:space="preserve">разработване системата за  </w:t>
      </w:r>
      <w:r w:rsidRPr="00173D95">
        <w:rPr>
          <w:rFonts w:ascii="Verdana" w:hAnsi="Verdana"/>
          <w:sz w:val="20"/>
          <w:szCs w:val="20"/>
        </w:rPr>
        <w:t>управление</w:t>
      </w:r>
      <w:r>
        <w:rPr>
          <w:rFonts w:ascii="Verdana" w:hAnsi="Verdana"/>
          <w:sz w:val="20"/>
          <w:szCs w:val="20"/>
        </w:rPr>
        <w:t xml:space="preserve"> и контрол</w:t>
      </w:r>
      <w:r w:rsidRPr="00173D95">
        <w:rPr>
          <w:rFonts w:ascii="Verdana" w:hAnsi="Verdana"/>
          <w:sz w:val="20"/>
          <w:szCs w:val="20"/>
        </w:rPr>
        <w:t xml:space="preserve"> на ОП</w:t>
      </w:r>
      <w:r>
        <w:rPr>
          <w:rFonts w:ascii="Verdana" w:hAnsi="Verdana"/>
          <w:sz w:val="20"/>
          <w:szCs w:val="20"/>
        </w:rPr>
        <w:t>НОИР</w:t>
      </w:r>
      <w:r w:rsidRPr="00173D95">
        <w:rPr>
          <w:rFonts w:ascii="Verdana" w:hAnsi="Verdana"/>
          <w:sz w:val="20"/>
          <w:szCs w:val="20"/>
        </w:rPr>
        <w:t xml:space="preserve"> 2014-2020 г. </w:t>
      </w:r>
      <w:r>
        <w:rPr>
          <w:rFonts w:ascii="Verdana" w:hAnsi="Verdana"/>
          <w:sz w:val="20"/>
          <w:szCs w:val="20"/>
        </w:rPr>
        <w:t xml:space="preserve">би следвало да се вземат в предвид </w:t>
      </w:r>
      <w:r w:rsidR="00960070">
        <w:rPr>
          <w:rFonts w:ascii="Verdana" w:hAnsi="Verdana"/>
          <w:sz w:val="20"/>
          <w:szCs w:val="20"/>
        </w:rPr>
        <w:t>следното</w:t>
      </w:r>
      <w:r w:rsidRPr="00173D95">
        <w:rPr>
          <w:rFonts w:ascii="Verdana" w:hAnsi="Verdana"/>
          <w:sz w:val="20"/>
          <w:szCs w:val="20"/>
        </w:rPr>
        <w:t>:</w:t>
      </w:r>
    </w:p>
    <w:p w:rsidR="00AB594A" w:rsidRDefault="00AB594A" w:rsidP="006861B0">
      <w:pPr>
        <w:pStyle w:val="broodtekst"/>
        <w:numPr>
          <w:ilvl w:val="0"/>
          <w:numId w:val="71"/>
        </w:numPr>
        <w:spacing w:before="120" w:after="120" w:line="276" w:lineRule="auto"/>
        <w:jc w:val="both"/>
        <w:rPr>
          <w:rFonts w:ascii="Verdana" w:hAnsi="Verdana"/>
          <w:sz w:val="20"/>
          <w:szCs w:val="20"/>
        </w:rPr>
      </w:pPr>
      <w:r w:rsidRPr="000F437D">
        <w:rPr>
          <w:rFonts w:ascii="Verdana" w:hAnsi="Verdana"/>
          <w:sz w:val="20"/>
          <w:szCs w:val="20"/>
        </w:rPr>
        <w:t>По-ясни разграничения на отговорностите и задачите  между отделите в УО, за да се избегне евентуално размиване или дублиране на функции;</w:t>
      </w:r>
      <w:r w:rsidRPr="00CF1230">
        <w:rPr>
          <w:rFonts w:ascii="Verdana" w:hAnsi="Verdana"/>
          <w:sz w:val="20"/>
          <w:szCs w:val="20"/>
        </w:rPr>
        <w:t xml:space="preserve"> </w:t>
      </w:r>
    </w:p>
    <w:p w:rsidR="00AB594A" w:rsidRPr="00173D95" w:rsidRDefault="00AB594A" w:rsidP="006861B0">
      <w:pPr>
        <w:pStyle w:val="broodtekst"/>
        <w:numPr>
          <w:ilvl w:val="0"/>
          <w:numId w:val="71"/>
        </w:numPr>
        <w:spacing w:before="120" w:after="120" w:line="276" w:lineRule="auto"/>
        <w:jc w:val="both"/>
        <w:rPr>
          <w:rFonts w:ascii="Verdana" w:hAnsi="Verdana"/>
          <w:sz w:val="20"/>
          <w:szCs w:val="20"/>
        </w:rPr>
      </w:pPr>
      <w:r>
        <w:rPr>
          <w:rFonts w:ascii="Verdana" w:hAnsi="Verdana"/>
          <w:sz w:val="20"/>
          <w:szCs w:val="20"/>
        </w:rPr>
        <w:t>Р</w:t>
      </w:r>
      <w:r w:rsidRPr="00173D95">
        <w:rPr>
          <w:rFonts w:ascii="Verdana" w:hAnsi="Verdana"/>
          <w:sz w:val="20"/>
          <w:szCs w:val="20"/>
        </w:rPr>
        <w:t>авномерно разпределение на задълженията между отделите и натовареността на експертите;</w:t>
      </w:r>
    </w:p>
    <w:p w:rsidR="00AB594A" w:rsidRPr="00D23ED2" w:rsidRDefault="00AB594A" w:rsidP="006861B0">
      <w:pPr>
        <w:pStyle w:val="broodtekst"/>
        <w:numPr>
          <w:ilvl w:val="0"/>
          <w:numId w:val="71"/>
        </w:numPr>
        <w:spacing w:before="120" w:after="120" w:line="276" w:lineRule="auto"/>
        <w:jc w:val="both"/>
        <w:rPr>
          <w:rFonts w:ascii="Verdana" w:hAnsi="Verdana"/>
          <w:sz w:val="20"/>
          <w:szCs w:val="20"/>
        </w:rPr>
      </w:pPr>
      <w:r w:rsidRPr="00D23ED2">
        <w:rPr>
          <w:rFonts w:ascii="Verdana" w:hAnsi="Verdana"/>
          <w:sz w:val="20"/>
          <w:szCs w:val="20"/>
        </w:rPr>
        <w:t xml:space="preserve">По-добра координация на задачите изпълнявани от различни отдели за да се избегне натрупване на работа; </w:t>
      </w:r>
    </w:p>
    <w:p w:rsidR="00AB594A" w:rsidRDefault="00AB594A" w:rsidP="006861B0">
      <w:pPr>
        <w:pStyle w:val="broodtekst"/>
        <w:numPr>
          <w:ilvl w:val="0"/>
          <w:numId w:val="71"/>
        </w:numPr>
        <w:spacing w:before="120" w:after="120" w:line="276" w:lineRule="auto"/>
        <w:jc w:val="both"/>
        <w:rPr>
          <w:rFonts w:ascii="Verdana" w:hAnsi="Verdana"/>
          <w:sz w:val="20"/>
          <w:szCs w:val="20"/>
        </w:rPr>
      </w:pPr>
      <w:r>
        <w:rPr>
          <w:rFonts w:ascii="Verdana" w:hAnsi="Verdana"/>
          <w:sz w:val="20"/>
          <w:szCs w:val="20"/>
        </w:rPr>
        <w:t>Изграждане на екипност и по-добра комуникация  в самите отдели и между отделите.</w:t>
      </w:r>
    </w:p>
    <w:p w:rsidR="00AB594A" w:rsidRDefault="00AB594A" w:rsidP="006861B0">
      <w:pPr>
        <w:pStyle w:val="broodtekst"/>
        <w:numPr>
          <w:ilvl w:val="0"/>
          <w:numId w:val="71"/>
        </w:numPr>
        <w:spacing w:before="120" w:after="120" w:line="276" w:lineRule="auto"/>
        <w:jc w:val="both"/>
        <w:rPr>
          <w:rFonts w:ascii="Verdana" w:hAnsi="Verdana"/>
          <w:sz w:val="20"/>
          <w:szCs w:val="20"/>
        </w:rPr>
      </w:pPr>
      <w:r>
        <w:rPr>
          <w:rFonts w:ascii="Verdana" w:hAnsi="Verdana"/>
          <w:sz w:val="20"/>
          <w:szCs w:val="20"/>
        </w:rPr>
        <w:t>Д</w:t>
      </w:r>
      <w:r w:rsidRPr="00173D95">
        <w:rPr>
          <w:rFonts w:ascii="Verdana" w:hAnsi="Verdana"/>
          <w:sz w:val="20"/>
          <w:szCs w:val="20"/>
        </w:rPr>
        <w:t>елегиране на голяма част от функции</w:t>
      </w:r>
      <w:r>
        <w:rPr>
          <w:rFonts w:ascii="Verdana" w:hAnsi="Verdana"/>
          <w:sz w:val="20"/>
          <w:szCs w:val="20"/>
        </w:rPr>
        <w:t>те</w:t>
      </w:r>
      <w:r w:rsidRPr="00173D95">
        <w:rPr>
          <w:rFonts w:ascii="Verdana" w:hAnsi="Verdana"/>
          <w:sz w:val="20"/>
          <w:szCs w:val="20"/>
        </w:rPr>
        <w:t xml:space="preserve"> по мониторинг и верификация на регионално ниво с цел облекчаване на работата на централно ниво и по-</w:t>
      </w:r>
      <w:r w:rsidRPr="00173D95">
        <w:rPr>
          <w:rFonts w:ascii="Verdana" w:hAnsi="Verdana"/>
          <w:sz w:val="20"/>
          <w:szCs w:val="20"/>
        </w:rPr>
        <w:lastRenderedPageBreak/>
        <w:t>голяма ефективност</w:t>
      </w:r>
      <w:r>
        <w:rPr>
          <w:rFonts w:ascii="Verdana" w:hAnsi="Verdana"/>
          <w:sz w:val="20"/>
          <w:szCs w:val="20"/>
        </w:rPr>
        <w:t>, като за целта е необходимо укрепване капацитета на регионалните офиси.</w:t>
      </w:r>
    </w:p>
    <w:p w:rsidR="00AB594A" w:rsidRPr="00B45B4F" w:rsidRDefault="00AB594A" w:rsidP="00D001D8">
      <w:pPr>
        <w:pStyle w:val="BodyText"/>
        <w:widowControl w:val="0"/>
        <w:tabs>
          <w:tab w:val="left" w:pos="0"/>
          <w:tab w:val="right" w:pos="9214"/>
        </w:tabs>
        <w:spacing w:before="120" w:line="276" w:lineRule="auto"/>
        <w:jc w:val="both"/>
        <w:rPr>
          <w:rFonts w:ascii="Verdana" w:hAnsi="Verdana"/>
          <w:bCs/>
          <w:color w:val="000000"/>
          <w:sz w:val="20"/>
          <w:szCs w:val="20"/>
        </w:rPr>
      </w:pPr>
    </w:p>
    <w:tbl>
      <w:tblPr>
        <w:tblW w:w="9090" w:type="dxa"/>
        <w:tblInd w:w="108" w:type="dxa"/>
        <w:tblBorders>
          <w:top w:val="single" w:sz="4" w:space="0" w:color="auto"/>
          <w:bottom w:val="single" w:sz="4" w:space="0" w:color="auto"/>
        </w:tblBorders>
        <w:tblLook w:val="04A0" w:firstRow="1" w:lastRow="0" w:firstColumn="1" w:lastColumn="0" w:noHBand="0" w:noVBand="1"/>
      </w:tblPr>
      <w:tblGrid>
        <w:gridCol w:w="531"/>
        <w:gridCol w:w="8559"/>
      </w:tblGrid>
      <w:tr w:rsidR="00B67535" w:rsidRPr="005757F7" w:rsidTr="0054272A">
        <w:tc>
          <w:tcPr>
            <w:tcW w:w="531" w:type="dxa"/>
            <w:vAlign w:val="center"/>
          </w:tcPr>
          <w:p w:rsidR="00B67535" w:rsidRPr="005757F7" w:rsidRDefault="00B67535" w:rsidP="002F5309">
            <w:pPr>
              <w:pStyle w:val="BodyText"/>
              <w:spacing w:before="120" w:line="276" w:lineRule="auto"/>
              <w:jc w:val="center"/>
              <w:rPr>
                <w:rFonts w:ascii="Verdana" w:hAnsi="Verdana"/>
                <w:color w:val="548DD4"/>
                <w:sz w:val="36"/>
                <w:szCs w:val="36"/>
              </w:rPr>
            </w:pPr>
            <w:r w:rsidRPr="005757F7">
              <w:rPr>
                <w:rFonts w:ascii="Verdana" w:hAnsi="Verdana"/>
                <w:color w:val="548DD4"/>
                <w:sz w:val="36"/>
                <w:szCs w:val="36"/>
              </w:rPr>
              <w:t>?</w:t>
            </w:r>
          </w:p>
        </w:tc>
        <w:tc>
          <w:tcPr>
            <w:tcW w:w="8559" w:type="dxa"/>
            <w:shd w:val="clear" w:color="auto" w:fill="B8CCE4"/>
          </w:tcPr>
          <w:p w:rsidR="00B67535" w:rsidRPr="005757F7" w:rsidRDefault="00B67535" w:rsidP="0054272A">
            <w:pPr>
              <w:autoSpaceDE w:val="0"/>
              <w:autoSpaceDN w:val="0"/>
              <w:adjustRightInd w:val="0"/>
              <w:spacing w:before="120" w:after="120"/>
              <w:rPr>
                <w:rFonts w:ascii="Verdana" w:hAnsi="Verdana"/>
                <w:sz w:val="20"/>
                <w:szCs w:val="20"/>
                <w:lang w:val="bg-BG"/>
              </w:rPr>
            </w:pPr>
            <w:r w:rsidRPr="005757F7">
              <w:rPr>
                <w:rFonts w:ascii="Verdana" w:hAnsi="Verdana"/>
                <w:sz w:val="20"/>
                <w:szCs w:val="20"/>
                <w:lang w:val="bg-BG"/>
              </w:rPr>
              <w:t>Адекватност на човешките ресурси и на административния капацитет за управление на програмата</w:t>
            </w:r>
          </w:p>
        </w:tc>
      </w:tr>
    </w:tbl>
    <w:p w:rsidR="0026362F" w:rsidRPr="00890D49" w:rsidRDefault="0026362F" w:rsidP="001B40F2">
      <w:pPr>
        <w:keepNext/>
        <w:pBdr>
          <w:bottom w:val="single" w:sz="12" w:space="1" w:color="0070C0"/>
        </w:pBdr>
        <w:autoSpaceDE w:val="0"/>
        <w:autoSpaceDN w:val="0"/>
        <w:adjustRightInd w:val="0"/>
        <w:spacing w:before="360" w:after="120" w:line="240" w:lineRule="auto"/>
        <w:rPr>
          <w:rFonts w:ascii="Verdana" w:eastAsia="Times New Roman" w:hAnsi="Verdana" w:cs="TimesNewRomanPSMT"/>
          <w:i/>
          <w:color w:val="548DD4" w:themeColor="text2" w:themeTint="99"/>
          <w:sz w:val="20"/>
          <w:szCs w:val="20"/>
          <w:lang w:val="bg-BG" w:eastAsia="bg-BG"/>
        </w:rPr>
      </w:pPr>
      <w:r w:rsidRPr="00890D49">
        <w:rPr>
          <w:rFonts w:ascii="Verdana" w:eastAsia="Times New Roman" w:hAnsi="Verdana" w:cs="TimesNewRomanPSMT"/>
          <w:i/>
          <w:color w:val="548DD4" w:themeColor="text2" w:themeTint="99"/>
          <w:sz w:val="20"/>
          <w:szCs w:val="20"/>
          <w:lang w:val="bg-BG" w:eastAsia="bg-BG"/>
        </w:rPr>
        <w:t>Човешки ресурси</w:t>
      </w:r>
    </w:p>
    <w:p w:rsidR="0026362F" w:rsidRPr="00173D95" w:rsidRDefault="0026362F" w:rsidP="0026362F">
      <w:pPr>
        <w:autoSpaceDE w:val="0"/>
        <w:autoSpaceDN w:val="0"/>
        <w:adjustRightInd w:val="0"/>
        <w:spacing w:before="120" w:after="120"/>
        <w:jc w:val="both"/>
        <w:rPr>
          <w:rFonts w:ascii="Verdana" w:hAnsi="Verdana"/>
          <w:sz w:val="20"/>
          <w:szCs w:val="20"/>
          <w:lang w:val="bg-BG"/>
        </w:rPr>
      </w:pPr>
      <w:r>
        <w:rPr>
          <w:rFonts w:ascii="Verdana" w:hAnsi="Verdana"/>
          <w:sz w:val="20"/>
          <w:szCs w:val="20"/>
          <w:lang w:val="bg-BG"/>
        </w:rPr>
        <w:t>Чи</w:t>
      </w:r>
      <w:r w:rsidRPr="00173D95">
        <w:rPr>
          <w:rFonts w:ascii="Verdana" w:hAnsi="Verdana"/>
          <w:sz w:val="20"/>
          <w:szCs w:val="20"/>
          <w:lang w:val="bg-BG"/>
        </w:rPr>
        <w:t>сленост</w:t>
      </w:r>
      <w:r>
        <w:rPr>
          <w:rFonts w:ascii="Verdana" w:hAnsi="Verdana"/>
          <w:sz w:val="20"/>
          <w:szCs w:val="20"/>
          <w:lang w:val="bg-BG"/>
        </w:rPr>
        <w:t>та</w:t>
      </w:r>
      <w:r w:rsidRPr="00173D95">
        <w:rPr>
          <w:rFonts w:ascii="Verdana" w:hAnsi="Verdana"/>
          <w:sz w:val="20"/>
          <w:szCs w:val="20"/>
          <w:lang w:val="bg-BG"/>
        </w:rPr>
        <w:t xml:space="preserve"> на персонала на</w:t>
      </w:r>
      <w:r>
        <w:rPr>
          <w:rFonts w:ascii="Verdana" w:hAnsi="Verdana"/>
          <w:sz w:val="20"/>
          <w:szCs w:val="20"/>
          <w:lang w:val="bg-BG"/>
        </w:rPr>
        <w:t xml:space="preserve"> </w:t>
      </w:r>
      <w:r w:rsidRPr="00173D95">
        <w:rPr>
          <w:rFonts w:ascii="Verdana" w:hAnsi="Verdana"/>
          <w:bCs/>
          <w:color w:val="000000"/>
          <w:sz w:val="20"/>
          <w:szCs w:val="20"/>
          <w:lang w:val="bg-BG"/>
        </w:rPr>
        <w:t>ГД</w:t>
      </w:r>
      <w:r>
        <w:rPr>
          <w:rFonts w:ascii="Verdana" w:hAnsi="Verdana"/>
          <w:bCs/>
          <w:color w:val="000000"/>
          <w:sz w:val="20"/>
          <w:szCs w:val="20"/>
          <w:lang w:val="bg-BG"/>
        </w:rPr>
        <w:t xml:space="preserve">СФМОП </w:t>
      </w:r>
      <w:r w:rsidRPr="00D02AE3">
        <w:rPr>
          <w:rFonts w:ascii="Verdana" w:hAnsi="Verdana"/>
          <w:sz w:val="20"/>
          <w:szCs w:val="20"/>
          <w:lang w:val="bg-BG"/>
        </w:rPr>
        <w:t>е 87</w:t>
      </w:r>
      <w:r>
        <w:rPr>
          <w:rFonts w:ascii="Verdana" w:hAnsi="Verdana"/>
          <w:sz w:val="20"/>
          <w:szCs w:val="20"/>
          <w:lang w:val="bg-BG"/>
        </w:rPr>
        <w:t xml:space="preserve"> </w:t>
      </w:r>
      <w:r w:rsidRPr="00173D95">
        <w:rPr>
          <w:rFonts w:ascii="Verdana" w:hAnsi="Verdana"/>
          <w:sz w:val="20"/>
          <w:szCs w:val="20"/>
          <w:lang w:val="bg-BG"/>
        </w:rPr>
        <w:t>бройки</w:t>
      </w:r>
      <w:r>
        <w:rPr>
          <w:rFonts w:ascii="Verdana" w:hAnsi="Verdana"/>
          <w:sz w:val="20"/>
          <w:szCs w:val="20"/>
          <w:lang w:val="bg-BG"/>
        </w:rPr>
        <w:t xml:space="preserve">, като </w:t>
      </w:r>
      <w:r w:rsidRPr="00173D95">
        <w:rPr>
          <w:rFonts w:ascii="Verdana" w:hAnsi="Verdana"/>
          <w:sz w:val="20"/>
          <w:szCs w:val="20"/>
          <w:lang w:val="bg-BG"/>
        </w:rPr>
        <w:t>разпределението на заетите</w:t>
      </w:r>
      <w:r>
        <w:rPr>
          <w:rFonts w:ascii="Verdana" w:hAnsi="Verdana"/>
          <w:sz w:val="20"/>
          <w:szCs w:val="20"/>
          <w:lang w:val="bg-BG"/>
        </w:rPr>
        <w:t xml:space="preserve"> </w:t>
      </w:r>
      <w:r w:rsidRPr="00173D95">
        <w:rPr>
          <w:rFonts w:ascii="Verdana" w:hAnsi="Verdana"/>
          <w:sz w:val="20"/>
          <w:szCs w:val="20"/>
          <w:lang w:val="bg-BG"/>
        </w:rPr>
        <w:t>длъжностни</w:t>
      </w:r>
      <w:r w:rsidRPr="00173D95">
        <w:rPr>
          <w:rStyle w:val="FootnoteReference"/>
          <w:rFonts w:ascii="Verdana" w:hAnsi="Verdana"/>
          <w:sz w:val="20"/>
          <w:szCs w:val="20"/>
          <w:lang w:val="bg-BG"/>
        </w:rPr>
        <w:footnoteReference w:id="9"/>
      </w:r>
      <w:r w:rsidRPr="00173D95">
        <w:rPr>
          <w:rFonts w:ascii="Verdana" w:hAnsi="Verdana"/>
          <w:sz w:val="20"/>
          <w:szCs w:val="20"/>
          <w:lang w:val="bg-BG"/>
        </w:rPr>
        <w:t xml:space="preserve"> позиции е следното:</w:t>
      </w:r>
    </w:p>
    <w:p w:rsidR="0026362F" w:rsidRPr="00173D95" w:rsidRDefault="0026362F" w:rsidP="006861B0">
      <w:pPr>
        <w:pStyle w:val="ListParagraph"/>
        <w:numPr>
          <w:ilvl w:val="0"/>
          <w:numId w:val="72"/>
        </w:numPr>
        <w:autoSpaceDE w:val="0"/>
        <w:autoSpaceDN w:val="0"/>
        <w:adjustRightInd w:val="0"/>
        <w:spacing w:before="120" w:after="120"/>
        <w:jc w:val="both"/>
        <w:rPr>
          <w:rFonts w:ascii="Verdana" w:hAnsi="Verdana"/>
          <w:sz w:val="20"/>
          <w:szCs w:val="20"/>
          <w:lang w:val="bg-BG"/>
        </w:rPr>
      </w:pPr>
      <w:r>
        <w:rPr>
          <w:rFonts w:ascii="Verdana" w:hAnsi="Verdana"/>
          <w:sz w:val="20"/>
          <w:szCs w:val="20"/>
          <w:lang w:val="bg-BG"/>
        </w:rPr>
        <w:t>11</w:t>
      </w:r>
      <w:r w:rsidRPr="00173D95">
        <w:rPr>
          <w:rFonts w:ascii="Verdana" w:hAnsi="Verdana"/>
          <w:sz w:val="20"/>
          <w:szCs w:val="20"/>
          <w:lang w:val="bg-BG"/>
        </w:rPr>
        <w:t xml:space="preserve"> ръководни позиции  – </w:t>
      </w:r>
      <w:r>
        <w:rPr>
          <w:rFonts w:ascii="Verdana" w:hAnsi="Verdana"/>
          <w:sz w:val="20"/>
          <w:szCs w:val="20"/>
          <w:lang w:val="bg-BG"/>
        </w:rPr>
        <w:t xml:space="preserve">главен </w:t>
      </w:r>
      <w:r w:rsidRPr="00173D95">
        <w:rPr>
          <w:rFonts w:ascii="Verdana" w:hAnsi="Verdana"/>
          <w:sz w:val="20"/>
          <w:szCs w:val="20"/>
          <w:lang w:val="bg-BG"/>
        </w:rPr>
        <w:t>директор на дирекция и двама заместник</w:t>
      </w:r>
      <w:r>
        <w:rPr>
          <w:rFonts w:ascii="Verdana" w:hAnsi="Verdana"/>
          <w:sz w:val="20"/>
          <w:szCs w:val="20"/>
          <w:lang w:val="bg-BG"/>
        </w:rPr>
        <w:t>-</w:t>
      </w:r>
      <w:r w:rsidRPr="00173D95">
        <w:rPr>
          <w:rFonts w:ascii="Verdana" w:hAnsi="Verdana"/>
          <w:sz w:val="20"/>
          <w:szCs w:val="20"/>
          <w:lang w:val="bg-BG"/>
        </w:rPr>
        <w:t xml:space="preserve">главни директори и </w:t>
      </w:r>
      <w:r>
        <w:rPr>
          <w:rFonts w:ascii="Verdana" w:hAnsi="Verdana"/>
          <w:sz w:val="20"/>
          <w:szCs w:val="20"/>
          <w:lang w:val="bg-BG"/>
        </w:rPr>
        <w:t>6</w:t>
      </w:r>
      <w:r w:rsidRPr="00173D95">
        <w:rPr>
          <w:rFonts w:ascii="Verdana" w:hAnsi="Verdana"/>
          <w:sz w:val="20"/>
          <w:szCs w:val="20"/>
          <w:lang w:val="bg-BG"/>
        </w:rPr>
        <w:t xml:space="preserve"> началници на отдели </w:t>
      </w:r>
      <w:r>
        <w:rPr>
          <w:rFonts w:ascii="Verdana" w:hAnsi="Verdana"/>
          <w:sz w:val="20"/>
          <w:szCs w:val="20"/>
          <w:lang w:val="bg-BG"/>
        </w:rPr>
        <w:t xml:space="preserve"> и двама началници  на сектор </w:t>
      </w:r>
      <w:r w:rsidRPr="00173D95">
        <w:rPr>
          <w:rFonts w:ascii="Verdana" w:hAnsi="Verdana"/>
          <w:sz w:val="20"/>
          <w:szCs w:val="20"/>
          <w:lang w:val="bg-BG"/>
        </w:rPr>
        <w:t>(</w:t>
      </w:r>
      <w:r>
        <w:rPr>
          <w:rFonts w:ascii="Verdana" w:hAnsi="Verdana"/>
          <w:sz w:val="20"/>
          <w:szCs w:val="20"/>
          <w:lang w:val="bg-BG"/>
        </w:rPr>
        <w:t>12.6</w:t>
      </w:r>
      <w:r w:rsidRPr="00173D95">
        <w:rPr>
          <w:rFonts w:ascii="Verdana" w:hAnsi="Verdana"/>
          <w:sz w:val="20"/>
          <w:szCs w:val="20"/>
          <w:lang w:val="bg-BG"/>
        </w:rPr>
        <w:t>%)</w:t>
      </w:r>
    </w:p>
    <w:p w:rsidR="0026362F" w:rsidRPr="00173D95" w:rsidRDefault="0026362F" w:rsidP="006861B0">
      <w:pPr>
        <w:pStyle w:val="ListParagraph"/>
        <w:numPr>
          <w:ilvl w:val="0"/>
          <w:numId w:val="72"/>
        </w:numPr>
        <w:autoSpaceDE w:val="0"/>
        <w:autoSpaceDN w:val="0"/>
        <w:adjustRightInd w:val="0"/>
        <w:spacing w:before="120" w:after="120"/>
        <w:jc w:val="both"/>
        <w:rPr>
          <w:rFonts w:ascii="Verdana" w:hAnsi="Verdana"/>
          <w:sz w:val="20"/>
          <w:szCs w:val="20"/>
          <w:lang w:val="bg-BG"/>
        </w:rPr>
      </w:pPr>
      <w:r>
        <w:rPr>
          <w:rFonts w:ascii="Verdana" w:hAnsi="Verdana"/>
          <w:sz w:val="20"/>
          <w:szCs w:val="20"/>
          <w:lang w:val="bg-BG"/>
        </w:rPr>
        <w:t>7</w:t>
      </w:r>
      <w:r w:rsidRPr="00173D95">
        <w:rPr>
          <w:rFonts w:ascii="Verdana" w:hAnsi="Verdana"/>
          <w:sz w:val="20"/>
          <w:szCs w:val="20"/>
          <w:lang w:val="bg-BG"/>
        </w:rPr>
        <w:t xml:space="preserve"> държавни експерта (</w:t>
      </w:r>
      <w:r>
        <w:rPr>
          <w:rFonts w:ascii="Verdana" w:hAnsi="Verdana"/>
          <w:sz w:val="20"/>
          <w:szCs w:val="20"/>
          <w:lang w:val="bg-BG"/>
        </w:rPr>
        <w:t>8</w:t>
      </w:r>
      <w:r w:rsidRPr="00173D95">
        <w:rPr>
          <w:rFonts w:ascii="Verdana" w:hAnsi="Verdana"/>
          <w:sz w:val="20"/>
          <w:szCs w:val="20"/>
          <w:lang w:val="bg-BG"/>
        </w:rPr>
        <w:t>%)</w:t>
      </w:r>
    </w:p>
    <w:p w:rsidR="0026362F" w:rsidRPr="00173D95" w:rsidRDefault="0026362F" w:rsidP="006861B0">
      <w:pPr>
        <w:pStyle w:val="ListParagraph"/>
        <w:numPr>
          <w:ilvl w:val="0"/>
          <w:numId w:val="72"/>
        </w:numPr>
        <w:autoSpaceDE w:val="0"/>
        <w:autoSpaceDN w:val="0"/>
        <w:adjustRightInd w:val="0"/>
        <w:spacing w:before="120" w:after="120"/>
        <w:jc w:val="both"/>
        <w:rPr>
          <w:rFonts w:ascii="Verdana" w:hAnsi="Verdana"/>
          <w:sz w:val="20"/>
          <w:szCs w:val="20"/>
          <w:lang w:val="bg-BG"/>
        </w:rPr>
      </w:pPr>
      <w:r>
        <w:rPr>
          <w:rFonts w:ascii="Verdana" w:hAnsi="Verdana"/>
          <w:sz w:val="20"/>
          <w:szCs w:val="20"/>
          <w:lang w:val="bg-BG"/>
        </w:rPr>
        <w:t xml:space="preserve">8 </w:t>
      </w:r>
      <w:r w:rsidRPr="00173D95">
        <w:rPr>
          <w:rFonts w:ascii="Verdana" w:hAnsi="Verdana"/>
          <w:sz w:val="20"/>
          <w:szCs w:val="20"/>
          <w:lang w:val="bg-BG"/>
        </w:rPr>
        <w:t>главни експерта (</w:t>
      </w:r>
      <w:r>
        <w:rPr>
          <w:rFonts w:ascii="Verdana" w:hAnsi="Verdana"/>
          <w:sz w:val="20"/>
          <w:szCs w:val="20"/>
          <w:lang w:val="bg-BG"/>
        </w:rPr>
        <w:t>9</w:t>
      </w:r>
      <w:r w:rsidRPr="00173D95">
        <w:rPr>
          <w:rFonts w:ascii="Verdana" w:hAnsi="Verdana"/>
          <w:sz w:val="20"/>
          <w:szCs w:val="20"/>
          <w:lang w:val="bg-BG"/>
        </w:rPr>
        <w:t>%)</w:t>
      </w:r>
    </w:p>
    <w:p w:rsidR="0026362F" w:rsidRPr="00173D95" w:rsidRDefault="0026362F" w:rsidP="006861B0">
      <w:pPr>
        <w:pStyle w:val="ListParagraph"/>
        <w:numPr>
          <w:ilvl w:val="0"/>
          <w:numId w:val="72"/>
        </w:numPr>
        <w:autoSpaceDE w:val="0"/>
        <w:autoSpaceDN w:val="0"/>
        <w:adjustRightInd w:val="0"/>
        <w:spacing w:before="120" w:after="120"/>
        <w:jc w:val="both"/>
        <w:rPr>
          <w:rFonts w:ascii="Verdana" w:hAnsi="Verdana"/>
          <w:sz w:val="20"/>
          <w:szCs w:val="20"/>
          <w:lang w:val="bg-BG"/>
        </w:rPr>
      </w:pPr>
      <w:r>
        <w:rPr>
          <w:rFonts w:ascii="Verdana" w:hAnsi="Verdana"/>
          <w:sz w:val="20"/>
          <w:szCs w:val="20"/>
          <w:lang w:val="bg-BG"/>
        </w:rPr>
        <w:t>30</w:t>
      </w:r>
      <w:r w:rsidRPr="00173D95">
        <w:rPr>
          <w:rFonts w:ascii="Verdana" w:hAnsi="Verdana"/>
          <w:sz w:val="20"/>
          <w:szCs w:val="20"/>
          <w:lang w:val="bg-BG"/>
        </w:rPr>
        <w:t xml:space="preserve"> старши експерта (</w:t>
      </w:r>
      <w:r>
        <w:rPr>
          <w:rFonts w:ascii="Verdana" w:hAnsi="Verdana"/>
          <w:sz w:val="20"/>
          <w:szCs w:val="20"/>
          <w:lang w:val="bg-BG"/>
        </w:rPr>
        <w:t>34.5</w:t>
      </w:r>
      <w:r w:rsidRPr="00173D95">
        <w:rPr>
          <w:rFonts w:ascii="Verdana" w:hAnsi="Verdana"/>
          <w:sz w:val="20"/>
          <w:szCs w:val="20"/>
          <w:lang w:val="bg-BG"/>
        </w:rPr>
        <w:t>%)</w:t>
      </w:r>
    </w:p>
    <w:p w:rsidR="0026362F" w:rsidRDefault="0026362F" w:rsidP="006861B0">
      <w:pPr>
        <w:pStyle w:val="ListParagraph"/>
        <w:numPr>
          <w:ilvl w:val="0"/>
          <w:numId w:val="72"/>
        </w:numPr>
        <w:autoSpaceDE w:val="0"/>
        <w:autoSpaceDN w:val="0"/>
        <w:adjustRightInd w:val="0"/>
        <w:spacing w:before="120" w:after="120"/>
        <w:jc w:val="both"/>
        <w:rPr>
          <w:rFonts w:ascii="Verdana" w:hAnsi="Verdana"/>
          <w:sz w:val="20"/>
          <w:szCs w:val="20"/>
          <w:lang w:val="bg-BG"/>
        </w:rPr>
      </w:pPr>
      <w:r>
        <w:rPr>
          <w:rFonts w:ascii="Verdana" w:hAnsi="Verdana"/>
          <w:sz w:val="20"/>
          <w:szCs w:val="20"/>
          <w:lang w:val="bg-BG"/>
        </w:rPr>
        <w:t>8 младши експерта (9</w:t>
      </w:r>
      <w:r w:rsidRPr="00173D95">
        <w:rPr>
          <w:rFonts w:ascii="Verdana" w:hAnsi="Verdana"/>
          <w:sz w:val="20"/>
          <w:szCs w:val="20"/>
          <w:lang w:val="bg-BG"/>
        </w:rPr>
        <w:t>%)</w:t>
      </w:r>
    </w:p>
    <w:p w:rsidR="0026362F" w:rsidRDefault="0026362F" w:rsidP="006861B0">
      <w:pPr>
        <w:pStyle w:val="ListParagraph"/>
        <w:numPr>
          <w:ilvl w:val="0"/>
          <w:numId w:val="72"/>
        </w:numPr>
        <w:autoSpaceDE w:val="0"/>
        <w:autoSpaceDN w:val="0"/>
        <w:adjustRightInd w:val="0"/>
        <w:spacing w:before="120" w:after="120"/>
        <w:jc w:val="both"/>
        <w:rPr>
          <w:rFonts w:ascii="Verdana" w:hAnsi="Verdana"/>
          <w:sz w:val="20"/>
          <w:szCs w:val="20"/>
          <w:lang w:val="bg-BG"/>
        </w:rPr>
      </w:pPr>
      <w:r>
        <w:rPr>
          <w:rFonts w:ascii="Verdana" w:hAnsi="Verdana"/>
          <w:sz w:val="20"/>
          <w:szCs w:val="20"/>
          <w:lang w:val="bg-BG"/>
        </w:rPr>
        <w:t>3 главен сътрудник (3.4%)</w:t>
      </w:r>
    </w:p>
    <w:p w:rsidR="0026362F" w:rsidRDefault="0026362F" w:rsidP="006861B0">
      <w:pPr>
        <w:pStyle w:val="ListParagraph"/>
        <w:numPr>
          <w:ilvl w:val="0"/>
          <w:numId w:val="72"/>
        </w:numPr>
        <w:autoSpaceDE w:val="0"/>
        <w:autoSpaceDN w:val="0"/>
        <w:adjustRightInd w:val="0"/>
        <w:spacing w:before="120" w:after="120"/>
        <w:jc w:val="both"/>
        <w:rPr>
          <w:rFonts w:ascii="Verdana" w:hAnsi="Verdana"/>
          <w:sz w:val="20"/>
          <w:szCs w:val="20"/>
          <w:lang w:val="bg-BG"/>
        </w:rPr>
      </w:pPr>
      <w:r>
        <w:rPr>
          <w:rFonts w:ascii="Verdana" w:hAnsi="Verdana"/>
          <w:sz w:val="20"/>
          <w:szCs w:val="20"/>
          <w:lang w:val="bg-BG"/>
        </w:rPr>
        <w:t>17 старши сътрудник (19.5%)</w:t>
      </w:r>
    </w:p>
    <w:p w:rsidR="0026362F" w:rsidRPr="00173D95" w:rsidRDefault="0026362F" w:rsidP="006861B0">
      <w:pPr>
        <w:pStyle w:val="ListParagraph"/>
        <w:numPr>
          <w:ilvl w:val="0"/>
          <w:numId w:val="72"/>
        </w:numPr>
        <w:autoSpaceDE w:val="0"/>
        <w:autoSpaceDN w:val="0"/>
        <w:adjustRightInd w:val="0"/>
        <w:spacing w:before="120" w:after="120"/>
        <w:jc w:val="both"/>
        <w:rPr>
          <w:rFonts w:ascii="Verdana" w:hAnsi="Verdana"/>
          <w:sz w:val="20"/>
          <w:szCs w:val="20"/>
          <w:lang w:val="bg-BG"/>
        </w:rPr>
      </w:pPr>
      <w:r>
        <w:rPr>
          <w:rFonts w:ascii="Verdana" w:hAnsi="Verdana"/>
          <w:sz w:val="20"/>
          <w:szCs w:val="20"/>
          <w:lang w:val="bg-BG"/>
        </w:rPr>
        <w:t>2 главни специалиста (2.3%)</w:t>
      </w:r>
    </w:p>
    <w:p w:rsidR="0026362F" w:rsidRPr="00173D95" w:rsidRDefault="0026362F" w:rsidP="0026362F">
      <w:pPr>
        <w:autoSpaceDE w:val="0"/>
        <w:autoSpaceDN w:val="0"/>
        <w:adjustRightInd w:val="0"/>
        <w:spacing w:before="120" w:after="120"/>
        <w:jc w:val="both"/>
        <w:rPr>
          <w:rFonts w:ascii="Verdana" w:hAnsi="Verdana"/>
          <w:sz w:val="20"/>
          <w:szCs w:val="20"/>
          <w:lang w:val="bg-BG"/>
        </w:rPr>
      </w:pPr>
      <w:r w:rsidRPr="00173D95">
        <w:rPr>
          <w:rFonts w:ascii="Verdana" w:hAnsi="Verdana"/>
          <w:sz w:val="20"/>
          <w:szCs w:val="20"/>
          <w:lang w:val="bg-BG"/>
        </w:rPr>
        <w:t>Разпределението на експертният състав осигурява необходимия „гръбнак” от експерти със значителен опит (държавни, главни и старши). Експертният състав с по-малко опит е по-малоброен</w:t>
      </w:r>
      <w:r>
        <w:rPr>
          <w:rFonts w:ascii="Verdana" w:hAnsi="Verdana"/>
          <w:sz w:val="20"/>
          <w:szCs w:val="20"/>
          <w:lang w:val="bg-BG"/>
        </w:rPr>
        <w:t>, като в повечето отдели липсват младши експерти.</w:t>
      </w:r>
      <w:r w:rsidRPr="00173D95">
        <w:rPr>
          <w:rFonts w:ascii="Verdana" w:hAnsi="Verdana"/>
          <w:sz w:val="20"/>
          <w:szCs w:val="20"/>
          <w:lang w:val="bg-BG"/>
        </w:rPr>
        <w:t xml:space="preserve"> </w:t>
      </w:r>
    </w:p>
    <w:p w:rsidR="0026362F" w:rsidRPr="00173D95" w:rsidRDefault="0026362F" w:rsidP="0026362F">
      <w:pPr>
        <w:pStyle w:val="broodtekst"/>
        <w:spacing w:before="120" w:after="120" w:line="276" w:lineRule="auto"/>
        <w:jc w:val="both"/>
        <w:rPr>
          <w:rFonts w:ascii="Verdana" w:hAnsi="Verdana"/>
          <w:sz w:val="20"/>
          <w:szCs w:val="20"/>
        </w:rPr>
      </w:pPr>
      <w:r w:rsidRPr="00173D95">
        <w:rPr>
          <w:rFonts w:ascii="Verdana" w:hAnsi="Verdana"/>
          <w:sz w:val="20"/>
          <w:szCs w:val="20"/>
        </w:rPr>
        <w:t>Броят на експертите в отделите на дирекцията е представен в таблицата по-долу.</w:t>
      </w:r>
    </w:p>
    <w:p w:rsidR="0026362F" w:rsidRPr="00173D95" w:rsidRDefault="0026362F" w:rsidP="0026362F">
      <w:pPr>
        <w:pStyle w:val="Caption"/>
        <w:rPr>
          <w:rFonts w:ascii="Verdana" w:hAnsi="Verdana"/>
          <w:color w:val="548DD4" w:themeColor="text2" w:themeTint="99"/>
        </w:rPr>
      </w:pPr>
      <w:bookmarkStart w:id="155" w:name="_Toc373747282"/>
      <w:bookmarkStart w:id="156" w:name="_Toc381712221"/>
      <w:bookmarkStart w:id="157" w:name="_Toc388431971"/>
      <w:bookmarkStart w:id="158" w:name="_Toc395612595"/>
      <w:r w:rsidRPr="00BB582B">
        <w:rPr>
          <w:rFonts w:ascii="Verdana" w:hAnsi="Verdana"/>
          <w:color w:val="548DD4" w:themeColor="text2" w:themeTint="99"/>
        </w:rPr>
        <w:t xml:space="preserve">Таблица </w:t>
      </w:r>
      <w:r w:rsidRPr="00BB582B">
        <w:rPr>
          <w:rFonts w:ascii="Verdana" w:hAnsi="Verdana"/>
          <w:color w:val="548DD4" w:themeColor="text2" w:themeTint="99"/>
        </w:rPr>
        <w:fldChar w:fldCharType="begin"/>
      </w:r>
      <w:r w:rsidRPr="00BB582B">
        <w:rPr>
          <w:rFonts w:ascii="Verdana" w:hAnsi="Verdana"/>
          <w:color w:val="548DD4" w:themeColor="text2" w:themeTint="99"/>
        </w:rPr>
        <w:instrText xml:space="preserve"> SEQ Таблица \* ARABIC </w:instrText>
      </w:r>
      <w:r w:rsidRPr="00BB582B">
        <w:rPr>
          <w:rFonts w:ascii="Verdana" w:hAnsi="Verdana"/>
          <w:color w:val="548DD4" w:themeColor="text2" w:themeTint="99"/>
        </w:rPr>
        <w:fldChar w:fldCharType="separate"/>
      </w:r>
      <w:r w:rsidR="001361E0">
        <w:rPr>
          <w:rFonts w:ascii="Verdana" w:hAnsi="Verdana"/>
          <w:noProof/>
          <w:color w:val="548DD4" w:themeColor="text2" w:themeTint="99"/>
        </w:rPr>
        <w:t>39</w:t>
      </w:r>
      <w:r w:rsidRPr="00BB582B">
        <w:rPr>
          <w:rFonts w:ascii="Verdana" w:hAnsi="Verdana"/>
          <w:color w:val="548DD4" w:themeColor="text2" w:themeTint="99"/>
        </w:rPr>
        <w:fldChar w:fldCharType="end"/>
      </w:r>
      <w:r>
        <w:rPr>
          <w:rFonts w:ascii="Verdana" w:hAnsi="Verdana"/>
          <w:color w:val="548DD4" w:themeColor="text2" w:themeTint="99"/>
        </w:rPr>
        <w:t xml:space="preserve">. </w:t>
      </w:r>
      <w:r w:rsidRPr="00BB582B">
        <w:rPr>
          <w:rFonts w:ascii="Verdana" w:hAnsi="Verdana"/>
          <w:color w:val="548DD4" w:themeColor="text2" w:themeTint="99"/>
        </w:rPr>
        <w:t>Разпределение на експертите по отдели в ГД</w:t>
      </w:r>
      <w:bookmarkEnd w:id="155"/>
      <w:bookmarkEnd w:id="156"/>
      <w:r w:rsidRPr="00BB582B">
        <w:rPr>
          <w:rFonts w:ascii="Verdana" w:hAnsi="Verdana"/>
          <w:color w:val="548DD4" w:themeColor="text2" w:themeTint="99"/>
        </w:rPr>
        <w:t>СФМОП</w:t>
      </w:r>
      <w:bookmarkEnd w:id="157"/>
      <w:bookmarkEnd w:id="158"/>
    </w:p>
    <w:tbl>
      <w:tblPr>
        <w:tblStyle w:val="TableGrid"/>
        <w:tblW w:w="0" w:type="auto"/>
        <w:tblInd w:w="108" w:type="dxa"/>
        <w:tblLook w:val="04A0" w:firstRow="1" w:lastRow="0" w:firstColumn="1" w:lastColumn="0" w:noHBand="0" w:noVBand="1"/>
      </w:tblPr>
      <w:tblGrid>
        <w:gridCol w:w="5387"/>
        <w:gridCol w:w="1417"/>
        <w:gridCol w:w="2258"/>
      </w:tblGrid>
      <w:tr w:rsidR="0026362F" w:rsidRPr="0073781E" w:rsidTr="0026362F">
        <w:tc>
          <w:tcPr>
            <w:tcW w:w="5387" w:type="dxa"/>
            <w:shd w:val="clear" w:color="auto" w:fill="17365D" w:themeFill="text2" w:themeFillShade="BF"/>
          </w:tcPr>
          <w:p w:rsidR="0026362F" w:rsidRPr="00173D95" w:rsidRDefault="0026362F" w:rsidP="001B40F2">
            <w:pPr>
              <w:pStyle w:val="broodtekst"/>
              <w:spacing w:line="276" w:lineRule="auto"/>
              <w:jc w:val="both"/>
              <w:rPr>
                <w:rFonts w:ascii="Verdana" w:hAnsi="Verdana"/>
                <w:sz w:val="20"/>
                <w:szCs w:val="20"/>
              </w:rPr>
            </w:pPr>
            <w:r w:rsidRPr="00173D95">
              <w:rPr>
                <w:rFonts w:ascii="Verdana" w:hAnsi="Verdana"/>
                <w:sz w:val="20"/>
                <w:szCs w:val="20"/>
              </w:rPr>
              <w:t>Отдел</w:t>
            </w:r>
          </w:p>
        </w:tc>
        <w:tc>
          <w:tcPr>
            <w:tcW w:w="1417" w:type="dxa"/>
            <w:shd w:val="clear" w:color="auto" w:fill="17365D" w:themeFill="text2" w:themeFillShade="BF"/>
          </w:tcPr>
          <w:p w:rsidR="0026362F" w:rsidRPr="00173D95" w:rsidRDefault="0026362F" w:rsidP="001B40F2">
            <w:pPr>
              <w:pStyle w:val="broodtekst"/>
              <w:spacing w:line="276" w:lineRule="auto"/>
              <w:jc w:val="both"/>
              <w:rPr>
                <w:rFonts w:ascii="Verdana" w:hAnsi="Verdana"/>
                <w:sz w:val="20"/>
                <w:szCs w:val="20"/>
              </w:rPr>
            </w:pPr>
            <w:r w:rsidRPr="00173D95">
              <w:rPr>
                <w:rFonts w:ascii="Verdana" w:hAnsi="Verdana"/>
                <w:sz w:val="20"/>
                <w:szCs w:val="20"/>
              </w:rPr>
              <w:t>Брой служители</w:t>
            </w:r>
          </w:p>
        </w:tc>
        <w:tc>
          <w:tcPr>
            <w:tcW w:w="2258" w:type="dxa"/>
            <w:shd w:val="clear" w:color="auto" w:fill="17365D" w:themeFill="text2" w:themeFillShade="BF"/>
          </w:tcPr>
          <w:p w:rsidR="0026362F" w:rsidRPr="00173D95" w:rsidRDefault="0026362F" w:rsidP="001B40F2">
            <w:pPr>
              <w:pStyle w:val="broodtekst"/>
              <w:spacing w:line="276" w:lineRule="auto"/>
              <w:jc w:val="both"/>
              <w:rPr>
                <w:rFonts w:ascii="Verdana" w:hAnsi="Verdana"/>
                <w:sz w:val="20"/>
                <w:szCs w:val="20"/>
              </w:rPr>
            </w:pPr>
            <w:r w:rsidRPr="00173D95">
              <w:rPr>
                <w:rFonts w:ascii="Verdana" w:hAnsi="Verdana"/>
                <w:sz w:val="20"/>
                <w:szCs w:val="20"/>
              </w:rPr>
              <w:t>% от общия брой служители в дирекцията</w:t>
            </w:r>
          </w:p>
        </w:tc>
      </w:tr>
      <w:tr w:rsidR="0026362F" w:rsidRPr="003712EA" w:rsidTr="0026362F">
        <w:tc>
          <w:tcPr>
            <w:tcW w:w="5387" w:type="dxa"/>
          </w:tcPr>
          <w:p w:rsidR="0026362F" w:rsidRPr="00173D95" w:rsidRDefault="0026362F" w:rsidP="001B40F2">
            <w:pPr>
              <w:pStyle w:val="broodtekst"/>
              <w:spacing w:line="276" w:lineRule="auto"/>
              <w:jc w:val="both"/>
              <w:rPr>
                <w:rFonts w:ascii="Verdana" w:hAnsi="Verdana"/>
                <w:sz w:val="20"/>
                <w:szCs w:val="20"/>
              </w:rPr>
            </w:pPr>
            <w:r>
              <w:rPr>
                <w:rFonts w:ascii="Verdana" w:hAnsi="Verdana" w:cs="TimesNewRomanPSMT"/>
                <w:sz w:val="20"/>
                <w:szCs w:val="20"/>
                <w:lang w:eastAsia="bg-BG"/>
              </w:rPr>
              <w:t>Отдел „Програмиране и договаряне”</w:t>
            </w:r>
          </w:p>
        </w:tc>
        <w:tc>
          <w:tcPr>
            <w:tcW w:w="1417" w:type="dxa"/>
          </w:tcPr>
          <w:p w:rsidR="0026362F" w:rsidRPr="00173D95" w:rsidRDefault="0026362F" w:rsidP="001B40F2">
            <w:pPr>
              <w:pStyle w:val="broodtekst"/>
              <w:spacing w:line="276" w:lineRule="auto"/>
              <w:jc w:val="both"/>
              <w:rPr>
                <w:rFonts w:ascii="Verdana" w:hAnsi="Verdana"/>
                <w:sz w:val="20"/>
                <w:szCs w:val="20"/>
              </w:rPr>
            </w:pPr>
            <w:r>
              <w:rPr>
                <w:rFonts w:ascii="Verdana" w:hAnsi="Verdana"/>
                <w:sz w:val="20"/>
                <w:szCs w:val="20"/>
              </w:rPr>
              <w:t>5</w:t>
            </w:r>
          </w:p>
        </w:tc>
        <w:tc>
          <w:tcPr>
            <w:tcW w:w="2258" w:type="dxa"/>
          </w:tcPr>
          <w:p w:rsidR="0026362F" w:rsidRPr="00173D95" w:rsidRDefault="0026362F" w:rsidP="001B40F2">
            <w:pPr>
              <w:pStyle w:val="broodtekst"/>
              <w:spacing w:line="276" w:lineRule="auto"/>
              <w:jc w:val="both"/>
              <w:rPr>
                <w:rFonts w:ascii="Verdana" w:hAnsi="Verdana"/>
                <w:sz w:val="20"/>
                <w:szCs w:val="20"/>
              </w:rPr>
            </w:pPr>
            <w:r>
              <w:rPr>
                <w:rFonts w:ascii="Verdana" w:hAnsi="Verdana"/>
                <w:sz w:val="20"/>
                <w:szCs w:val="20"/>
              </w:rPr>
              <w:t>5.9%</w:t>
            </w:r>
          </w:p>
        </w:tc>
      </w:tr>
      <w:tr w:rsidR="0026362F" w:rsidRPr="003712EA" w:rsidTr="0026362F">
        <w:tc>
          <w:tcPr>
            <w:tcW w:w="5387" w:type="dxa"/>
          </w:tcPr>
          <w:p w:rsidR="0026362F" w:rsidRPr="00173D95" w:rsidRDefault="0026362F" w:rsidP="001B40F2">
            <w:pPr>
              <w:pStyle w:val="broodtekst"/>
              <w:spacing w:line="276" w:lineRule="auto"/>
              <w:jc w:val="both"/>
              <w:rPr>
                <w:rFonts w:ascii="Verdana" w:hAnsi="Verdana" w:cs="TimesNewRomanPSMT"/>
                <w:sz w:val="20"/>
                <w:szCs w:val="20"/>
                <w:lang w:eastAsia="bg-BG"/>
              </w:rPr>
            </w:pPr>
            <w:r>
              <w:rPr>
                <w:rFonts w:ascii="Verdana" w:hAnsi="Verdana" w:cs="TimesNewRomanPSMT"/>
                <w:sz w:val="20"/>
                <w:szCs w:val="20"/>
                <w:lang w:eastAsia="bg-BG"/>
              </w:rPr>
              <w:t>Отдел „Наблюдение и оценка“</w:t>
            </w:r>
          </w:p>
        </w:tc>
        <w:tc>
          <w:tcPr>
            <w:tcW w:w="1417" w:type="dxa"/>
          </w:tcPr>
          <w:p w:rsidR="0026362F" w:rsidRPr="00173D95" w:rsidRDefault="0026362F" w:rsidP="001B40F2">
            <w:pPr>
              <w:pStyle w:val="broodtekst"/>
              <w:spacing w:line="276" w:lineRule="auto"/>
              <w:jc w:val="both"/>
              <w:rPr>
                <w:rFonts w:ascii="Verdana" w:hAnsi="Verdana" w:cs="TimesNewRomanPSMT"/>
                <w:sz w:val="20"/>
                <w:szCs w:val="20"/>
                <w:lang w:eastAsia="bg-BG"/>
              </w:rPr>
            </w:pPr>
            <w:r>
              <w:rPr>
                <w:rFonts w:ascii="Verdana" w:hAnsi="Verdana" w:cs="TimesNewRomanPSMT"/>
                <w:sz w:val="20"/>
                <w:szCs w:val="20"/>
                <w:lang w:eastAsia="bg-BG"/>
              </w:rPr>
              <w:t>5</w:t>
            </w:r>
          </w:p>
        </w:tc>
        <w:tc>
          <w:tcPr>
            <w:tcW w:w="2258" w:type="dxa"/>
          </w:tcPr>
          <w:p w:rsidR="0026362F" w:rsidRPr="00173D95" w:rsidRDefault="0026362F" w:rsidP="001B40F2">
            <w:pPr>
              <w:pStyle w:val="broodtekst"/>
              <w:spacing w:line="276" w:lineRule="auto"/>
              <w:jc w:val="both"/>
              <w:rPr>
                <w:rFonts w:ascii="Verdana" w:hAnsi="Verdana"/>
                <w:sz w:val="20"/>
                <w:szCs w:val="20"/>
              </w:rPr>
            </w:pPr>
            <w:r>
              <w:rPr>
                <w:rFonts w:ascii="Verdana" w:hAnsi="Verdana"/>
                <w:sz w:val="20"/>
                <w:szCs w:val="20"/>
              </w:rPr>
              <w:t>5.9%</w:t>
            </w:r>
          </w:p>
        </w:tc>
      </w:tr>
      <w:tr w:rsidR="0026362F" w:rsidRPr="003712EA" w:rsidTr="0026362F">
        <w:tc>
          <w:tcPr>
            <w:tcW w:w="5387" w:type="dxa"/>
          </w:tcPr>
          <w:p w:rsidR="0026362F" w:rsidRPr="00173D95" w:rsidRDefault="0026362F" w:rsidP="001B40F2">
            <w:pPr>
              <w:autoSpaceDE w:val="0"/>
              <w:autoSpaceDN w:val="0"/>
              <w:adjustRightInd w:val="0"/>
              <w:spacing w:after="0"/>
              <w:jc w:val="both"/>
              <w:rPr>
                <w:rFonts w:ascii="Verdana" w:hAnsi="Verdana" w:cs="TimesNewRomanPSMT"/>
                <w:sz w:val="20"/>
                <w:szCs w:val="20"/>
                <w:lang w:eastAsia="bg-BG"/>
              </w:rPr>
            </w:pPr>
            <w:proofErr w:type="spellStart"/>
            <w:r w:rsidRPr="003712EA">
              <w:rPr>
                <w:rFonts w:ascii="Verdana" w:hAnsi="Verdana" w:cs="TimesNewRomanPSMT"/>
                <w:sz w:val="20"/>
                <w:szCs w:val="20"/>
                <w:lang w:eastAsia="bg-BG"/>
              </w:rPr>
              <w:t>Отдел</w:t>
            </w:r>
            <w:proofErr w:type="spellEnd"/>
            <w:r w:rsidRPr="003712EA">
              <w:rPr>
                <w:rFonts w:ascii="Verdana" w:hAnsi="Verdana" w:cs="TimesNewRomanPSMT"/>
                <w:sz w:val="20"/>
                <w:szCs w:val="20"/>
                <w:lang w:eastAsia="bg-BG"/>
              </w:rPr>
              <w:t xml:space="preserve"> „</w:t>
            </w:r>
            <w:proofErr w:type="spellStart"/>
            <w:r>
              <w:rPr>
                <w:rFonts w:ascii="Verdana" w:hAnsi="Verdana" w:cs="TimesNewRomanPSMT"/>
                <w:sz w:val="20"/>
                <w:szCs w:val="20"/>
                <w:lang w:eastAsia="bg-BG"/>
              </w:rPr>
              <w:t>Верификация</w:t>
            </w:r>
            <w:proofErr w:type="spellEnd"/>
            <w:r>
              <w:rPr>
                <w:rFonts w:ascii="Verdana" w:hAnsi="Verdana" w:cs="TimesNewRomanPSMT"/>
                <w:sz w:val="20"/>
                <w:szCs w:val="20"/>
                <w:lang w:eastAsia="bg-BG"/>
              </w:rPr>
              <w:t>”</w:t>
            </w:r>
          </w:p>
        </w:tc>
        <w:tc>
          <w:tcPr>
            <w:tcW w:w="1417" w:type="dxa"/>
          </w:tcPr>
          <w:p w:rsidR="0026362F" w:rsidRPr="00173D95" w:rsidRDefault="0026362F" w:rsidP="001B40F2">
            <w:pPr>
              <w:pStyle w:val="broodtekst"/>
              <w:spacing w:line="276" w:lineRule="auto"/>
              <w:jc w:val="both"/>
              <w:rPr>
                <w:rFonts w:ascii="Verdana" w:hAnsi="Verdana" w:cs="TimesNewRomanPSMT"/>
                <w:sz w:val="20"/>
                <w:szCs w:val="20"/>
                <w:lang w:eastAsia="bg-BG"/>
              </w:rPr>
            </w:pPr>
            <w:r>
              <w:rPr>
                <w:rFonts w:ascii="Verdana" w:hAnsi="Verdana" w:cs="TimesNewRomanPSMT"/>
                <w:sz w:val="20"/>
                <w:szCs w:val="20"/>
                <w:lang w:eastAsia="bg-BG"/>
              </w:rPr>
              <w:t>55</w:t>
            </w:r>
          </w:p>
        </w:tc>
        <w:tc>
          <w:tcPr>
            <w:tcW w:w="2258" w:type="dxa"/>
          </w:tcPr>
          <w:p w:rsidR="0026362F" w:rsidRPr="00173D95" w:rsidRDefault="0026362F" w:rsidP="001B40F2">
            <w:pPr>
              <w:pStyle w:val="broodtekst"/>
              <w:spacing w:line="276" w:lineRule="auto"/>
              <w:jc w:val="both"/>
              <w:rPr>
                <w:rFonts w:ascii="Verdana" w:hAnsi="Verdana"/>
                <w:sz w:val="20"/>
                <w:szCs w:val="20"/>
              </w:rPr>
            </w:pPr>
            <w:r>
              <w:rPr>
                <w:rFonts w:ascii="Verdana" w:hAnsi="Verdana"/>
                <w:sz w:val="20"/>
                <w:szCs w:val="20"/>
              </w:rPr>
              <w:t>65.4%</w:t>
            </w:r>
          </w:p>
        </w:tc>
      </w:tr>
      <w:tr w:rsidR="0026362F" w:rsidRPr="003712EA" w:rsidTr="0026362F">
        <w:tc>
          <w:tcPr>
            <w:tcW w:w="5387" w:type="dxa"/>
          </w:tcPr>
          <w:p w:rsidR="0026362F" w:rsidRPr="003712EA" w:rsidRDefault="0026362F" w:rsidP="001B40F2">
            <w:pPr>
              <w:autoSpaceDE w:val="0"/>
              <w:autoSpaceDN w:val="0"/>
              <w:adjustRightInd w:val="0"/>
              <w:spacing w:after="0"/>
              <w:jc w:val="both"/>
              <w:rPr>
                <w:rFonts w:ascii="Verdana" w:hAnsi="Verdana" w:cs="TimesNewRomanPSMT"/>
                <w:sz w:val="20"/>
                <w:szCs w:val="20"/>
                <w:lang w:eastAsia="bg-BG"/>
              </w:rPr>
            </w:pPr>
            <w:proofErr w:type="spellStart"/>
            <w:r w:rsidRPr="003712EA">
              <w:rPr>
                <w:rFonts w:ascii="Verdana" w:hAnsi="Verdana" w:cs="TimesNewRomanPSMT"/>
                <w:sz w:val="20"/>
                <w:szCs w:val="20"/>
                <w:lang w:eastAsia="bg-BG"/>
              </w:rPr>
              <w:t>О</w:t>
            </w:r>
            <w:r>
              <w:rPr>
                <w:rFonts w:ascii="Verdana" w:hAnsi="Verdana" w:cs="TimesNewRomanPSMT"/>
                <w:sz w:val="20"/>
                <w:szCs w:val="20"/>
                <w:lang w:eastAsia="bg-BG"/>
              </w:rPr>
              <w:t>тдел</w:t>
            </w:r>
            <w:proofErr w:type="spellEnd"/>
            <w:r>
              <w:rPr>
                <w:rFonts w:ascii="Verdana" w:hAnsi="Verdana" w:cs="TimesNewRomanPSMT"/>
                <w:sz w:val="20"/>
                <w:szCs w:val="20"/>
                <w:lang w:eastAsia="bg-BG"/>
              </w:rPr>
              <w:t xml:space="preserve"> „</w:t>
            </w:r>
            <w:proofErr w:type="spellStart"/>
            <w:r>
              <w:rPr>
                <w:rFonts w:ascii="Verdana" w:hAnsi="Verdana" w:cs="TimesNewRomanPSMT"/>
                <w:sz w:val="20"/>
                <w:szCs w:val="20"/>
                <w:lang w:eastAsia="bg-BG"/>
              </w:rPr>
              <w:t>Управление</w:t>
            </w:r>
            <w:proofErr w:type="spellEnd"/>
            <w:r>
              <w:rPr>
                <w:rFonts w:ascii="Verdana" w:hAnsi="Verdana" w:cs="TimesNewRomanPSMT"/>
                <w:sz w:val="20"/>
                <w:szCs w:val="20"/>
                <w:lang w:eastAsia="bg-BG"/>
              </w:rPr>
              <w:t xml:space="preserve"> </w:t>
            </w:r>
            <w:proofErr w:type="spellStart"/>
            <w:r>
              <w:rPr>
                <w:rFonts w:ascii="Verdana" w:hAnsi="Verdana" w:cs="TimesNewRomanPSMT"/>
                <w:sz w:val="20"/>
                <w:szCs w:val="20"/>
                <w:lang w:eastAsia="bg-BG"/>
              </w:rPr>
              <w:t>на</w:t>
            </w:r>
            <w:proofErr w:type="spellEnd"/>
            <w:r>
              <w:rPr>
                <w:rFonts w:ascii="Verdana" w:hAnsi="Verdana" w:cs="TimesNewRomanPSMT"/>
                <w:sz w:val="20"/>
                <w:szCs w:val="20"/>
                <w:lang w:eastAsia="bg-BG"/>
              </w:rPr>
              <w:t xml:space="preserve"> </w:t>
            </w:r>
            <w:proofErr w:type="spellStart"/>
            <w:r>
              <w:rPr>
                <w:rFonts w:ascii="Verdana" w:hAnsi="Verdana" w:cs="TimesNewRomanPSMT"/>
                <w:sz w:val="20"/>
                <w:szCs w:val="20"/>
                <w:lang w:eastAsia="bg-BG"/>
              </w:rPr>
              <w:t>риска</w:t>
            </w:r>
            <w:proofErr w:type="spellEnd"/>
            <w:r>
              <w:rPr>
                <w:rFonts w:ascii="Verdana" w:hAnsi="Verdana" w:cs="TimesNewRomanPSMT"/>
                <w:sz w:val="20"/>
                <w:szCs w:val="20"/>
                <w:lang w:eastAsia="bg-BG"/>
              </w:rPr>
              <w:t xml:space="preserve"> и </w:t>
            </w:r>
            <w:proofErr w:type="spellStart"/>
            <w:r>
              <w:rPr>
                <w:rFonts w:ascii="Verdana" w:hAnsi="Verdana" w:cs="TimesNewRomanPSMT"/>
                <w:sz w:val="20"/>
                <w:szCs w:val="20"/>
                <w:lang w:eastAsia="bg-BG"/>
              </w:rPr>
              <w:t>контрол</w:t>
            </w:r>
            <w:proofErr w:type="spellEnd"/>
            <w:r>
              <w:rPr>
                <w:rFonts w:ascii="Verdana" w:hAnsi="Verdana" w:cs="TimesNewRomanPSMT"/>
                <w:sz w:val="20"/>
                <w:szCs w:val="20"/>
                <w:lang w:eastAsia="bg-BG"/>
              </w:rPr>
              <w:t>”</w:t>
            </w:r>
          </w:p>
        </w:tc>
        <w:tc>
          <w:tcPr>
            <w:tcW w:w="1417" w:type="dxa"/>
          </w:tcPr>
          <w:p w:rsidR="0026362F" w:rsidRDefault="0026362F" w:rsidP="001B40F2">
            <w:pPr>
              <w:pStyle w:val="broodtekst"/>
              <w:spacing w:line="276" w:lineRule="auto"/>
              <w:jc w:val="both"/>
              <w:rPr>
                <w:rFonts w:ascii="Verdana" w:hAnsi="Verdana" w:cs="TimesNewRomanPSMT"/>
                <w:sz w:val="20"/>
                <w:szCs w:val="20"/>
                <w:lang w:eastAsia="bg-BG"/>
              </w:rPr>
            </w:pPr>
            <w:r>
              <w:rPr>
                <w:rFonts w:ascii="Verdana" w:hAnsi="Verdana" w:cs="TimesNewRomanPSMT"/>
                <w:sz w:val="20"/>
                <w:szCs w:val="20"/>
                <w:lang w:eastAsia="bg-BG"/>
              </w:rPr>
              <w:t>8</w:t>
            </w:r>
          </w:p>
        </w:tc>
        <w:tc>
          <w:tcPr>
            <w:tcW w:w="2258" w:type="dxa"/>
          </w:tcPr>
          <w:p w:rsidR="0026362F" w:rsidRDefault="0026362F" w:rsidP="001B40F2">
            <w:pPr>
              <w:pStyle w:val="broodtekst"/>
              <w:spacing w:line="276" w:lineRule="auto"/>
              <w:jc w:val="both"/>
              <w:rPr>
                <w:rFonts w:ascii="Verdana" w:hAnsi="Verdana"/>
                <w:sz w:val="20"/>
                <w:szCs w:val="20"/>
              </w:rPr>
            </w:pPr>
            <w:r>
              <w:rPr>
                <w:rFonts w:ascii="Verdana" w:hAnsi="Verdana"/>
                <w:sz w:val="20"/>
                <w:szCs w:val="20"/>
              </w:rPr>
              <w:t>9.5%</w:t>
            </w:r>
          </w:p>
        </w:tc>
      </w:tr>
      <w:tr w:rsidR="0026362F" w:rsidRPr="003712EA" w:rsidTr="0026362F">
        <w:tc>
          <w:tcPr>
            <w:tcW w:w="5387" w:type="dxa"/>
          </w:tcPr>
          <w:p w:rsidR="0026362F" w:rsidRPr="003712EA" w:rsidRDefault="0026362F" w:rsidP="001B40F2">
            <w:pPr>
              <w:autoSpaceDE w:val="0"/>
              <w:autoSpaceDN w:val="0"/>
              <w:adjustRightInd w:val="0"/>
              <w:spacing w:after="0"/>
              <w:jc w:val="both"/>
              <w:rPr>
                <w:rFonts w:ascii="Verdana" w:hAnsi="Verdana" w:cs="TimesNewRomanPSMT"/>
                <w:sz w:val="20"/>
                <w:szCs w:val="20"/>
                <w:lang w:eastAsia="bg-BG"/>
              </w:rPr>
            </w:pPr>
            <w:proofErr w:type="spellStart"/>
            <w:r w:rsidRPr="003712EA">
              <w:rPr>
                <w:rFonts w:ascii="Verdana" w:hAnsi="Verdana" w:cs="TimesNewRomanPSMT"/>
                <w:sz w:val="20"/>
                <w:szCs w:val="20"/>
                <w:lang w:eastAsia="bg-BG"/>
              </w:rPr>
              <w:t>Отдел</w:t>
            </w:r>
            <w:proofErr w:type="spellEnd"/>
            <w:r w:rsidRPr="003712EA">
              <w:rPr>
                <w:rFonts w:ascii="Verdana" w:hAnsi="Verdana" w:cs="TimesNewRomanPSMT"/>
                <w:sz w:val="20"/>
                <w:szCs w:val="20"/>
                <w:lang w:eastAsia="bg-BG"/>
              </w:rPr>
              <w:t xml:space="preserve"> „</w:t>
            </w:r>
            <w:proofErr w:type="spellStart"/>
            <w:r w:rsidRPr="003712EA">
              <w:rPr>
                <w:rFonts w:ascii="Verdana" w:hAnsi="Verdana" w:cs="TimesNewRomanPSMT"/>
                <w:sz w:val="20"/>
                <w:szCs w:val="20"/>
                <w:lang w:eastAsia="bg-BG"/>
              </w:rPr>
              <w:t>Финансово</w:t>
            </w:r>
            <w:proofErr w:type="spellEnd"/>
            <w:r w:rsidRPr="003712EA">
              <w:rPr>
                <w:rFonts w:ascii="Verdana" w:hAnsi="Verdana" w:cs="TimesNewRomanPSMT"/>
                <w:sz w:val="20"/>
                <w:szCs w:val="20"/>
                <w:lang w:eastAsia="bg-BG"/>
              </w:rPr>
              <w:t xml:space="preserve"> </w:t>
            </w:r>
            <w:proofErr w:type="spellStart"/>
            <w:r w:rsidRPr="003712EA">
              <w:rPr>
                <w:rFonts w:ascii="Verdana" w:hAnsi="Verdana" w:cs="TimesNewRomanPSMT"/>
                <w:sz w:val="20"/>
                <w:szCs w:val="20"/>
                <w:lang w:eastAsia="bg-BG"/>
              </w:rPr>
              <w:t>планиране</w:t>
            </w:r>
            <w:proofErr w:type="spellEnd"/>
            <w:r w:rsidRPr="003712EA">
              <w:rPr>
                <w:rFonts w:ascii="Verdana" w:hAnsi="Verdana" w:cs="TimesNewRomanPSMT"/>
                <w:sz w:val="20"/>
                <w:szCs w:val="20"/>
                <w:lang w:eastAsia="bg-BG"/>
              </w:rPr>
              <w:t xml:space="preserve">, </w:t>
            </w:r>
            <w:proofErr w:type="spellStart"/>
            <w:r w:rsidRPr="003712EA">
              <w:rPr>
                <w:rFonts w:ascii="Verdana" w:hAnsi="Verdana" w:cs="TimesNewRomanPSMT"/>
                <w:sz w:val="20"/>
                <w:szCs w:val="20"/>
                <w:lang w:eastAsia="bg-BG"/>
              </w:rPr>
              <w:t>счетоводна</w:t>
            </w:r>
            <w:proofErr w:type="spellEnd"/>
            <w:r>
              <w:rPr>
                <w:rFonts w:ascii="Verdana" w:hAnsi="Verdana" w:cs="TimesNewRomanPSMT"/>
                <w:sz w:val="20"/>
                <w:szCs w:val="20"/>
                <w:lang w:eastAsia="bg-BG"/>
              </w:rPr>
              <w:t xml:space="preserve"> </w:t>
            </w:r>
            <w:proofErr w:type="spellStart"/>
            <w:r>
              <w:rPr>
                <w:rFonts w:ascii="Verdana" w:hAnsi="Verdana" w:cs="TimesNewRomanPSMT"/>
                <w:sz w:val="20"/>
                <w:szCs w:val="20"/>
                <w:lang w:eastAsia="bg-BG"/>
              </w:rPr>
              <w:t>отчетност</w:t>
            </w:r>
            <w:proofErr w:type="spellEnd"/>
            <w:r>
              <w:rPr>
                <w:rFonts w:ascii="Verdana" w:hAnsi="Verdana" w:cs="TimesNewRomanPSMT"/>
                <w:sz w:val="20"/>
                <w:szCs w:val="20"/>
                <w:lang w:eastAsia="bg-BG"/>
              </w:rPr>
              <w:t xml:space="preserve"> и </w:t>
            </w:r>
            <w:proofErr w:type="spellStart"/>
            <w:r>
              <w:rPr>
                <w:rFonts w:ascii="Verdana" w:hAnsi="Verdana" w:cs="TimesNewRomanPSMT"/>
                <w:sz w:val="20"/>
                <w:szCs w:val="20"/>
                <w:lang w:eastAsia="bg-BG"/>
              </w:rPr>
              <w:t>плащания</w:t>
            </w:r>
            <w:proofErr w:type="spellEnd"/>
            <w:r>
              <w:rPr>
                <w:rFonts w:ascii="Verdana" w:hAnsi="Verdana" w:cs="TimesNewRomanPSMT"/>
                <w:sz w:val="20"/>
                <w:szCs w:val="20"/>
                <w:lang w:eastAsia="bg-BG"/>
              </w:rPr>
              <w:t>”</w:t>
            </w:r>
          </w:p>
        </w:tc>
        <w:tc>
          <w:tcPr>
            <w:tcW w:w="1417" w:type="dxa"/>
          </w:tcPr>
          <w:p w:rsidR="0026362F" w:rsidRPr="00173D95" w:rsidRDefault="0026362F" w:rsidP="001B40F2">
            <w:pPr>
              <w:pStyle w:val="broodtekst"/>
              <w:spacing w:line="276" w:lineRule="auto"/>
              <w:jc w:val="both"/>
              <w:rPr>
                <w:rFonts w:ascii="Verdana" w:hAnsi="Verdana" w:cs="TimesNewRomanPSMT"/>
                <w:sz w:val="20"/>
                <w:szCs w:val="20"/>
                <w:lang w:eastAsia="bg-BG"/>
              </w:rPr>
            </w:pPr>
            <w:r>
              <w:rPr>
                <w:rFonts w:ascii="Verdana" w:hAnsi="Verdana" w:cs="TimesNewRomanPSMT"/>
                <w:sz w:val="20"/>
                <w:szCs w:val="20"/>
                <w:lang w:eastAsia="bg-BG"/>
              </w:rPr>
              <w:t>7</w:t>
            </w:r>
          </w:p>
        </w:tc>
        <w:tc>
          <w:tcPr>
            <w:tcW w:w="2258" w:type="dxa"/>
          </w:tcPr>
          <w:p w:rsidR="0026362F" w:rsidRPr="00173D95" w:rsidRDefault="0026362F" w:rsidP="001B40F2">
            <w:pPr>
              <w:pStyle w:val="broodtekst"/>
              <w:spacing w:line="276" w:lineRule="auto"/>
              <w:jc w:val="both"/>
              <w:rPr>
                <w:rFonts w:ascii="Verdana" w:hAnsi="Verdana"/>
                <w:sz w:val="20"/>
                <w:szCs w:val="20"/>
              </w:rPr>
            </w:pPr>
            <w:r>
              <w:rPr>
                <w:rFonts w:ascii="Verdana" w:hAnsi="Verdana"/>
                <w:sz w:val="20"/>
                <w:szCs w:val="20"/>
              </w:rPr>
              <w:t>8.3%</w:t>
            </w:r>
          </w:p>
        </w:tc>
      </w:tr>
      <w:tr w:rsidR="0026362F" w:rsidRPr="003712EA" w:rsidTr="0026362F">
        <w:tc>
          <w:tcPr>
            <w:tcW w:w="5387" w:type="dxa"/>
          </w:tcPr>
          <w:p w:rsidR="0026362F" w:rsidRPr="003712EA" w:rsidRDefault="0026362F" w:rsidP="001B40F2">
            <w:pPr>
              <w:autoSpaceDE w:val="0"/>
              <w:autoSpaceDN w:val="0"/>
              <w:adjustRightInd w:val="0"/>
              <w:spacing w:after="0"/>
              <w:jc w:val="both"/>
              <w:rPr>
                <w:rFonts w:ascii="Verdana" w:hAnsi="Verdana"/>
                <w:sz w:val="20"/>
                <w:szCs w:val="20"/>
              </w:rPr>
            </w:pPr>
            <w:proofErr w:type="spellStart"/>
            <w:r w:rsidRPr="003712EA">
              <w:rPr>
                <w:rFonts w:ascii="Verdana" w:hAnsi="Verdana" w:cs="TimesNewRomanPSMT"/>
                <w:sz w:val="20"/>
                <w:szCs w:val="20"/>
                <w:lang w:eastAsia="bg-BG"/>
              </w:rPr>
              <w:t>Отд</w:t>
            </w:r>
            <w:r>
              <w:rPr>
                <w:rFonts w:ascii="Verdana" w:hAnsi="Verdana" w:cs="TimesNewRomanPSMT"/>
                <w:sz w:val="20"/>
                <w:szCs w:val="20"/>
                <w:lang w:eastAsia="bg-BG"/>
              </w:rPr>
              <w:t>ел</w:t>
            </w:r>
            <w:proofErr w:type="spellEnd"/>
            <w:r>
              <w:rPr>
                <w:rFonts w:ascii="Verdana" w:hAnsi="Verdana" w:cs="TimesNewRomanPSMT"/>
                <w:sz w:val="20"/>
                <w:szCs w:val="20"/>
                <w:lang w:eastAsia="bg-BG"/>
              </w:rPr>
              <w:t xml:space="preserve"> „</w:t>
            </w:r>
            <w:proofErr w:type="spellStart"/>
            <w:r>
              <w:rPr>
                <w:rFonts w:ascii="Verdana" w:hAnsi="Verdana" w:cs="TimesNewRomanPSMT"/>
                <w:sz w:val="20"/>
                <w:szCs w:val="20"/>
                <w:lang w:eastAsia="bg-BG"/>
              </w:rPr>
              <w:t>Външни</w:t>
            </w:r>
            <w:proofErr w:type="spellEnd"/>
            <w:r>
              <w:rPr>
                <w:rFonts w:ascii="Verdana" w:hAnsi="Verdana" w:cs="TimesNewRomanPSMT"/>
                <w:sz w:val="20"/>
                <w:szCs w:val="20"/>
                <w:lang w:eastAsia="bg-BG"/>
              </w:rPr>
              <w:t xml:space="preserve"> </w:t>
            </w:r>
            <w:proofErr w:type="spellStart"/>
            <w:r>
              <w:rPr>
                <w:rFonts w:ascii="Verdana" w:hAnsi="Verdana" w:cs="TimesNewRomanPSMT"/>
                <w:sz w:val="20"/>
                <w:szCs w:val="20"/>
                <w:lang w:eastAsia="bg-BG"/>
              </w:rPr>
              <w:t>европейски</w:t>
            </w:r>
            <w:proofErr w:type="spellEnd"/>
            <w:r>
              <w:rPr>
                <w:rFonts w:ascii="Verdana" w:hAnsi="Verdana" w:cs="TimesNewRomanPSMT"/>
                <w:sz w:val="20"/>
                <w:szCs w:val="20"/>
                <w:lang w:eastAsia="bg-BG"/>
              </w:rPr>
              <w:t xml:space="preserve"> </w:t>
            </w:r>
            <w:proofErr w:type="spellStart"/>
            <w:r>
              <w:rPr>
                <w:rFonts w:ascii="Verdana" w:hAnsi="Verdana" w:cs="TimesNewRomanPSMT"/>
                <w:sz w:val="20"/>
                <w:szCs w:val="20"/>
                <w:lang w:eastAsia="bg-BG"/>
              </w:rPr>
              <w:t>програми</w:t>
            </w:r>
            <w:proofErr w:type="spellEnd"/>
            <w:r>
              <w:rPr>
                <w:rFonts w:ascii="Verdana" w:hAnsi="Verdana" w:cs="TimesNewRomanPSMT"/>
                <w:sz w:val="20"/>
                <w:szCs w:val="20"/>
                <w:lang w:eastAsia="bg-BG"/>
              </w:rPr>
              <w:t>”</w:t>
            </w:r>
          </w:p>
        </w:tc>
        <w:tc>
          <w:tcPr>
            <w:tcW w:w="1417" w:type="dxa"/>
          </w:tcPr>
          <w:p w:rsidR="0026362F" w:rsidRPr="00173D95" w:rsidRDefault="0026362F" w:rsidP="001B40F2">
            <w:pPr>
              <w:pStyle w:val="broodtekst"/>
              <w:spacing w:line="276" w:lineRule="auto"/>
              <w:jc w:val="both"/>
              <w:rPr>
                <w:rFonts w:ascii="Verdana" w:hAnsi="Verdana" w:cs="TimesNewRomanPSMT"/>
                <w:sz w:val="20"/>
                <w:szCs w:val="20"/>
                <w:lang w:eastAsia="bg-BG"/>
              </w:rPr>
            </w:pPr>
            <w:r>
              <w:rPr>
                <w:rFonts w:ascii="Verdana" w:hAnsi="Verdana" w:cs="TimesNewRomanPSMT"/>
                <w:sz w:val="20"/>
                <w:szCs w:val="20"/>
                <w:lang w:eastAsia="bg-BG"/>
              </w:rPr>
              <w:t>4</w:t>
            </w:r>
          </w:p>
        </w:tc>
        <w:tc>
          <w:tcPr>
            <w:tcW w:w="2258" w:type="dxa"/>
          </w:tcPr>
          <w:p w:rsidR="0026362F" w:rsidRPr="00173D95" w:rsidRDefault="0026362F" w:rsidP="001B40F2">
            <w:pPr>
              <w:pStyle w:val="broodtekst"/>
              <w:spacing w:line="276" w:lineRule="auto"/>
              <w:jc w:val="both"/>
              <w:rPr>
                <w:rFonts w:ascii="Verdana" w:hAnsi="Verdana"/>
                <w:sz w:val="20"/>
                <w:szCs w:val="20"/>
              </w:rPr>
            </w:pPr>
            <w:r>
              <w:rPr>
                <w:rFonts w:ascii="Verdana" w:hAnsi="Verdana"/>
                <w:sz w:val="20"/>
                <w:szCs w:val="20"/>
              </w:rPr>
              <w:t>4.7%</w:t>
            </w:r>
          </w:p>
        </w:tc>
      </w:tr>
    </w:tbl>
    <w:p w:rsidR="0026362F" w:rsidRPr="00F27125" w:rsidRDefault="0026362F" w:rsidP="0026362F">
      <w:pPr>
        <w:widowControl w:val="0"/>
        <w:tabs>
          <w:tab w:val="left" w:pos="142"/>
          <w:tab w:val="right" w:pos="9214"/>
        </w:tabs>
        <w:spacing w:before="120" w:after="0"/>
        <w:ind w:left="142"/>
        <w:rPr>
          <w:rFonts w:ascii="Verdana" w:eastAsia="Times New Roman" w:hAnsi="Verdana"/>
          <w:bCs/>
          <w:color w:val="000000"/>
          <w:sz w:val="14"/>
          <w:szCs w:val="14"/>
          <w:lang w:val="bg-BG" w:eastAsia="bg-BG"/>
        </w:rPr>
      </w:pPr>
      <w:r w:rsidRPr="00F27125">
        <w:rPr>
          <w:rFonts w:ascii="Verdana" w:eastAsia="Times New Roman" w:hAnsi="Verdana"/>
          <w:bCs/>
          <w:color w:val="000000"/>
          <w:sz w:val="14"/>
          <w:szCs w:val="14"/>
          <w:lang w:val="bg-BG" w:eastAsia="bg-BG"/>
        </w:rPr>
        <w:t xml:space="preserve">Източник: </w:t>
      </w:r>
      <w:r>
        <w:rPr>
          <w:rFonts w:ascii="Verdana" w:eastAsia="Times New Roman" w:hAnsi="Verdana"/>
          <w:bCs/>
          <w:color w:val="000000"/>
          <w:sz w:val="14"/>
          <w:szCs w:val="14"/>
          <w:lang w:val="bg-BG" w:eastAsia="bg-BG"/>
        </w:rPr>
        <w:t>Сайт на ГДСФМОП – 84 бройки служители без директора и заместник главните директори и главния специалист</w:t>
      </w:r>
    </w:p>
    <w:p w:rsidR="0026362F" w:rsidRDefault="0026362F" w:rsidP="0026362F">
      <w:pPr>
        <w:pStyle w:val="broodtekst"/>
        <w:spacing w:before="120" w:after="120" w:line="276" w:lineRule="auto"/>
        <w:jc w:val="both"/>
        <w:rPr>
          <w:rFonts w:ascii="Verdana" w:hAnsi="Verdana"/>
          <w:sz w:val="20"/>
          <w:szCs w:val="20"/>
        </w:rPr>
      </w:pPr>
      <w:r w:rsidRPr="00173D95">
        <w:rPr>
          <w:rFonts w:ascii="Verdana" w:hAnsi="Verdana"/>
          <w:sz w:val="20"/>
          <w:szCs w:val="20"/>
        </w:rPr>
        <w:lastRenderedPageBreak/>
        <w:t>Както се вижда, най-голям процент служители са съсредоточени</w:t>
      </w:r>
      <w:r>
        <w:rPr>
          <w:rFonts w:ascii="Verdana" w:hAnsi="Verdana"/>
          <w:sz w:val="20"/>
          <w:szCs w:val="20"/>
        </w:rPr>
        <w:t xml:space="preserve"> </w:t>
      </w:r>
      <w:r w:rsidRPr="00173D95">
        <w:rPr>
          <w:rFonts w:ascii="Verdana" w:hAnsi="Verdana"/>
          <w:sz w:val="20"/>
          <w:szCs w:val="20"/>
        </w:rPr>
        <w:t xml:space="preserve">в </w:t>
      </w:r>
      <w:r>
        <w:rPr>
          <w:rFonts w:ascii="Verdana" w:hAnsi="Verdana"/>
          <w:sz w:val="20"/>
          <w:szCs w:val="20"/>
        </w:rPr>
        <w:t>о</w:t>
      </w:r>
      <w:r w:rsidRPr="00173D95">
        <w:rPr>
          <w:rFonts w:ascii="Verdana" w:hAnsi="Verdana"/>
          <w:sz w:val="20"/>
          <w:szCs w:val="20"/>
        </w:rPr>
        <w:t>тдел</w:t>
      </w:r>
      <w:r>
        <w:rPr>
          <w:rFonts w:ascii="Verdana" w:hAnsi="Verdana"/>
          <w:sz w:val="20"/>
          <w:szCs w:val="20"/>
        </w:rPr>
        <w:t xml:space="preserve"> „Верификация“ т</w:t>
      </w:r>
      <w:r w:rsidRPr="00173D95">
        <w:rPr>
          <w:rFonts w:ascii="Verdana" w:hAnsi="Verdana"/>
          <w:sz w:val="20"/>
          <w:szCs w:val="20"/>
        </w:rPr>
        <w:t xml:space="preserve">ъй като те </w:t>
      </w:r>
      <w:r>
        <w:rPr>
          <w:rFonts w:ascii="Verdana" w:hAnsi="Verdana"/>
          <w:sz w:val="20"/>
          <w:szCs w:val="20"/>
        </w:rPr>
        <w:t xml:space="preserve">ще </w:t>
      </w:r>
      <w:r w:rsidRPr="00173D95">
        <w:rPr>
          <w:rFonts w:ascii="Verdana" w:hAnsi="Verdana"/>
          <w:sz w:val="20"/>
          <w:szCs w:val="20"/>
        </w:rPr>
        <w:t>имат отговорности по контрола, оперативното и финансово наб</w:t>
      </w:r>
      <w:r>
        <w:rPr>
          <w:rFonts w:ascii="Verdana" w:hAnsi="Verdana"/>
          <w:sz w:val="20"/>
          <w:szCs w:val="20"/>
        </w:rPr>
        <w:t>людение на бенефициентите</w:t>
      </w:r>
      <w:r w:rsidRPr="00173D95">
        <w:rPr>
          <w:rFonts w:ascii="Verdana" w:hAnsi="Verdana"/>
          <w:sz w:val="20"/>
          <w:szCs w:val="20"/>
        </w:rPr>
        <w:t>.</w:t>
      </w:r>
    </w:p>
    <w:p w:rsidR="0026362F" w:rsidRDefault="0026362F" w:rsidP="00342903">
      <w:pPr>
        <w:pStyle w:val="broodtekst"/>
        <w:spacing w:before="120" w:after="120" w:line="276" w:lineRule="auto"/>
        <w:jc w:val="both"/>
        <w:rPr>
          <w:rFonts w:ascii="Verdana" w:hAnsi="Verdana"/>
          <w:sz w:val="20"/>
          <w:szCs w:val="20"/>
        </w:rPr>
      </w:pPr>
      <w:r>
        <w:rPr>
          <w:rFonts w:ascii="Verdana" w:hAnsi="Verdana"/>
          <w:sz w:val="20"/>
          <w:szCs w:val="20"/>
        </w:rPr>
        <w:t xml:space="preserve">Така направеното разпределение на човешките ресурси по отдели би могло да създаде някои рискове за успешното изпълнение на оперативната програма. Отдел „Програмиране и договаряне“ ще има </w:t>
      </w:r>
      <w:r w:rsidR="00960070">
        <w:rPr>
          <w:rFonts w:ascii="Verdana" w:hAnsi="Verdana"/>
          <w:sz w:val="20"/>
          <w:szCs w:val="20"/>
        </w:rPr>
        <w:t>значително</w:t>
      </w:r>
      <w:r>
        <w:rPr>
          <w:rFonts w:ascii="Verdana" w:hAnsi="Verdana"/>
          <w:sz w:val="20"/>
          <w:szCs w:val="20"/>
        </w:rPr>
        <w:t xml:space="preserve"> работно натоварване, тъй като ще има функции по разработване на документации за провеждане на тръжни процедури, </w:t>
      </w:r>
      <w:r w:rsidRPr="00BD4A5A">
        <w:rPr>
          <w:rFonts w:ascii="Verdana" w:hAnsi="Verdana"/>
          <w:sz w:val="20"/>
          <w:szCs w:val="20"/>
        </w:rPr>
        <w:t xml:space="preserve">оценка </w:t>
      </w:r>
      <w:r w:rsidR="00342903">
        <w:rPr>
          <w:rFonts w:ascii="Verdana" w:hAnsi="Verdana"/>
          <w:sz w:val="20"/>
          <w:szCs w:val="20"/>
        </w:rPr>
        <w:t>на постъпилите оферти и проекто</w:t>
      </w:r>
      <w:r w:rsidRPr="00BD4A5A">
        <w:rPr>
          <w:rFonts w:ascii="Verdana" w:hAnsi="Verdana"/>
          <w:sz w:val="20"/>
          <w:szCs w:val="20"/>
        </w:rPr>
        <w:t>предложения в определени срокове, изготвяне на договори и заповеди и въвеждане на договорите</w:t>
      </w:r>
      <w:r>
        <w:rPr>
          <w:rFonts w:ascii="Verdana" w:hAnsi="Verdana"/>
          <w:sz w:val="20"/>
          <w:szCs w:val="20"/>
        </w:rPr>
        <w:t xml:space="preserve"> в ИСУН. В допълнение на тези задачи, ще имат функции по публичност и комуникация и отговорности по евентуални изменения на ОПНОИР 2014-2020. Предвидените 5 бройки служители не са достатъчно за качественото изпълнение на предвидените функции на този отдел. </w:t>
      </w:r>
    </w:p>
    <w:p w:rsidR="0026362F" w:rsidRDefault="0026362F" w:rsidP="0026362F">
      <w:pPr>
        <w:pStyle w:val="BodyText"/>
        <w:widowControl w:val="0"/>
        <w:tabs>
          <w:tab w:val="left" w:pos="0"/>
          <w:tab w:val="right" w:pos="9214"/>
        </w:tabs>
        <w:spacing w:before="120" w:line="276" w:lineRule="auto"/>
        <w:jc w:val="both"/>
        <w:rPr>
          <w:rFonts w:ascii="Verdana" w:hAnsi="Verdana"/>
          <w:bCs/>
          <w:color w:val="000000"/>
          <w:sz w:val="20"/>
          <w:szCs w:val="20"/>
        </w:rPr>
      </w:pPr>
      <w:r>
        <w:rPr>
          <w:rFonts w:ascii="Verdana" w:hAnsi="Verdana"/>
          <w:bCs/>
          <w:color w:val="000000"/>
          <w:sz w:val="20"/>
          <w:szCs w:val="20"/>
        </w:rPr>
        <w:t>Това се потвърждава и от отгов</w:t>
      </w:r>
      <w:r w:rsidR="00342903">
        <w:rPr>
          <w:rFonts w:ascii="Verdana" w:hAnsi="Verdana"/>
          <w:bCs/>
          <w:color w:val="000000"/>
          <w:sz w:val="20"/>
          <w:szCs w:val="20"/>
        </w:rPr>
        <w:t>орите на служителите на УО в он</w:t>
      </w:r>
      <w:r>
        <w:rPr>
          <w:rFonts w:ascii="Verdana" w:hAnsi="Verdana"/>
          <w:bCs/>
          <w:color w:val="000000"/>
          <w:sz w:val="20"/>
          <w:szCs w:val="20"/>
        </w:rPr>
        <w:t xml:space="preserve">лайн проучването </w:t>
      </w:r>
      <w:r w:rsidRPr="00173D95">
        <w:rPr>
          <w:rFonts w:ascii="Verdana" w:hAnsi="Verdana"/>
          <w:bCs/>
          <w:color w:val="000000"/>
          <w:sz w:val="20"/>
          <w:szCs w:val="20"/>
        </w:rPr>
        <w:t xml:space="preserve">относно тяхното </w:t>
      </w:r>
      <w:r w:rsidRPr="00F10F7E">
        <w:rPr>
          <w:rFonts w:ascii="Verdana" w:hAnsi="Verdana"/>
          <w:bCs/>
          <w:color w:val="365F91" w:themeColor="accent1" w:themeShade="BF"/>
          <w:sz w:val="20"/>
          <w:szCs w:val="20"/>
        </w:rPr>
        <w:t xml:space="preserve">годишното натоварване </w:t>
      </w:r>
      <w:r w:rsidRPr="00173D95">
        <w:rPr>
          <w:rFonts w:ascii="Verdana" w:hAnsi="Verdana"/>
          <w:bCs/>
          <w:color w:val="000000"/>
          <w:sz w:val="20"/>
          <w:szCs w:val="20"/>
        </w:rPr>
        <w:t>по всяка една от дейностите, които изпълняват</w:t>
      </w:r>
      <w:r>
        <w:rPr>
          <w:rFonts w:ascii="Verdana" w:hAnsi="Verdana"/>
          <w:bCs/>
          <w:color w:val="000000"/>
          <w:sz w:val="20"/>
          <w:szCs w:val="20"/>
        </w:rPr>
        <w:t xml:space="preserve"> (виж графиката по-долу)</w:t>
      </w:r>
      <w:r w:rsidRPr="00173D95">
        <w:rPr>
          <w:rFonts w:ascii="Verdana" w:hAnsi="Verdana"/>
          <w:bCs/>
          <w:color w:val="000000"/>
          <w:sz w:val="20"/>
          <w:szCs w:val="20"/>
        </w:rPr>
        <w:t>.</w:t>
      </w:r>
    </w:p>
    <w:p w:rsidR="00342903" w:rsidRDefault="00960070" w:rsidP="00342903">
      <w:pPr>
        <w:pStyle w:val="BodyText"/>
        <w:widowControl w:val="0"/>
        <w:tabs>
          <w:tab w:val="left" w:pos="0"/>
          <w:tab w:val="right" w:pos="9214"/>
        </w:tabs>
        <w:spacing w:before="120" w:line="276" w:lineRule="auto"/>
        <w:jc w:val="both"/>
        <w:rPr>
          <w:rFonts w:ascii="Verdana" w:hAnsi="Verdana"/>
          <w:bCs/>
          <w:color w:val="000000"/>
          <w:sz w:val="20"/>
          <w:szCs w:val="20"/>
        </w:rPr>
      </w:pPr>
      <w:r>
        <w:rPr>
          <w:rFonts w:ascii="Verdana" w:hAnsi="Verdana"/>
          <w:bCs/>
          <w:color w:val="000000"/>
          <w:sz w:val="20"/>
          <w:szCs w:val="20"/>
        </w:rPr>
        <w:t>На проучването беше да се</w:t>
      </w:r>
      <w:r w:rsidR="00342903" w:rsidRPr="00173D95">
        <w:rPr>
          <w:rFonts w:ascii="Verdana" w:hAnsi="Verdana"/>
          <w:bCs/>
          <w:color w:val="000000"/>
          <w:sz w:val="20"/>
          <w:szCs w:val="20"/>
        </w:rPr>
        <w:t xml:space="preserve"> определ</w:t>
      </w:r>
      <w:r w:rsidR="00342903">
        <w:rPr>
          <w:rFonts w:ascii="Verdana" w:hAnsi="Verdana"/>
          <w:bCs/>
          <w:color w:val="000000"/>
          <w:sz w:val="20"/>
          <w:szCs w:val="20"/>
        </w:rPr>
        <w:t>и</w:t>
      </w:r>
      <w:r w:rsidR="00342903" w:rsidRPr="00173D95">
        <w:rPr>
          <w:rFonts w:ascii="Verdana" w:hAnsi="Verdana"/>
          <w:bCs/>
          <w:color w:val="000000"/>
          <w:sz w:val="20"/>
          <w:szCs w:val="20"/>
        </w:rPr>
        <w:t xml:space="preserve"> кои дейности са най-</w:t>
      </w:r>
      <w:proofErr w:type="spellStart"/>
      <w:r w:rsidR="00342903" w:rsidRPr="00173D95">
        <w:rPr>
          <w:rFonts w:ascii="Verdana" w:hAnsi="Verdana"/>
          <w:bCs/>
          <w:color w:val="000000"/>
          <w:sz w:val="20"/>
          <w:szCs w:val="20"/>
        </w:rPr>
        <w:t>времеемки</w:t>
      </w:r>
      <w:proofErr w:type="spellEnd"/>
      <w:r w:rsidR="00342903" w:rsidRPr="00173D95">
        <w:rPr>
          <w:rFonts w:ascii="Verdana" w:hAnsi="Verdana"/>
          <w:bCs/>
          <w:color w:val="000000"/>
          <w:sz w:val="20"/>
          <w:szCs w:val="20"/>
        </w:rPr>
        <w:t xml:space="preserve"> и </w:t>
      </w:r>
      <w:proofErr w:type="spellStart"/>
      <w:r w:rsidR="00342903" w:rsidRPr="00173D95">
        <w:rPr>
          <w:rFonts w:ascii="Verdana" w:hAnsi="Verdana"/>
          <w:bCs/>
          <w:color w:val="000000"/>
          <w:sz w:val="20"/>
          <w:szCs w:val="20"/>
        </w:rPr>
        <w:t>ресурсоемки</w:t>
      </w:r>
      <w:proofErr w:type="spellEnd"/>
      <w:r w:rsidR="00342903" w:rsidRPr="00173D95">
        <w:rPr>
          <w:rFonts w:ascii="Verdana" w:hAnsi="Verdana"/>
          <w:bCs/>
          <w:color w:val="000000"/>
          <w:sz w:val="20"/>
          <w:szCs w:val="20"/>
        </w:rPr>
        <w:t xml:space="preserve"> за служителите и да се направят препоръки за оптимизиране на процесите или </w:t>
      </w:r>
      <w:r>
        <w:rPr>
          <w:rFonts w:ascii="Verdana" w:hAnsi="Verdana"/>
          <w:bCs/>
          <w:color w:val="000000"/>
          <w:sz w:val="20"/>
          <w:szCs w:val="20"/>
        </w:rPr>
        <w:t>преразпределяне на</w:t>
      </w:r>
      <w:r w:rsidR="00342903" w:rsidRPr="00173D95">
        <w:rPr>
          <w:rFonts w:ascii="Verdana" w:hAnsi="Verdana"/>
          <w:bCs/>
          <w:color w:val="000000"/>
          <w:sz w:val="20"/>
          <w:szCs w:val="20"/>
        </w:rPr>
        <w:t xml:space="preserve"> човешките ресурси през следващия програмен период</w:t>
      </w:r>
      <w:r w:rsidR="00342903">
        <w:rPr>
          <w:rFonts w:ascii="Verdana" w:hAnsi="Verdana"/>
          <w:bCs/>
          <w:color w:val="000000"/>
          <w:sz w:val="20"/>
          <w:szCs w:val="20"/>
        </w:rPr>
        <w:t>,</w:t>
      </w:r>
      <w:r w:rsidR="00342903" w:rsidRPr="00173D95">
        <w:rPr>
          <w:rFonts w:ascii="Verdana" w:hAnsi="Verdana"/>
          <w:bCs/>
          <w:color w:val="000000"/>
          <w:sz w:val="20"/>
          <w:szCs w:val="20"/>
        </w:rPr>
        <w:t xml:space="preserve"> за да се избегне  прекомерното натоварване на служителите и да се постигне навременно и качествено изпълнение на всички отговорности при управлението на ОП</w:t>
      </w:r>
      <w:r w:rsidR="00342903">
        <w:rPr>
          <w:rFonts w:ascii="Verdana" w:hAnsi="Verdana"/>
          <w:bCs/>
          <w:color w:val="000000"/>
          <w:sz w:val="20"/>
          <w:szCs w:val="20"/>
        </w:rPr>
        <w:t>НОИР</w:t>
      </w:r>
      <w:r w:rsidR="00342903" w:rsidRPr="00173D95">
        <w:rPr>
          <w:rFonts w:ascii="Verdana" w:hAnsi="Verdana"/>
          <w:bCs/>
          <w:color w:val="000000"/>
          <w:sz w:val="20"/>
          <w:szCs w:val="20"/>
        </w:rPr>
        <w:t xml:space="preserve"> 2014-2020</w:t>
      </w:r>
      <w:r w:rsidR="00342903">
        <w:rPr>
          <w:rFonts w:ascii="Verdana" w:hAnsi="Verdana"/>
          <w:bCs/>
          <w:color w:val="000000"/>
          <w:sz w:val="20"/>
          <w:szCs w:val="20"/>
        </w:rPr>
        <w:t xml:space="preserve"> г</w:t>
      </w:r>
      <w:r w:rsidR="00342903" w:rsidRPr="00173D95">
        <w:rPr>
          <w:rFonts w:ascii="Verdana" w:hAnsi="Verdana"/>
          <w:bCs/>
          <w:color w:val="000000"/>
          <w:sz w:val="20"/>
          <w:szCs w:val="20"/>
        </w:rPr>
        <w:t>.</w:t>
      </w:r>
    </w:p>
    <w:p w:rsidR="00342903" w:rsidRPr="00173D95" w:rsidRDefault="00342903" w:rsidP="00342903">
      <w:pPr>
        <w:pStyle w:val="BodyText"/>
        <w:widowControl w:val="0"/>
        <w:tabs>
          <w:tab w:val="left" w:pos="0"/>
          <w:tab w:val="right" w:pos="9214"/>
        </w:tabs>
        <w:spacing w:before="120" w:line="276" w:lineRule="auto"/>
        <w:jc w:val="both"/>
        <w:rPr>
          <w:rFonts w:ascii="Verdana" w:eastAsia="MS Mincho" w:hAnsi="Verdana"/>
          <w:bCs/>
          <w:color w:val="000000"/>
          <w:sz w:val="20"/>
          <w:szCs w:val="20"/>
          <w:lang w:eastAsia="ja-JP"/>
        </w:rPr>
      </w:pPr>
      <w:r>
        <w:rPr>
          <w:rFonts w:ascii="Verdana" w:hAnsi="Verdana"/>
          <w:bCs/>
          <w:color w:val="000000"/>
          <w:sz w:val="20"/>
          <w:szCs w:val="20"/>
        </w:rPr>
        <w:t>Както се вижда д</w:t>
      </w:r>
      <w:r w:rsidRPr="00173D95">
        <w:rPr>
          <w:rFonts w:ascii="Verdana" w:hAnsi="Verdana"/>
          <w:bCs/>
          <w:color w:val="000000"/>
          <w:sz w:val="20"/>
          <w:szCs w:val="20"/>
        </w:rPr>
        <w:t>ейностите, в които има най-голямо годишно натоварване на служителите</w:t>
      </w:r>
      <w:r>
        <w:rPr>
          <w:rFonts w:ascii="Verdana" w:hAnsi="Verdana"/>
          <w:bCs/>
          <w:color w:val="000000"/>
          <w:sz w:val="20"/>
          <w:szCs w:val="20"/>
        </w:rPr>
        <w:t xml:space="preserve"> през този програмен период, са</w:t>
      </w:r>
      <w:r w:rsidRPr="00173D95">
        <w:rPr>
          <w:rFonts w:ascii="Verdana" w:hAnsi="Verdana"/>
          <w:bCs/>
          <w:color w:val="000000"/>
          <w:sz w:val="20"/>
          <w:szCs w:val="20"/>
        </w:rPr>
        <w:t>:</w:t>
      </w:r>
    </w:p>
    <w:p w:rsidR="00342903" w:rsidRPr="003B0E34" w:rsidRDefault="00342903" w:rsidP="006861B0">
      <w:pPr>
        <w:pStyle w:val="BodyText"/>
        <w:widowControl w:val="0"/>
        <w:numPr>
          <w:ilvl w:val="0"/>
          <w:numId w:val="73"/>
        </w:numPr>
        <w:tabs>
          <w:tab w:val="left" w:pos="0"/>
          <w:tab w:val="right" w:pos="9214"/>
        </w:tabs>
        <w:spacing w:before="120" w:line="276" w:lineRule="auto"/>
        <w:jc w:val="both"/>
        <w:rPr>
          <w:rFonts w:ascii="Verdana" w:eastAsia="Malgun Gothic" w:hAnsi="Verdana"/>
          <w:bCs/>
          <w:color w:val="000000"/>
          <w:sz w:val="20"/>
          <w:szCs w:val="20"/>
          <w:lang w:eastAsia="ko-KR"/>
        </w:rPr>
      </w:pPr>
      <w:r w:rsidRPr="005826EE">
        <w:rPr>
          <w:rFonts w:ascii="Verdana" w:eastAsia="Malgun Gothic" w:hAnsi="Verdana"/>
          <w:bCs/>
          <w:color w:val="000000"/>
          <w:sz w:val="20"/>
          <w:szCs w:val="20"/>
          <w:lang w:eastAsia="ko-KR"/>
        </w:rPr>
        <w:t>Изготвяне на решения/ заповеди/ договори за</w:t>
      </w:r>
      <w:r>
        <w:rPr>
          <w:rFonts w:ascii="Verdana" w:eastAsia="Malgun Gothic" w:hAnsi="Verdana"/>
          <w:bCs/>
          <w:color w:val="000000"/>
          <w:sz w:val="20"/>
          <w:szCs w:val="20"/>
          <w:lang w:eastAsia="ko-KR"/>
        </w:rPr>
        <w:t xml:space="preserve"> </w:t>
      </w:r>
      <w:r w:rsidRPr="005826EE">
        <w:rPr>
          <w:rFonts w:ascii="Verdana" w:eastAsia="Malgun Gothic" w:hAnsi="Verdana"/>
          <w:bCs/>
          <w:color w:val="000000"/>
          <w:sz w:val="20"/>
          <w:szCs w:val="20"/>
          <w:lang w:eastAsia="ko-KR"/>
        </w:rPr>
        <w:t>предоставяне на безвъзмездна помощ</w:t>
      </w:r>
      <w:r w:rsidRPr="00173D95">
        <w:rPr>
          <w:rFonts w:ascii="Verdana" w:hAnsi="Verdana"/>
          <w:sz w:val="20"/>
          <w:szCs w:val="20"/>
        </w:rPr>
        <w:t>(</w:t>
      </w:r>
      <w:r>
        <w:rPr>
          <w:rFonts w:ascii="Verdana" w:hAnsi="Verdana"/>
          <w:sz w:val="20"/>
          <w:szCs w:val="20"/>
        </w:rPr>
        <w:t>71</w:t>
      </w:r>
      <w:r w:rsidRPr="00173D95">
        <w:rPr>
          <w:rFonts w:ascii="Verdana" w:hAnsi="Verdana"/>
          <w:sz w:val="20"/>
          <w:szCs w:val="20"/>
        </w:rPr>
        <w:t>%)</w:t>
      </w:r>
    </w:p>
    <w:p w:rsidR="00342903" w:rsidRDefault="00342903" w:rsidP="006861B0">
      <w:pPr>
        <w:pStyle w:val="BodyText"/>
        <w:widowControl w:val="0"/>
        <w:numPr>
          <w:ilvl w:val="0"/>
          <w:numId w:val="73"/>
        </w:numPr>
        <w:tabs>
          <w:tab w:val="left" w:pos="0"/>
          <w:tab w:val="right" w:pos="9214"/>
        </w:tabs>
        <w:spacing w:before="120" w:line="276" w:lineRule="auto"/>
        <w:jc w:val="both"/>
        <w:rPr>
          <w:rFonts w:ascii="Verdana" w:eastAsia="Malgun Gothic" w:hAnsi="Verdana"/>
          <w:bCs/>
          <w:color w:val="000000"/>
          <w:sz w:val="20"/>
          <w:szCs w:val="20"/>
          <w:lang w:eastAsia="ko-KR"/>
        </w:rPr>
      </w:pPr>
      <w:r w:rsidRPr="003B0E34">
        <w:rPr>
          <w:rFonts w:ascii="Verdana" w:eastAsia="Malgun Gothic" w:hAnsi="Verdana"/>
          <w:bCs/>
          <w:color w:val="000000"/>
          <w:sz w:val="20"/>
          <w:szCs w:val="20"/>
          <w:lang w:eastAsia="ko-KR"/>
        </w:rPr>
        <w:t>Наблюдение на цялостното изпълнение на проектите,</w:t>
      </w:r>
      <w:r>
        <w:rPr>
          <w:rFonts w:ascii="Verdana" w:eastAsia="Malgun Gothic" w:hAnsi="Verdana"/>
          <w:bCs/>
          <w:color w:val="000000"/>
          <w:sz w:val="20"/>
          <w:szCs w:val="20"/>
          <w:lang w:eastAsia="ko-KR"/>
        </w:rPr>
        <w:t xml:space="preserve"> </w:t>
      </w:r>
      <w:r w:rsidRPr="003B0E34">
        <w:rPr>
          <w:rFonts w:ascii="Verdana" w:eastAsia="Malgun Gothic" w:hAnsi="Verdana"/>
          <w:bCs/>
          <w:color w:val="000000"/>
          <w:sz w:val="20"/>
          <w:szCs w:val="20"/>
          <w:lang w:eastAsia="ko-KR"/>
        </w:rPr>
        <w:t>включително чрез преглед на доклади, срещи,</w:t>
      </w:r>
      <w:r>
        <w:rPr>
          <w:rFonts w:ascii="Verdana" w:eastAsia="Malgun Gothic" w:hAnsi="Verdana"/>
          <w:bCs/>
          <w:color w:val="000000"/>
          <w:sz w:val="20"/>
          <w:szCs w:val="20"/>
          <w:lang w:eastAsia="ko-KR"/>
        </w:rPr>
        <w:t xml:space="preserve"> </w:t>
      </w:r>
      <w:r w:rsidRPr="003B0E34">
        <w:rPr>
          <w:rFonts w:ascii="Verdana" w:eastAsia="Malgun Gothic" w:hAnsi="Verdana"/>
          <w:bCs/>
          <w:color w:val="000000"/>
          <w:sz w:val="20"/>
          <w:szCs w:val="20"/>
          <w:lang w:eastAsia="ko-KR"/>
        </w:rPr>
        <w:t>разговори с бенефициентите и т.н.</w:t>
      </w:r>
      <w:r>
        <w:rPr>
          <w:rFonts w:ascii="Verdana" w:eastAsia="Malgun Gothic" w:hAnsi="Verdana"/>
          <w:bCs/>
          <w:color w:val="000000"/>
          <w:sz w:val="20"/>
          <w:szCs w:val="20"/>
          <w:lang w:eastAsia="ko-KR"/>
        </w:rPr>
        <w:t xml:space="preserve"> (69%)</w:t>
      </w:r>
    </w:p>
    <w:p w:rsidR="00342903" w:rsidRDefault="00342903" w:rsidP="006861B0">
      <w:pPr>
        <w:pStyle w:val="BodyText"/>
        <w:widowControl w:val="0"/>
        <w:numPr>
          <w:ilvl w:val="0"/>
          <w:numId w:val="73"/>
        </w:numPr>
        <w:tabs>
          <w:tab w:val="left" w:pos="0"/>
          <w:tab w:val="right" w:pos="9214"/>
        </w:tabs>
        <w:spacing w:before="120" w:line="276" w:lineRule="auto"/>
        <w:jc w:val="both"/>
        <w:rPr>
          <w:rFonts w:ascii="Verdana" w:eastAsia="Malgun Gothic" w:hAnsi="Verdana"/>
          <w:bCs/>
          <w:color w:val="000000"/>
          <w:sz w:val="20"/>
          <w:szCs w:val="20"/>
          <w:lang w:eastAsia="ko-KR"/>
        </w:rPr>
      </w:pPr>
      <w:r>
        <w:rPr>
          <w:rFonts w:ascii="Verdana" w:eastAsia="Malgun Gothic" w:hAnsi="Verdana"/>
          <w:bCs/>
          <w:color w:val="000000"/>
          <w:sz w:val="20"/>
          <w:szCs w:val="20"/>
          <w:lang w:eastAsia="ko-KR"/>
        </w:rPr>
        <w:t>Оценка на проектопредложения</w:t>
      </w:r>
      <w:r w:rsidRPr="00173D95">
        <w:rPr>
          <w:rFonts w:ascii="Verdana" w:eastAsia="Malgun Gothic" w:hAnsi="Verdana"/>
          <w:bCs/>
          <w:color w:val="000000"/>
          <w:sz w:val="20"/>
          <w:szCs w:val="20"/>
          <w:lang w:eastAsia="ko-KR"/>
        </w:rPr>
        <w:t xml:space="preserve"> (</w:t>
      </w:r>
      <w:r>
        <w:rPr>
          <w:rFonts w:ascii="Verdana" w:eastAsia="Malgun Gothic" w:hAnsi="Verdana"/>
          <w:bCs/>
          <w:color w:val="000000"/>
          <w:sz w:val="20"/>
          <w:szCs w:val="20"/>
          <w:lang w:eastAsia="ko-KR"/>
        </w:rPr>
        <w:t>60</w:t>
      </w:r>
      <w:r w:rsidRPr="00173D95">
        <w:rPr>
          <w:rFonts w:ascii="Verdana" w:eastAsia="Malgun Gothic" w:hAnsi="Verdana"/>
          <w:bCs/>
          <w:color w:val="000000"/>
          <w:sz w:val="20"/>
          <w:szCs w:val="20"/>
          <w:lang w:eastAsia="ko-KR"/>
        </w:rPr>
        <w:t>%)</w:t>
      </w:r>
    </w:p>
    <w:p w:rsidR="00342903" w:rsidRDefault="00342903" w:rsidP="006861B0">
      <w:pPr>
        <w:pStyle w:val="BodyText"/>
        <w:widowControl w:val="0"/>
        <w:numPr>
          <w:ilvl w:val="0"/>
          <w:numId w:val="73"/>
        </w:numPr>
        <w:tabs>
          <w:tab w:val="left" w:pos="0"/>
          <w:tab w:val="right" w:pos="9214"/>
        </w:tabs>
        <w:spacing w:before="120" w:line="276" w:lineRule="auto"/>
        <w:jc w:val="both"/>
        <w:rPr>
          <w:rFonts w:ascii="Verdana" w:hAnsi="Verdana"/>
          <w:sz w:val="20"/>
          <w:szCs w:val="20"/>
        </w:rPr>
      </w:pPr>
      <w:r w:rsidRPr="00173D95">
        <w:rPr>
          <w:rFonts w:ascii="Verdana" w:hAnsi="Verdana"/>
          <w:sz w:val="20"/>
          <w:szCs w:val="20"/>
        </w:rPr>
        <w:t xml:space="preserve">Изготвяне на становища, справки и доклади </w:t>
      </w:r>
      <w:r>
        <w:rPr>
          <w:rFonts w:ascii="Verdana" w:hAnsi="Verdana"/>
          <w:sz w:val="20"/>
          <w:szCs w:val="20"/>
        </w:rPr>
        <w:t>(57%)</w:t>
      </w:r>
    </w:p>
    <w:p w:rsidR="00B67535" w:rsidRDefault="00960070" w:rsidP="00D001D8">
      <w:pPr>
        <w:pStyle w:val="BodyText"/>
        <w:widowControl w:val="0"/>
        <w:tabs>
          <w:tab w:val="left" w:pos="0"/>
          <w:tab w:val="right" w:pos="9214"/>
        </w:tabs>
        <w:spacing w:before="120" w:line="276" w:lineRule="auto"/>
        <w:jc w:val="both"/>
        <w:rPr>
          <w:rFonts w:ascii="Verdana" w:hAnsi="Verdana"/>
          <w:bCs/>
          <w:color w:val="000000"/>
          <w:sz w:val="20"/>
          <w:szCs w:val="20"/>
        </w:rPr>
      </w:pPr>
      <w:r>
        <w:rPr>
          <w:rFonts w:ascii="Verdana" w:hAnsi="Verdana"/>
          <w:sz w:val="20"/>
          <w:szCs w:val="20"/>
        </w:rPr>
        <w:t xml:space="preserve">Отдел „Финансово планиране, счетоводна отчетност и плащания“ има предвидени 7 бройки служители като те също няма да са достатъчни, тъй като в този отдел има строго разделение на функциите свързани с изготвяне на плащания, потвърждаване на плащания и осчетоводяване, като тези задачи се изпълняват задължително от различни експерти. Предвидените бройки няма да могат да осигурят навременно и правилно  изпълнение на всички функции на отдела.  </w:t>
      </w:r>
    </w:p>
    <w:p w:rsidR="0026362F" w:rsidRDefault="0026362F" w:rsidP="00D001D8">
      <w:pPr>
        <w:pStyle w:val="BodyText"/>
        <w:widowControl w:val="0"/>
        <w:tabs>
          <w:tab w:val="left" w:pos="0"/>
          <w:tab w:val="right" w:pos="9214"/>
        </w:tabs>
        <w:spacing w:before="120" w:line="276" w:lineRule="auto"/>
        <w:jc w:val="both"/>
        <w:rPr>
          <w:rFonts w:ascii="Verdana" w:hAnsi="Verdana"/>
          <w:bCs/>
          <w:color w:val="000000"/>
          <w:sz w:val="20"/>
          <w:szCs w:val="20"/>
        </w:rPr>
      </w:pPr>
      <w:r>
        <w:rPr>
          <w:noProof/>
        </w:rPr>
        <w:lastRenderedPageBreak/>
        <w:drawing>
          <wp:inline distT="0" distB="0" distL="0" distR="0" wp14:anchorId="55327532" wp14:editId="0BC6D09D">
            <wp:extent cx="5771515" cy="7715250"/>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6"/>
                    <a:srcRect l="23408" t="9819" r="39076" b="10021"/>
                    <a:stretch/>
                  </pic:blipFill>
                  <pic:spPr bwMode="auto">
                    <a:xfrm>
                      <a:off x="0" y="0"/>
                      <a:ext cx="5773839" cy="7718357"/>
                    </a:xfrm>
                    <a:prstGeom prst="rect">
                      <a:avLst/>
                    </a:prstGeom>
                    <a:ln>
                      <a:noFill/>
                    </a:ln>
                    <a:extLst>
                      <a:ext uri="{53640926-AAD7-44D8-BBD7-CCE9431645EC}">
                        <a14:shadowObscured xmlns:a14="http://schemas.microsoft.com/office/drawing/2010/main"/>
                      </a:ext>
                    </a:extLst>
                  </pic:spPr>
                </pic:pic>
              </a:graphicData>
            </a:graphic>
          </wp:inline>
        </w:drawing>
      </w:r>
    </w:p>
    <w:p w:rsidR="0026362F" w:rsidRPr="00BB582B" w:rsidRDefault="0026362F" w:rsidP="0026362F">
      <w:pPr>
        <w:spacing w:after="0" w:line="240" w:lineRule="auto"/>
        <w:jc w:val="center"/>
        <w:rPr>
          <w:rFonts w:ascii="Verdana" w:hAnsi="Verdana"/>
          <w:b/>
          <w:color w:val="006CB6"/>
          <w:sz w:val="20"/>
          <w:szCs w:val="20"/>
          <w:lang w:val="bg-BG"/>
        </w:rPr>
      </w:pPr>
      <w:bookmarkStart w:id="159" w:name="_Toc388432010"/>
      <w:bookmarkStart w:id="160" w:name="_Toc395609466"/>
      <w:r w:rsidRPr="00BB582B">
        <w:rPr>
          <w:rFonts w:ascii="Verdana" w:hAnsi="Verdana"/>
          <w:b/>
          <w:color w:val="006CB6"/>
          <w:sz w:val="20"/>
          <w:szCs w:val="20"/>
          <w:lang w:val="bg-BG"/>
        </w:rPr>
        <w:t xml:space="preserve">Фигура </w:t>
      </w:r>
      <w:r w:rsidRPr="00BB582B">
        <w:rPr>
          <w:rFonts w:ascii="Verdana" w:hAnsi="Verdana"/>
          <w:b/>
          <w:color w:val="006CB6"/>
          <w:sz w:val="20"/>
          <w:szCs w:val="20"/>
          <w:lang w:val="bg-BG"/>
        </w:rPr>
        <w:fldChar w:fldCharType="begin"/>
      </w:r>
      <w:r w:rsidRPr="00BB582B">
        <w:rPr>
          <w:rFonts w:ascii="Verdana" w:hAnsi="Verdana"/>
          <w:b/>
          <w:color w:val="006CB6"/>
          <w:sz w:val="20"/>
          <w:szCs w:val="20"/>
          <w:lang w:val="bg-BG"/>
        </w:rPr>
        <w:instrText>SEQ фигура \* ARABIC</w:instrText>
      </w:r>
      <w:r w:rsidRPr="00BB582B">
        <w:rPr>
          <w:rFonts w:ascii="Verdana" w:hAnsi="Verdana"/>
          <w:b/>
          <w:color w:val="006CB6"/>
          <w:sz w:val="20"/>
          <w:szCs w:val="20"/>
          <w:lang w:val="bg-BG"/>
        </w:rPr>
        <w:fldChar w:fldCharType="separate"/>
      </w:r>
      <w:r w:rsidR="001361E0">
        <w:rPr>
          <w:rFonts w:ascii="Verdana" w:hAnsi="Verdana"/>
          <w:b/>
          <w:noProof/>
          <w:color w:val="006CB6"/>
          <w:sz w:val="20"/>
          <w:szCs w:val="20"/>
          <w:lang w:val="bg-BG"/>
        </w:rPr>
        <w:t>12</w:t>
      </w:r>
      <w:r w:rsidRPr="00BB582B">
        <w:rPr>
          <w:rFonts w:ascii="Verdana" w:hAnsi="Verdana"/>
          <w:b/>
          <w:color w:val="006CB6"/>
          <w:sz w:val="20"/>
          <w:szCs w:val="20"/>
          <w:lang w:val="bg-BG"/>
        </w:rPr>
        <w:fldChar w:fldCharType="end"/>
      </w:r>
      <w:r w:rsidRPr="00BB582B">
        <w:rPr>
          <w:rFonts w:ascii="Verdana" w:hAnsi="Verdana"/>
          <w:b/>
          <w:color w:val="006CB6"/>
          <w:sz w:val="20"/>
          <w:szCs w:val="20"/>
          <w:lang w:val="bg-BG"/>
        </w:rPr>
        <w:t xml:space="preserve">: </w:t>
      </w:r>
      <w:r>
        <w:rPr>
          <w:rFonts w:ascii="Verdana" w:hAnsi="Verdana"/>
          <w:b/>
          <w:color w:val="006CB6"/>
          <w:sz w:val="20"/>
          <w:szCs w:val="20"/>
          <w:lang w:val="bg-BG"/>
        </w:rPr>
        <w:t>Натоварване на служителите в</w:t>
      </w:r>
      <w:r w:rsidRPr="00BB582B">
        <w:rPr>
          <w:rFonts w:ascii="Verdana" w:hAnsi="Verdana"/>
          <w:b/>
          <w:color w:val="006CB6"/>
          <w:sz w:val="20"/>
          <w:szCs w:val="20"/>
          <w:lang w:val="bg-BG"/>
        </w:rPr>
        <w:t xml:space="preserve"> ГДСФМОП</w:t>
      </w:r>
      <w:bookmarkEnd w:id="159"/>
      <w:bookmarkEnd w:id="160"/>
    </w:p>
    <w:p w:rsidR="0026362F" w:rsidRPr="00F523C1" w:rsidRDefault="0026362F" w:rsidP="0026362F">
      <w:pPr>
        <w:pStyle w:val="Caption"/>
        <w:jc w:val="center"/>
        <w:rPr>
          <w:rFonts w:ascii="Verdana" w:hAnsi="Verdana" w:cs="TimesNewRomanPSMT"/>
          <w:b w:val="0"/>
          <w:sz w:val="16"/>
          <w:szCs w:val="16"/>
        </w:rPr>
      </w:pPr>
      <w:r w:rsidRPr="00F523C1">
        <w:rPr>
          <w:rFonts w:ascii="Verdana" w:eastAsia="Times New Roman" w:hAnsi="Verdana"/>
          <w:b w:val="0"/>
          <w:color w:val="000000"/>
          <w:sz w:val="16"/>
          <w:szCs w:val="16"/>
        </w:rPr>
        <w:t xml:space="preserve">Източник: </w:t>
      </w:r>
      <w:r>
        <w:rPr>
          <w:rFonts w:ascii="Verdana" w:hAnsi="Verdana" w:cs="TimesNewRomanPSMT"/>
          <w:b w:val="0"/>
          <w:sz w:val="16"/>
          <w:szCs w:val="16"/>
        </w:rPr>
        <w:t>онлайн проучване</w:t>
      </w:r>
    </w:p>
    <w:p w:rsidR="00342903" w:rsidRPr="00FA02C4" w:rsidRDefault="00342903" w:rsidP="00342903">
      <w:pPr>
        <w:pStyle w:val="BodyText"/>
        <w:widowControl w:val="0"/>
        <w:tabs>
          <w:tab w:val="left" w:pos="0"/>
          <w:tab w:val="right" w:pos="9214"/>
        </w:tabs>
        <w:spacing w:before="120" w:line="276" w:lineRule="auto"/>
        <w:jc w:val="both"/>
        <w:rPr>
          <w:rFonts w:ascii="Verdana" w:hAnsi="Verdana"/>
          <w:sz w:val="20"/>
          <w:szCs w:val="20"/>
        </w:rPr>
      </w:pPr>
      <w:r w:rsidRPr="007531D3">
        <w:rPr>
          <w:rFonts w:ascii="Verdana" w:hAnsi="Verdana"/>
          <w:sz w:val="20"/>
          <w:szCs w:val="20"/>
        </w:rPr>
        <w:lastRenderedPageBreak/>
        <w:t>Съгласно получената информация по време на проведените интервюта отдел „Управление на риска и контрол“ ще има задача да прави предварителна и последваща проверка на процедурите за избор на изпълнител, провеждани по договорите за БФП</w:t>
      </w:r>
      <w:r w:rsidR="00B8326E">
        <w:rPr>
          <w:rFonts w:ascii="Verdana" w:hAnsi="Verdana"/>
          <w:sz w:val="20"/>
          <w:szCs w:val="20"/>
        </w:rPr>
        <w:t xml:space="preserve"> на бенефициентите</w:t>
      </w:r>
      <w:r w:rsidRPr="007531D3">
        <w:rPr>
          <w:rFonts w:ascii="Verdana" w:hAnsi="Verdana"/>
          <w:sz w:val="20"/>
          <w:szCs w:val="20"/>
        </w:rPr>
        <w:t xml:space="preserve">. Тези проверки са </w:t>
      </w:r>
      <w:proofErr w:type="spellStart"/>
      <w:r w:rsidRPr="007531D3">
        <w:rPr>
          <w:rFonts w:ascii="Verdana" w:hAnsi="Verdana"/>
          <w:sz w:val="20"/>
          <w:szCs w:val="20"/>
        </w:rPr>
        <w:t>времеемки</w:t>
      </w:r>
      <w:proofErr w:type="spellEnd"/>
      <w:r w:rsidRPr="007531D3">
        <w:rPr>
          <w:rFonts w:ascii="Verdana" w:hAnsi="Verdana"/>
          <w:sz w:val="20"/>
          <w:szCs w:val="20"/>
        </w:rPr>
        <w:t xml:space="preserve"> и ангажират голям човешки ресурс. От гледна точка на предвидените 8 бройки експерти за отдела, в които се включва и служителят по нередно</w:t>
      </w:r>
      <w:r w:rsidR="00960070">
        <w:rPr>
          <w:rFonts w:ascii="Verdana" w:hAnsi="Verdana"/>
          <w:sz w:val="20"/>
          <w:szCs w:val="20"/>
        </w:rPr>
        <w:t>стите, тези задачи ще създадат</w:t>
      </w:r>
      <w:r w:rsidRPr="007531D3">
        <w:rPr>
          <w:rFonts w:ascii="Verdana" w:hAnsi="Verdana"/>
          <w:sz w:val="20"/>
          <w:szCs w:val="20"/>
        </w:rPr>
        <w:t xml:space="preserve"> голямо работно натоварване.  Като се има предвид вече натрупания капаците и опит на бенефициентите при подготовка и провеждане на тези процедури, следва да се обмисли премахването на предварителния контрол на тръжна документация, </w:t>
      </w:r>
      <w:r w:rsidR="00B8326E">
        <w:rPr>
          <w:rFonts w:ascii="Verdana" w:hAnsi="Verdana"/>
          <w:sz w:val="20"/>
          <w:szCs w:val="20"/>
        </w:rPr>
        <w:t xml:space="preserve">или въвеждане на праг, над който да се осъществява такъв контрол, </w:t>
      </w:r>
      <w:r w:rsidRPr="007531D3">
        <w:rPr>
          <w:rFonts w:ascii="Verdana" w:hAnsi="Verdana"/>
          <w:sz w:val="20"/>
          <w:szCs w:val="20"/>
        </w:rPr>
        <w:t>което значително ще облекчи работата на отдела.</w:t>
      </w:r>
      <w:r>
        <w:rPr>
          <w:rFonts w:ascii="Verdana" w:hAnsi="Verdana"/>
          <w:sz w:val="20"/>
          <w:szCs w:val="20"/>
        </w:rPr>
        <w:t xml:space="preserve">  </w:t>
      </w:r>
    </w:p>
    <w:p w:rsidR="00342903" w:rsidRPr="005B1262" w:rsidRDefault="00342903" w:rsidP="00342903">
      <w:pPr>
        <w:autoSpaceDE w:val="0"/>
        <w:autoSpaceDN w:val="0"/>
        <w:adjustRightInd w:val="0"/>
        <w:spacing w:before="120" w:after="120"/>
        <w:jc w:val="both"/>
        <w:rPr>
          <w:rFonts w:ascii="Verdana" w:hAnsi="Verdana"/>
          <w:sz w:val="20"/>
          <w:szCs w:val="20"/>
          <w:lang w:val="bg-BG"/>
        </w:rPr>
      </w:pPr>
      <w:r>
        <w:rPr>
          <w:rFonts w:ascii="Verdana" w:hAnsi="Verdana"/>
          <w:sz w:val="20"/>
          <w:szCs w:val="20"/>
          <w:lang w:val="bg-BG"/>
        </w:rPr>
        <w:t>Като цяло 56 % от участниците в он</w:t>
      </w:r>
      <w:r w:rsidRPr="005B1262">
        <w:rPr>
          <w:rFonts w:ascii="Verdana" w:hAnsi="Verdana"/>
          <w:sz w:val="20"/>
          <w:szCs w:val="20"/>
          <w:lang w:val="bg-BG"/>
        </w:rPr>
        <w:t xml:space="preserve">лайн проучването смятат, че е необходимо ангажиране на допълнителни служители на централно ниво за да се укрепи административния капацитет за изпълнение на програмата. </w:t>
      </w:r>
    </w:p>
    <w:p w:rsidR="00342903" w:rsidRDefault="00342903" w:rsidP="00342903">
      <w:pPr>
        <w:pStyle w:val="BodyText"/>
        <w:widowControl w:val="0"/>
        <w:tabs>
          <w:tab w:val="left" w:pos="0"/>
          <w:tab w:val="right" w:pos="9214"/>
        </w:tabs>
        <w:spacing w:before="120" w:line="276" w:lineRule="auto"/>
        <w:jc w:val="both"/>
        <w:rPr>
          <w:rFonts w:ascii="Verdana" w:hAnsi="Verdana"/>
          <w:bCs/>
          <w:color w:val="000000"/>
          <w:sz w:val="20"/>
          <w:szCs w:val="20"/>
        </w:rPr>
      </w:pPr>
      <w:r>
        <w:rPr>
          <w:rFonts w:ascii="Verdana" w:hAnsi="Verdana"/>
          <w:bCs/>
          <w:color w:val="000000"/>
          <w:sz w:val="20"/>
          <w:szCs w:val="20"/>
        </w:rPr>
        <w:t xml:space="preserve">Също така онлайн проучването показва, че служителите на ГДСФМОП смятат, че наличните човешки ресурси не са достатъчни за  изпълнението на всички нови отговорности като УО. Идентифицираните от тях области, които имат нужда от допълнителен човешки ресурс са следните: </w:t>
      </w:r>
    </w:p>
    <w:p w:rsidR="00342903" w:rsidRDefault="00342903" w:rsidP="006861B0">
      <w:pPr>
        <w:pStyle w:val="BodyText"/>
        <w:widowControl w:val="0"/>
        <w:numPr>
          <w:ilvl w:val="0"/>
          <w:numId w:val="75"/>
        </w:numPr>
        <w:tabs>
          <w:tab w:val="left" w:pos="0"/>
          <w:tab w:val="right" w:pos="9214"/>
        </w:tabs>
        <w:spacing w:before="120" w:line="276" w:lineRule="auto"/>
        <w:jc w:val="both"/>
        <w:rPr>
          <w:rFonts w:ascii="Verdana" w:hAnsi="Verdana"/>
          <w:bCs/>
          <w:color w:val="000000"/>
          <w:sz w:val="20"/>
          <w:szCs w:val="20"/>
        </w:rPr>
      </w:pPr>
      <w:r w:rsidRPr="00281DBE">
        <w:rPr>
          <w:rFonts w:ascii="Verdana" w:hAnsi="Verdana"/>
          <w:bCs/>
          <w:color w:val="000000"/>
          <w:sz w:val="20"/>
          <w:szCs w:val="20"/>
        </w:rPr>
        <w:t>Управление на независимите оценки на програмата</w:t>
      </w:r>
      <w:r>
        <w:rPr>
          <w:rFonts w:ascii="Verdana" w:hAnsi="Verdana"/>
          <w:bCs/>
          <w:color w:val="000000"/>
          <w:sz w:val="20"/>
          <w:szCs w:val="20"/>
        </w:rPr>
        <w:t>;</w:t>
      </w:r>
    </w:p>
    <w:p w:rsidR="00342903" w:rsidRDefault="00342903" w:rsidP="006861B0">
      <w:pPr>
        <w:pStyle w:val="BodyText"/>
        <w:widowControl w:val="0"/>
        <w:numPr>
          <w:ilvl w:val="0"/>
          <w:numId w:val="75"/>
        </w:numPr>
        <w:tabs>
          <w:tab w:val="left" w:pos="0"/>
          <w:tab w:val="right" w:pos="9214"/>
        </w:tabs>
        <w:spacing w:before="120" w:line="276" w:lineRule="auto"/>
        <w:jc w:val="both"/>
        <w:rPr>
          <w:rFonts w:ascii="Verdana" w:hAnsi="Verdana"/>
          <w:bCs/>
          <w:color w:val="000000"/>
          <w:sz w:val="20"/>
          <w:szCs w:val="20"/>
        </w:rPr>
      </w:pPr>
      <w:r w:rsidRPr="00281DBE">
        <w:rPr>
          <w:rFonts w:ascii="Verdana" w:hAnsi="Verdana"/>
          <w:bCs/>
          <w:color w:val="000000"/>
          <w:sz w:val="20"/>
          <w:szCs w:val="20"/>
        </w:rPr>
        <w:t>Управление на документооборота и архива в рамките на УО</w:t>
      </w:r>
      <w:r>
        <w:rPr>
          <w:rFonts w:ascii="Verdana" w:hAnsi="Verdana"/>
          <w:bCs/>
          <w:color w:val="000000"/>
          <w:sz w:val="20"/>
          <w:szCs w:val="20"/>
        </w:rPr>
        <w:t>;</w:t>
      </w:r>
    </w:p>
    <w:p w:rsidR="00342903" w:rsidRPr="000B2863" w:rsidRDefault="00342903" w:rsidP="006861B0">
      <w:pPr>
        <w:pStyle w:val="BodyText"/>
        <w:widowControl w:val="0"/>
        <w:numPr>
          <w:ilvl w:val="0"/>
          <w:numId w:val="75"/>
        </w:numPr>
        <w:tabs>
          <w:tab w:val="left" w:pos="0"/>
          <w:tab w:val="right" w:pos="9214"/>
        </w:tabs>
        <w:spacing w:before="120" w:line="276" w:lineRule="auto"/>
        <w:jc w:val="both"/>
        <w:rPr>
          <w:rFonts w:ascii="Verdana" w:hAnsi="Verdana"/>
          <w:bCs/>
          <w:color w:val="000000"/>
          <w:sz w:val="20"/>
          <w:szCs w:val="20"/>
        </w:rPr>
      </w:pPr>
      <w:r w:rsidRPr="000B2863">
        <w:rPr>
          <w:rFonts w:ascii="Verdana" w:hAnsi="Verdana"/>
          <w:bCs/>
          <w:color w:val="000000"/>
          <w:sz w:val="20"/>
          <w:szCs w:val="20"/>
        </w:rPr>
        <w:t>Управление на бюджета, бюджетни прогнози, индикативни финансови планове на ОПНОИР</w:t>
      </w:r>
      <w:r>
        <w:rPr>
          <w:rFonts w:ascii="Verdana" w:hAnsi="Verdana"/>
          <w:bCs/>
          <w:color w:val="000000"/>
          <w:sz w:val="20"/>
          <w:szCs w:val="20"/>
        </w:rPr>
        <w:t>;</w:t>
      </w:r>
    </w:p>
    <w:p w:rsidR="00342903" w:rsidRDefault="00342903" w:rsidP="006861B0">
      <w:pPr>
        <w:pStyle w:val="BodyText"/>
        <w:widowControl w:val="0"/>
        <w:numPr>
          <w:ilvl w:val="0"/>
          <w:numId w:val="75"/>
        </w:numPr>
        <w:tabs>
          <w:tab w:val="left" w:pos="0"/>
          <w:tab w:val="right" w:pos="9214"/>
        </w:tabs>
        <w:spacing w:before="120" w:line="276" w:lineRule="auto"/>
        <w:jc w:val="both"/>
        <w:rPr>
          <w:rFonts w:ascii="Verdana" w:hAnsi="Verdana"/>
          <w:bCs/>
          <w:color w:val="000000"/>
          <w:sz w:val="20"/>
          <w:szCs w:val="20"/>
        </w:rPr>
      </w:pPr>
      <w:r w:rsidRPr="00281DBE">
        <w:rPr>
          <w:rFonts w:ascii="Verdana" w:hAnsi="Verdana"/>
          <w:bCs/>
          <w:color w:val="000000"/>
          <w:sz w:val="20"/>
          <w:szCs w:val="20"/>
        </w:rPr>
        <w:t>Счетоводство на ниво програма</w:t>
      </w:r>
      <w:r>
        <w:rPr>
          <w:rFonts w:ascii="Verdana" w:hAnsi="Verdana"/>
          <w:bCs/>
          <w:color w:val="000000"/>
          <w:sz w:val="20"/>
          <w:szCs w:val="20"/>
        </w:rPr>
        <w:t>;</w:t>
      </w:r>
    </w:p>
    <w:p w:rsidR="00342903" w:rsidRDefault="00342903" w:rsidP="006861B0">
      <w:pPr>
        <w:pStyle w:val="BodyText"/>
        <w:widowControl w:val="0"/>
        <w:numPr>
          <w:ilvl w:val="0"/>
          <w:numId w:val="75"/>
        </w:numPr>
        <w:tabs>
          <w:tab w:val="left" w:pos="0"/>
          <w:tab w:val="right" w:pos="9214"/>
        </w:tabs>
        <w:spacing w:before="120" w:line="276" w:lineRule="auto"/>
        <w:jc w:val="both"/>
        <w:rPr>
          <w:rFonts w:ascii="Verdana" w:hAnsi="Verdana"/>
          <w:bCs/>
          <w:color w:val="000000"/>
          <w:sz w:val="20"/>
          <w:szCs w:val="20"/>
        </w:rPr>
      </w:pPr>
      <w:r w:rsidRPr="00281DBE">
        <w:rPr>
          <w:rFonts w:ascii="Verdana" w:hAnsi="Verdana"/>
          <w:bCs/>
          <w:color w:val="000000"/>
          <w:sz w:val="20"/>
          <w:szCs w:val="20"/>
        </w:rPr>
        <w:t>Оценка на риска на ниво програма</w:t>
      </w:r>
      <w:r>
        <w:rPr>
          <w:rFonts w:ascii="Verdana" w:hAnsi="Verdana"/>
          <w:bCs/>
          <w:color w:val="000000"/>
          <w:sz w:val="20"/>
          <w:szCs w:val="20"/>
        </w:rPr>
        <w:t>;</w:t>
      </w:r>
    </w:p>
    <w:p w:rsidR="00342903" w:rsidRPr="002437CD" w:rsidRDefault="00342903" w:rsidP="006861B0">
      <w:pPr>
        <w:pStyle w:val="BodyText"/>
        <w:widowControl w:val="0"/>
        <w:numPr>
          <w:ilvl w:val="0"/>
          <w:numId w:val="75"/>
        </w:numPr>
        <w:tabs>
          <w:tab w:val="left" w:pos="0"/>
          <w:tab w:val="right" w:pos="9214"/>
        </w:tabs>
        <w:spacing w:before="120" w:line="276" w:lineRule="auto"/>
        <w:jc w:val="both"/>
        <w:rPr>
          <w:rFonts w:ascii="Verdana" w:hAnsi="Verdana"/>
          <w:bCs/>
          <w:color w:val="000000"/>
          <w:sz w:val="20"/>
          <w:szCs w:val="20"/>
        </w:rPr>
      </w:pPr>
      <w:r w:rsidRPr="002437CD">
        <w:rPr>
          <w:rFonts w:ascii="Verdana" w:hAnsi="Verdana"/>
          <w:bCs/>
          <w:color w:val="000000"/>
          <w:sz w:val="20"/>
          <w:szCs w:val="20"/>
        </w:rPr>
        <w:t>Координиране на взаимодействието като УО с всички институции и организации, включени в процеса на усвояване на средствата от фондовете на ЕС, включително и ЕК.</w:t>
      </w:r>
    </w:p>
    <w:p w:rsidR="00342903" w:rsidRDefault="00342903" w:rsidP="00342903">
      <w:pPr>
        <w:autoSpaceDE w:val="0"/>
        <w:autoSpaceDN w:val="0"/>
        <w:adjustRightInd w:val="0"/>
        <w:spacing w:before="120" w:after="120"/>
        <w:jc w:val="both"/>
        <w:rPr>
          <w:rFonts w:ascii="Verdana" w:hAnsi="Verdana"/>
          <w:sz w:val="20"/>
          <w:szCs w:val="20"/>
          <w:lang w:val="bg-BG"/>
        </w:rPr>
      </w:pPr>
      <w:r>
        <w:rPr>
          <w:rFonts w:ascii="Verdana" w:hAnsi="Verdana"/>
          <w:sz w:val="20"/>
          <w:szCs w:val="20"/>
          <w:lang w:val="bg-BG"/>
        </w:rPr>
        <w:t>Получените резултати показват, че следва да се обмисли увеличаване на човешкия ресурс за да бъдат напълно обезпечени новите функции, които дирекцията ще има като УО и да бъдат поп</w:t>
      </w:r>
      <w:r w:rsidR="00960070">
        <w:rPr>
          <w:rFonts w:ascii="Verdana" w:hAnsi="Verdana"/>
          <w:sz w:val="20"/>
          <w:szCs w:val="20"/>
          <w:lang w:val="bg-BG"/>
        </w:rPr>
        <w:t>ълнени новите структурни звена.</w:t>
      </w:r>
    </w:p>
    <w:p w:rsidR="00342903" w:rsidRDefault="00342903" w:rsidP="00342903">
      <w:pPr>
        <w:autoSpaceDE w:val="0"/>
        <w:autoSpaceDN w:val="0"/>
        <w:adjustRightInd w:val="0"/>
        <w:spacing w:before="120" w:after="120"/>
        <w:jc w:val="both"/>
        <w:rPr>
          <w:rFonts w:ascii="Verdana" w:hAnsi="Verdana"/>
          <w:sz w:val="20"/>
          <w:szCs w:val="20"/>
          <w:lang w:val="bg-BG"/>
        </w:rPr>
      </w:pPr>
      <w:r>
        <w:rPr>
          <w:rFonts w:ascii="Verdana" w:hAnsi="Verdana"/>
          <w:sz w:val="20"/>
          <w:szCs w:val="20"/>
          <w:lang w:val="bg-BG"/>
        </w:rPr>
        <w:t>Н</w:t>
      </w:r>
      <w:r w:rsidRPr="00F10F7E">
        <w:rPr>
          <w:rFonts w:ascii="Verdana" w:hAnsi="Verdana"/>
          <w:sz w:val="20"/>
          <w:szCs w:val="20"/>
          <w:lang w:val="bg-BG"/>
        </w:rPr>
        <w:t>еобходимо</w:t>
      </w:r>
      <w:r>
        <w:rPr>
          <w:rFonts w:ascii="Verdana" w:hAnsi="Verdana"/>
          <w:sz w:val="20"/>
          <w:szCs w:val="20"/>
          <w:lang w:val="bg-BG"/>
        </w:rPr>
        <w:t xml:space="preserve"> е</w:t>
      </w:r>
      <w:r w:rsidRPr="00F10F7E">
        <w:rPr>
          <w:rFonts w:ascii="Verdana" w:hAnsi="Verdana"/>
          <w:sz w:val="20"/>
          <w:szCs w:val="20"/>
          <w:lang w:val="bg-BG"/>
        </w:rPr>
        <w:t xml:space="preserve"> </w:t>
      </w:r>
      <w:r w:rsidRPr="00F10F7E">
        <w:rPr>
          <w:rFonts w:ascii="Verdana" w:hAnsi="Verdana"/>
          <w:bCs/>
          <w:color w:val="000000"/>
          <w:sz w:val="20"/>
          <w:szCs w:val="20"/>
          <w:lang w:val="bg-BG"/>
        </w:rPr>
        <w:t xml:space="preserve">увеличаване на човешките ресурси най-вече в отдел </w:t>
      </w:r>
      <w:r w:rsidRPr="00F10F7E">
        <w:rPr>
          <w:rFonts w:ascii="Verdana" w:hAnsi="Verdana" w:cs="TimesNewRomanPSMT"/>
          <w:sz w:val="20"/>
          <w:szCs w:val="20"/>
          <w:lang w:val="bg-BG" w:eastAsia="bg-BG"/>
        </w:rPr>
        <w:t>„</w:t>
      </w:r>
      <w:r>
        <w:rPr>
          <w:rFonts w:ascii="Verdana" w:hAnsi="Verdana" w:cs="TimesNewRomanPSMT"/>
          <w:sz w:val="20"/>
          <w:szCs w:val="20"/>
          <w:lang w:val="bg-BG" w:eastAsia="bg-BG"/>
        </w:rPr>
        <w:t>Програмиране и договаряне</w:t>
      </w:r>
      <w:r w:rsidRPr="00F10F7E">
        <w:rPr>
          <w:rFonts w:ascii="Verdana" w:hAnsi="Verdana" w:cs="TimesNewRomanPSMT"/>
          <w:sz w:val="20"/>
          <w:szCs w:val="20"/>
          <w:lang w:val="bg-BG" w:eastAsia="bg-BG"/>
        </w:rPr>
        <w:t>“</w:t>
      </w:r>
      <w:r>
        <w:rPr>
          <w:rFonts w:ascii="Verdana" w:hAnsi="Verdana" w:cs="TimesNewRomanPSMT"/>
          <w:sz w:val="20"/>
          <w:szCs w:val="20"/>
          <w:lang w:val="bg-BG" w:eastAsia="bg-BG"/>
        </w:rPr>
        <w:t xml:space="preserve"> и отдел „Финансово планиране, счетоводна отчетност и плащания“. </w:t>
      </w:r>
      <w:r w:rsidRPr="002437CD">
        <w:rPr>
          <w:rFonts w:ascii="Verdana" w:hAnsi="Verdana"/>
          <w:sz w:val="20"/>
          <w:szCs w:val="20"/>
          <w:lang w:val="bg-BG"/>
        </w:rPr>
        <w:t>Броят на експертите</w:t>
      </w:r>
      <w:r>
        <w:rPr>
          <w:rFonts w:ascii="Verdana" w:hAnsi="Verdana"/>
          <w:sz w:val="20"/>
          <w:szCs w:val="20"/>
          <w:lang w:val="bg-BG"/>
        </w:rPr>
        <w:t>, както и начинът на увеличаване на ресурса (чрез вътрешни експерти или наемане на допълнителни експерти в пикови периоди за оценка, включително възлагане на външни изпълнители)</w:t>
      </w:r>
      <w:r w:rsidRPr="002437CD">
        <w:rPr>
          <w:rFonts w:ascii="Verdana" w:hAnsi="Verdana"/>
          <w:sz w:val="20"/>
          <w:szCs w:val="20"/>
          <w:lang w:val="bg-BG"/>
        </w:rPr>
        <w:t xml:space="preserve"> ще зависи от натоварването и установените системи за управление и контрол.</w:t>
      </w:r>
    </w:p>
    <w:p w:rsidR="00342903" w:rsidRPr="00890D49" w:rsidRDefault="00342903" w:rsidP="00342903">
      <w:pPr>
        <w:keepNext/>
        <w:pBdr>
          <w:bottom w:val="single" w:sz="12" w:space="1" w:color="0070C0"/>
        </w:pBdr>
        <w:autoSpaceDE w:val="0"/>
        <w:autoSpaceDN w:val="0"/>
        <w:adjustRightInd w:val="0"/>
        <w:spacing w:before="120" w:after="120" w:line="240" w:lineRule="auto"/>
        <w:rPr>
          <w:rFonts w:ascii="Verdana" w:eastAsia="Times New Roman" w:hAnsi="Verdana" w:cs="TimesNewRomanPSMT"/>
          <w:i/>
          <w:color w:val="548DD4" w:themeColor="text2" w:themeTint="99"/>
          <w:sz w:val="20"/>
          <w:szCs w:val="20"/>
          <w:lang w:val="bg-BG" w:eastAsia="bg-BG"/>
        </w:rPr>
      </w:pPr>
      <w:r w:rsidRPr="00890D49">
        <w:rPr>
          <w:rFonts w:ascii="Verdana" w:eastAsia="Times New Roman" w:hAnsi="Verdana" w:cs="TimesNewRomanPSMT"/>
          <w:i/>
          <w:color w:val="548DD4" w:themeColor="text2" w:themeTint="99"/>
          <w:sz w:val="20"/>
          <w:szCs w:val="20"/>
          <w:lang w:val="bg-BG" w:eastAsia="bg-BG"/>
        </w:rPr>
        <w:t>Опит и обучения</w:t>
      </w:r>
    </w:p>
    <w:p w:rsidR="00342903" w:rsidRPr="00173D95" w:rsidRDefault="00342903" w:rsidP="00342903">
      <w:pPr>
        <w:autoSpaceDE w:val="0"/>
        <w:autoSpaceDN w:val="0"/>
        <w:adjustRightInd w:val="0"/>
        <w:spacing w:before="120" w:after="120"/>
        <w:jc w:val="both"/>
        <w:rPr>
          <w:rFonts w:ascii="Verdana" w:hAnsi="Verdana"/>
          <w:sz w:val="20"/>
          <w:szCs w:val="20"/>
          <w:lang w:val="bg-BG"/>
        </w:rPr>
      </w:pPr>
      <w:r w:rsidRPr="00173D95">
        <w:rPr>
          <w:rFonts w:ascii="Verdana" w:hAnsi="Verdana"/>
          <w:sz w:val="20"/>
          <w:szCs w:val="20"/>
          <w:lang w:val="bg-BG"/>
        </w:rPr>
        <w:t>Експертите в ГД</w:t>
      </w:r>
      <w:r>
        <w:rPr>
          <w:rFonts w:ascii="Verdana" w:hAnsi="Verdana"/>
          <w:sz w:val="20"/>
          <w:szCs w:val="20"/>
          <w:lang w:val="bg-BG"/>
        </w:rPr>
        <w:t>СФМОП</w:t>
      </w:r>
      <w:r w:rsidRPr="00173D95">
        <w:rPr>
          <w:rFonts w:ascii="Verdana" w:hAnsi="Verdana"/>
          <w:sz w:val="20"/>
          <w:szCs w:val="20"/>
          <w:lang w:val="bg-BG"/>
        </w:rPr>
        <w:t xml:space="preserve"> притежават </w:t>
      </w:r>
      <w:r w:rsidRPr="00731F70">
        <w:rPr>
          <w:rFonts w:ascii="Verdana" w:hAnsi="Verdana"/>
          <w:color w:val="365F91" w:themeColor="accent1" w:themeShade="BF"/>
          <w:sz w:val="20"/>
          <w:szCs w:val="20"/>
          <w:lang w:val="bg-BG"/>
        </w:rPr>
        <w:t>опит</w:t>
      </w:r>
      <w:r w:rsidRPr="00173D95">
        <w:rPr>
          <w:rFonts w:ascii="Verdana" w:hAnsi="Verdana"/>
          <w:sz w:val="20"/>
          <w:szCs w:val="20"/>
          <w:lang w:val="bg-BG"/>
        </w:rPr>
        <w:t xml:space="preserve"> в управлението и изпълнението</w:t>
      </w:r>
      <w:r>
        <w:rPr>
          <w:rFonts w:ascii="Verdana" w:hAnsi="Verdana"/>
          <w:sz w:val="20"/>
          <w:szCs w:val="20"/>
          <w:lang w:val="bg-BG"/>
        </w:rPr>
        <w:t xml:space="preserve"> на</w:t>
      </w:r>
      <w:r w:rsidRPr="00173D95">
        <w:rPr>
          <w:rFonts w:ascii="Verdana" w:hAnsi="Verdana"/>
          <w:sz w:val="20"/>
          <w:szCs w:val="20"/>
          <w:lang w:val="bg-BG"/>
        </w:rPr>
        <w:t xml:space="preserve"> проекти и програми, финансирани по структурните фондове на ЕС и предприсъединителни програми</w:t>
      </w:r>
      <w:r>
        <w:rPr>
          <w:rFonts w:ascii="Verdana" w:hAnsi="Verdana"/>
          <w:sz w:val="20"/>
          <w:szCs w:val="20"/>
          <w:lang w:val="bg-BG"/>
        </w:rPr>
        <w:t>. 38</w:t>
      </w:r>
      <w:r w:rsidRPr="00173D95">
        <w:rPr>
          <w:rFonts w:ascii="Verdana" w:hAnsi="Verdana"/>
          <w:sz w:val="20"/>
          <w:szCs w:val="20"/>
          <w:lang w:val="bg-BG"/>
        </w:rPr>
        <w:t xml:space="preserve"> % от тях имат над 5 години професионален опит с фондовете на ЕС</w:t>
      </w:r>
      <w:r>
        <w:rPr>
          <w:rFonts w:ascii="Verdana" w:hAnsi="Verdana"/>
          <w:sz w:val="20"/>
          <w:szCs w:val="20"/>
          <w:lang w:val="bg-BG"/>
        </w:rPr>
        <w:t>, 33</w:t>
      </w:r>
      <w:r w:rsidR="00E50641">
        <w:rPr>
          <w:rFonts w:ascii="Verdana" w:hAnsi="Verdana"/>
          <w:sz w:val="20"/>
          <w:szCs w:val="20"/>
          <w:lang w:val="bg-BG"/>
        </w:rPr>
        <w:t> </w:t>
      </w:r>
      <w:r>
        <w:rPr>
          <w:rFonts w:ascii="Verdana" w:hAnsi="Verdana"/>
          <w:sz w:val="20"/>
          <w:szCs w:val="20"/>
          <w:lang w:val="bg-BG"/>
        </w:rPr>
        <w:t>% имат от 3 до 5 години опит</w:t>
      </w:r>
      <w:r w:rsidRPr="00173D95">
        <w:rPr>
          <w:rFonts w:ascii="Verdana" w:hAnsi="Verdana"/>
          <w:sz w:val="20"/>
          <w:szCs w:val="20"/>
          <w:lang w:val="bg-BG"/>
        </w:rPr>
        <w:t>.</w:t>
      </w:r>
      <w:r>
        <w:rPr>
          <w:rFonts w:ascii="Verdana" w:hAnsi="Verdana"/>
          <w:sz w:val="20"/>
          <w:szCs w:val="20"/>
          <w:lang w:val="bg-BG"/>
        </w:rPr>
        <w:t xml:space="preserve"> </w:t>
      </w:r>
    </w:p>
    <w:p w:rsidR="00342903" w:rsidRDefault="00342903" w:rsidP="00342903">
      <w:pPr>
        <w:pStyle w:val="broodtekst"/>
        <w:spacing w:before="120" w:after="120" w:line="276" w:lineRule="auto"/>
        <w:jc w:val="both"/>
        <w:rPr>
          <w:rFonts w:ascii="Verdana" w:hAnsi="Verdana"/>
          <w:sz w:val="20"/>
          <w:szCs w:val="20"/>
        </w:rPr>
      </w:pPr>
      <w:r w:rsidRPr="00173D95">
        <w:rPr>
          <w:rFonts w:ascii="Verdana" w:hAnsi="Verdana"/>
          <w:sz w:val="20"/>
          <w:szCs w:val="20"/>
        </w:rPr>
        <w:lastRenderedPageBreak/>
        <w:t xml:space="preserve">Опитът, натрупан като стаж в </w:t>
      </w:r>
      <w:r>
        <w:rPr>
          <w:rFonts w:ascii="Verdana" w:hAnsi="Verdana"/>
          <w:sz w:val="20"/>
          <w:szCs w:val="20"/>
        </w:rPr>
        <w:t>ГДСФМОП като МЗ</w:t>
      </w:r>
      <w:r w:rsidRPr="00173D95">
        <w:rPr>
          <w:rFonts w:ascii="Verdana" w:hAnsi="Verdana"/>
          <w:sz w:val="20"/>
          <w:szCs w:val="20"/>
        </w:rPr>
        <w:t xml:space="preserve"> на ОП РЧР 2007 – 2013</w:t>
      </w:r>
      <w:r>
        <w:rPr>
          <w:rFonts w:ascii="Verdana" w:hAnsi="Verdana"/>
          <w:sz w:val="20"/>
          <w:szCs w:val="20"/>
        </w:rPr>
        <w:t xml:space="preserve"> г.,</w:t>
      </w:r>
      <w:r w:rsidRPr="00173D95">
        <w:rPr>
          <w:rFonts w:ascii="Verdana" w:hAnsi="Verdana"/>
          <w:sz w:val="20"/>
          <w:szCs w:val="20"/>
        </w:rPr>
        <w:t xml:space="preserve"> представлява също значителна част от общия опит на служителите в УО, като </w:t>
      </w:r>
      <w:r>
        <w:rPr>
          <w:rFonts w:ascii="Verdana" w:hAnsi="Verdana"/>
          <w:sz w:val="20"/>
          <w:szCs w:val="20"/>
        </w:rPr>
        <w:t>22</w:t>
      </w:r>
      <w:r w:rsidRPr="00173D95">
        <w:rPr>
          <w:rFonts w:ascii="Verdana" w:hAnsi="Verdana"/>
          <w:sz w:val="20"/>
          <w:szCs w:val="20"/>
        </w:rPr>
        <w:t xml:space="preserve"> % са посочили, че работят в </w:t>
      </w:r>
      <w:r>
        <w:rPr>
          <w:rFonts w:ascii="Verdana" w:hAnsi="Verdana"/>
          <w:sz w:val="20"/>
          <w:szCs w:val="20"/>
        </w:rPr>
        <w:t>дирекцията повече от 5 години, 43 % работят там</w:t>
      </w:r>
      <w:r w:rsidRPr="00173D95">
        <w:rPr>
          <w:rFonts w:ascii="Verdana" w:hAnsi="Verdana"/>
          <w:sz w:val="20"/>
          <w:szCs w:val="20"/>
        </w:rPr>
        <w:t xml:space="preserve"> от 3 до 5 години. Резултатите показват, че голяма част от служителите са натрупали знания и опит именно от работата си в </w:t>
      </w:r>
      <w:r>
        <w:rPr>
          <w:rFonts w:ascii="Verdana" w:hAnsi="Verdana"/>
          <w:sz w:val="20"/>
          <w:szCs w:val="20"/>
        </w:rPr>
        <w:t>МЗ</w:t>
      </w:r>
      <w:r w:rsidRPr="00173D95">
        <w:rPr>
          <w:rFonts w:ascii="Verdana" w:hAnsi="Verdana"/>
          <w:sz w:val="20"/>
          <w:szCs w:val="20"/>
        </w:rPr>
        <w:t xml:space="preserve"> на ОПРЧР 2007 </w:t>
      </w:r>
      <w:r>
        <w:rPr>
          <w:rFonts w:ascii="Verdana" w:hAnsi="Verdana"/>
          <w:sz w:val="20"/>
          <w:szCs w:val="20"/>
        </w:rPr>
        <w:t xml:space="preserve">– </w:t>
      </w:r>
      <w:r w:rsidRPr="00173D95">
        <w:rPr>
          <w:rFonts w:ascii="Verdana" w:hAnsi="Verdana"/>
          <w:sz w:val="20"/>
          <w:szCs w:val="20"/>
        </w:rPr>
        <w:t>2013</w:t>
      </w:r>
      <w:r>
        <w:rPr>
          <w:rFonts w:ascii="Verdana" w:hAnsi="Verdana"/>
          <w:sz w:val="20"/>
          <w:szCs w:val="20"/>
        </w:rPr>
        <w:t xml:space="preserve"> г.</w:t>
      </w:r>
      <w:r w:rsidRPr="00173D95">
        <w:rPr>
          <w:rFonts w:ascii="Verdana" w:hAnsi="Verdana"/>
          <w:sz w:val="20"/>
          <w:szCs w:val="20"/>
        </w:rPr>
        <w:t xml:space="preserve"> и притежават необходимия опит за качествено изпълнение на новата оперативна програма.</w:t>
      </w:r>
    </w:p>
    <w:p w:rsidR="00342903" w:rsidRDefault="00342903" w:rsidP="00342903">
      <w:pPr>
        <w:autoSpaceDE w:val="0"/>
        <w:autoSpaceDN w:val="0"/>
        <w:adjustRightInd w:val="0"/>
        <w:spacing w:before="120" w:after="120"/>
        <w:jc w:val="both"/>
        <w:rPr>
          <w:rFonts w:ascii="Verdana" w:hAnsi="Verdana"/>
          <w:sz w:val="20"/>
          <w:szCs w:val="20"/>
          <w:lang w:val="bg-BG"/>
        </w:rPr>
      </w:pPr>
      <w:r w:rsidRPr="00031E80">
        <w:rPr>
          <w:rFonts w:ascii="Verdana" w:hAnsi="Verdana"/>
          <w:sz w:val="20"/>
          <w:szCs w:val="20"/>
          <w:lang w:val="bg-BG"/>
        </w:rPr>
        <w:t>По-голяма част от експертите на ГДСФМОП са преминали по 1-2 дългосрочни обучения в страната (90%) и 1-2 дългосрочни обучения в чужбина (96%). Също така експертите са участвали и в от 2-5 краткосрочни обучения, както в страната (6</w:t>
      </w:r>
      <w:r>
        <w:rPr>
          <w:rFonts w:ascii="Verdana" w:hAnsi="Verdana"/>
          <w:sz w:val="20"/>
          <w:szCs w:val="20"/>
          <w:lang w:val="bg-BG"/>
        </w:rPr>
        <w:t>8</w:t>
      </w:r>
      <w:r w:rsidRPr="00031E80">
        <w:rPr>
          <w:rFonts w:ascii="Verdana" w:hAnsi="Verdana"/>
          <w:sz w:val="20"/>
          <w:szCs w:val="20"/>
          <w:lang w:val="bg-BG"/>
        </w:rPr>
        <w:t>%), така и в чужбина (4</w:t>
      </w:r>
      <w:r>
        <w:rPr>
          <w:rFonts w:ascii="Verdana" w:hAnsi="Verdana"/>
          <w:sz w:val="20"/>
          <w:szCs w:val="20"/>
          <w:lang w:val="bg-BG"/>
        </w:rPr>
        <w:t>9%</w:t>
      </w:r>
      <w:r w:rsidRPr="00031E80">
        <w:rPr>
          <w:rFonts w:ascii="Verdana" w:hAnsi="Verdana"/>
          <w:sz w:val="20"/>
          <w:szCs w:val="20"/>
          <w:lang w:val="bg-BG"/>
        </w:rPr>
        <w:t xml:space="preserve">). Получените резултати показват, че служителите на дирекцията са имали </w:t>
      </w:r>
      <w:r>
        <w:rPr>
          <w:rFonts w:ascii="Verdana" w:hAnsi="Verdana"/>
          <w:sz w:val="20"/>
          <w:szCs w:val="20"/>
          <w:lang w:val="bg-BG"/>
        </w:rPr>
        <w:t xml:space="preserve">необходимите </w:t>
      </w:r>
      <w:r w:rsidRPr="00031E80">
        <w:rPr>
          <w:rFonts w:ascii="Verdana" w:hAnsi="Verdana"/>
          <w:sz w:val="20"/>
          <w:szCs w:val="20"/>
          <w:lang w:val="bg-BG"/>
        </w:rPr>
        <w:t>възможността за</w:t>
      </w:r>
      <w:r>
        <w:rPr>
          <w:rFonts w:ascii="Verdana" w:hAnsi="Verdana"/>
          <w:sz w:val="20"/>
          <w:szCs w:val="20"/>
          <w:lang w:val="bg-BG"/>
        </w:rPr>
        <w:t xml:space="preserve"> повишаване на тяхната </w:t>
      </w:r>
      <w:r w:rsidRPr="00031E80">
        <w:rPr>
          <w:rFonts w:ascii="Verdana" w:hAnsi="Verdana"/>
          <w:sz w:val="20"/>
          <w:szCs w:val="20"/>
          <w:lang w:val="bg-BG"/>
        </w:rPr>
        <w:t>квалификация.</w:t>
      </w:r>
    </w:p>
    <w:p w:rsidR="00342903" w:rsidRPr="00173D95" w:rsidRDefault="00342903" w:rsidP="00342903">
      <w:pPr>
        <w:spacing w:before="120" w:after="120"/>
        <w:jc w:val="both"/>
        <w:rPr>
          <w:rFonts w:ascii="Verdana" w:hAnsi="Verdana" w:cs="Arial"/>
          <w:sz w:val="20"/>
          <w:szCs w:val="20"/>
          <w:lang w:val="bg-BG" w:eastAsia="nl-NL"/>
        </w:rPr>
      </w:pPr>
      <w:r w:rsidRPr="00173D95">
        <w:rPr>
          <w:rFonts w:ascii="Verdana" w:hAnsi="Verdana" w:cs="Arial"/>
          <w:sz w:val="20"/>
          <w:szCs w:val="20"/>
          <w:lang w:val="bg-BG" w:eastAsia="nl-NL"/>
        </w:rPr>
        <w:t>Според отговорите, получени  от проучването, изготвяните годишни планове като цяло отговарят на нуждите -3</w:t>
      </w:r>
      <w:r>
        <w:rPr>
          <w:rFonts w:ascii="Verdana" w:hAnsi="Verdana" w:cs="Arial"/>
          <w:sz w:val="20"/>
          <w:szCs w:val="20"/>
          <w:lang w:val="bg-BG" w:eastAsia="nl-NL"/>
        </w:rPr>
        <w:t>8</w:t>
      </w:r>
      <w:r w:rsidRPr="00173D95">
        <w:rPr>
          <w:rFonts w:ascii="Verdana" w:hAnsi="Verdana" w:cs="Arial"/>
          <w:sz w:val="20"/>
          <w:szCs w:val="20"/>
          <w:lang w:val="bg-BG" w:eastAsia="nl-NL"/>
        </w:rPr>
        <w:t xml:space="preserve"> % </w:t>
      </w:r>
      <w:r>
        <w:rPr>
          <w:rFonts w:ascii="Verdana" w:hAnsi="Verdana" w:cs="Arial"/>
          <w:sz w:val="20"/>
          <w:szCs w:val="20"/>
          <w:lang w:val="bg-BG" w:eastAsia="nl-NL"/>
        </w:rPr>
        <w:t>от анкетираните са доволни, а 40</w:t>
      </w:r>
      <w:r w:rsidRPr="00173D95">
        <w:rPr>
          <w:rFonts w:ascii="Verdana" w:hAnsi="Verdana" w:cs="Arial"/>
          <w:sz w:val="20"/>
          <w:szCs w:val="20"/>
          <w:lang w:val="bg-BG" w:eastAsia="nl-NL"/>
        </w:rPr>
        <w:t xml:space="preserve">% частично доволни. </w:t>
      </w:r>
      <w:r>
        <w:rPr>
          <w:rFonts w:ascii="Verdana" w:hAnsi="Verdana" w:cs="Arial"/>
          <w:sz w:val="20"/>
          <w:szCs w:val="20"/>
          <w:lang w:val="bg-BG" w:eastAsia="nl-NL"/>
        </w:rPr>
        <w:t>11 %</w:t>
      </w:r>
      <w:r w:rsidRPr="00173D95">
        <w:rPr>
          <w:rFonts w:ascii="Verdana" w:hAnsi="Verdana" w:cs="Arial"/>
          <w:sz w:val="20"/>
          <w:szCs w:val="20"/>
          <w:lang w:val="bg-BG" w:eastAsia="nl-NL"/>
        </w:rPr>
        <w:t xml:space="preserve"> обаче, смятат, че годишните планове в малка степен отговарят на техните нужди от обучение, което показва, че има възможности за допълнителни подобрения в това отношение.</w:t>
      </w:r>
    </w:p>
    <w:p w:rsidR="00342903" w:rsidRPr="00173D95" w:rsidRDefault="00342903" w:rsidP="00342903">
      <w:pPr>
        <w:autoSpaceDE w:val="0"/>
        <w:autoSpaceDN w:val="0"/>
        <w:adjustRightInd w:val="0"/>
        <w:spacing w:before="120" w:after="120"/>
        <w:jc w:val="both"/>
        <w:rPr>
          <w:rFonts w:ascii="Verdana" w:hAnsi="Verdana"/>
          <w:sz w:val="20"/>
          <w:szCs w:val="20"/>
          <w:lang w:val="bg-BG"/>
        </w:rPr>
      </w:pPr>
      <w:r>
        <w:rPr>
          <w:rFonts w:ascii="Verdana" w:hAnsi="Verdana"/>
          <w:sz w:val="20"/>
          <w:szCs w:val="20"/>
          <w:lang w:val="bg-BG"/>
        </w:rPr>
        <w:t>На въпроса,</w:t>
      </w:r>
      <w:r w:rsidRPr="00173D95">
        <w:rPr>
          <w:rFonts w:ascii="Verdana" w:hAnsi="Verdana"/>
          <w:sz w:val="20"/>
          <w:szCs w:val="20"/>
          <w:lang w:val="bg-BG"/>
        </w:rPr>
        <w:t xml:space="preserve"> от какъв вид обучение имат нужда, експертите смятат, че най-голяма полза ще получат от работни</w:t>
      </w:r>
      <w:r>
        <w:rPr>
          <w:rFonts w:ascii="Verdana" w:hAnsi="Verdana"/>
          <w:sz w:val="20"/>
          <w:szCs w:val="20"/>
          <w:lang w:val="bg-BG"/>
        </w:rPr>
        <w:t xml:space="preserve"> посещения за обмяна на опит (71</w:t>
      </w:r>
      <w:r w:rsidRPr="00173D95">
        <w:rPr>
          <w:rFonts w:ascii="Verdana" w:hAnsi="Verdana"/>
          <w:sz w:val="20"/>
          <w:szCs w:val="20"/>
          <w:lang w:val="bg-BG"/>
        </w:rPr>
        <w:t>%), следвани от краткосрочни семинари (</w:t>
      </w:r>
      <w:r>
        <w:rPr>
          <w:rFonts w:ascii="Verdana" w:hAnsi="Verdana"/>
          <w:sz w:val="20"/>
          <w:szCs w:val="20"/>
          <w:lang w:val="bg-BG"/>
        </w:rPr>
        <w:t>71</w:t>
      </w:r>
      <w:r w:rsidRPr="00173D95">
        <w:rPr>
          <w:rFonts w:ascii="Verdana" w:hAnsi="Verdana"/>
          <w:sz w:val="20"/>
          <w:szCs w:val="20"/>
          <w:lang w:val="bg-BG"/>
        </w:rPr>
        <w:t xml:space="preserve">%). </w:t>
      </w:r>
    </w:p>
    <w:p w:rsidR="00342903" w:rsidRPr="00173D95" w:rsidRDefault="00342903" w:rsidP="00342903">
      <w:pPr>
        <w:autoSpaceDE w:val="0"/>
        <w:autoSpaceDN w:val="0"/>
        <w:adjustRightInd w:val="0"/>
        <w:spacing w:before="120" w:after="120"/>
        <w:jc w:val="both"/>
        <w:rPr>
          <w:rFonts w:ascii="Verdana" w:hAnsi="Verdana"/>
          <w:sz w:val="20"/>
          <w:szCs w:val="20"/>
          <w:lang w:val="bg-BG"/>
        </w:rPr>
      </w:pPr>
      <w:r w:rsidRPr="00173D95">
        <w:rPr>
          <w:rFonts w:ascii="Verdana" w:hAnsi="Verdana"/>
          <w:sz w:val="20"/>
          <w:szCs w:val="20"/>
          <w:lang w:val="bg-BG"/>
        </w:rPr>
        <w:t xml:space="preserve">Тези резултати повтарят резултатите от </w:t>
      </w:r>
      <w:r>
        <w:rPr>
          <w:rFonts w:ascii="Verdana" w:hAnsi="Verdana"/>
          <w:sz w:val="20"/>
          <w:szCs w:val="20"/>
          <w:lang w:val="bg-BG"/>
        </w:rPr>
        <w:t xml:space="preserve">подобен тип проучвания на други УО, включително </w:t>
      </w:r>
      <w:r w:rsidRPr="00173D95">
        <w:rPr>
          <w:rFonts w:ascii="Verdana" w:hAnsi="Verdana"/>
          <w:sz w:val="20"/>
          <w:szCs w:val="20"/>
          <w:lang w:val="bg-BG"/>
        </w:rPr>
        <w:t>декларирана</w:t>
      </w:r>
      <w:r>
        <w:rPr>
          <w:rFonts w:ascii="Verdana" w:hAnsi="Verdana"/>
          <w:sz w:val="20"/>
          <w:szCs w:val="20"/>
          <w:lang w:val="bg-BG"/>
        </w:rPr>
        <w:t>та</w:t>
      </w:r>
      <w:r w:rsidRPr="00173D95">
        <w:rPr>
          <w:rFonts w:ascii="Verdana" w:hAnsi="Verdana"/>
          <w:sz w:val="20"/>
          <w:szCs w:val="20"/>
          <w:lang w:val="bg-BG"/>
        </w:rPr>
        <w:t xml:space="preserve"> потребност от практическа насоченост на обученията и обучения от типа „обмяна на чужд опит“. Това следва да бъде отчетено при планирането на обученията </w:t>
      </w:r>
      <w:r>
        <w:rPr>
          <w:rFonts w:ascii="Verdana" w:hAnsi="Verdana"/>
          <w:sz w:val="20"/>
          <w:szCs w:val="20"/>
          <w:lang w:val="bg-BG"/>
        </w:rPr>
        <w:t>през следващия програмен период, включително обмяна на опит с подобни структури в страната за дейностите, които ще бъдат нови за дирекцията.</w:t>
      </w:r>
    </w:p>
    <w:p w:rsidR="00342903" w:rsidRDefault="00342903" w:rsidP="00342903">
      <w:pPr>
        <w:autoSpaceDE w:val="0"/>
        <w:autoSpaceDN w:val="0"/>
        <w:adjustRightInd w:val="0"/>
        <w:spacing w:before="120" w:after="120"/>
        <w:jc w:val="both"/>
        <w:rPr>
          <w:rFonts w:ascii="Verdana" w:hAnsi="Verdana"/>
          <w:sz w:val="20"/>
          <w:szCs w:val="20"/>
          <w:lang w:val="bg-BG"/>
        </w:rPr>
      </w:pPr>
      <w:r>
        <w:rPr>
          <w:rFonts w:ascii="Verdana" w:hAnsi="Verdana"/>
          <w:sz w:val="20"/>
          <w:szCs w:val="20"/>
          <w:lang w:val="bg-BG"/>
        </w:rPr>
        <w:t>Служителите на дирекцията считат, че необходимост от засилване на тяхната квалификация в следните области:</w:t>
      </w:r>
    </w:p>
    <w:p w:rsidR="00342903" w:rsidRPr="00031E80" w:rsidRDefault="00342903" w:rsidP="006861B0">
      <w:pPr>
        <w:pStyle w:val="ListParagraph"/>
        <w:numPr>
          <w:ilvl w:val="0"/>
          <w:numId w:val="76"/>
        </w:numPr>
        <w:autoSpaceDE w:val="0"/>
        <w:autoSpaceDN w:val="0"/>
        <w:adjustRightInd w:val="0"/>
        <w:spacing w:before="60" w:after="60"/>
        <w:ind w:left="714" w:hanging="357"/>
        <w:jc w:val="both"/>
        <w:rPr>
          <w:rFonts w:ascii="Verdana" w:hAnsi="Verdana"/>
          <w:sz w:val="20"/>
          <w:szCs w:val="20"/>
          <w:lang w:val="bg-BG"/>
        </w:rPr>
      </w:pPr>
      <w:r w:rsidRPr="00031E80">
        <w:rPr>
          <w:rFonts w:ascii="Verdana" w:hAnsi="Verdana"/>
          <w:sz w:val="20"/>
          <w:szCs w:val="20"/>
          <w:lang w:val="bg-BG"/>
        </w:rPr>
        <w:t>По-добри познания и умения в областта на организиране, провеждане и контро</w:t>
      </w:r>
      <w:r>
        <w:rPr>
          <w:rFonts w:ascii="Verdana" w:hAnsi="Verdana"/>
          <w:sz w:val="20"/>
          <w:szCs w:val="20"/>
          <w:lang w:val="bg-BG"/>
        </w:rPr>
        <w:t>л върху обществените поръчки (65</w:t>
      </w:r>
      <w:r w:rsidRPr="00031E80">
        <w:rPr>
          <w:rFonts w:ascii="Verdana" w:hAnsi="Verdana"/>
          <w:sz w:val="20"/>
          <w:szCs w:val="20"/>
          <w:lang w:val="bg-BG"/>
        </w:rPr>
        <w:t>%)</w:t>
      </w:r>
      <w:r>
        <w:rPr>
          <w:rFonts w:ascii="Verdana" w:hAnsi="Verdana"/>
          <w:sz w:val="20"/>
          <w:szCs w:val="20"/>
          <w:lang w:val="bg-BG"/>
        </w:rPr>
        <w:t>;</w:t>
      </w:r>
    </w:p>
    <w:p w:rsidR="00342903" w:rsidRPr="00BD5378" w:rsidRDefault="00342903" w:rsidP="006861B0">
      <w:pPr>
        <w:pStyle w:val="ListParagraph"/>
        <w:numPr>
          <w:ilvl w:val="0"/>
          <w:numId w:val="76"/>
        </w:numPr>
        <w:autoSpaceDE w:val="0"/>
        <w:autoSpaceDN w:val="0"/>
        <w:adjustRightInd w:val="0"/>
        <w:spacing w:before="60" w:after="60"/>
        <w:ind w:left="714" w:hanging="357"/>
        <w:jc w:val="both"/>
        <w:rPr>
          <w:rFonts w:ascii="Verdana" w:hAnsi="Verdana"/>
          <w:sz w:val="20"/>
          <w:szCs w:val="20"/>
          <w:lang w:val="bg-BG"/>
        </w:rPr>
      </w:pPr>
      <w:r w:rsidRPr="00BD5378">
        <w:rPr>
          <w:rFonts w:ascii="Verdana" w:hAnsi="Verdana"/>
          <w:sz w:val="20"/>
          <w:szCs w:val="20"/>
          <w:lang w:val="bg-BG"/>
        </w:rPr>
        <w:t>По-добро познаване на европейското и национално законодателство и стратегии и политики в областта на управление на средствата от ЕС (58%)</w:t>
      </w:r>
      <w:r>
        <w:rPr>
          <w:rFonts w:ascii="Verdana" w:hAnsi="Verdana"/>
          <w:sz w:val="20"/>
          <w:szCs w:val="20"/>
          <w:lang w:val="bg-BG"/>
        </w:rPr>
        <w:t>;</w:t>
      </w:r>
    </w:p>
    <w:p w:rsidR="00342903" w:rsidRPr="00977A04" w:rsidRDefault="00342903" w:rsidP="006861B0">
      <w:pPr>
        <w:pStyle w:val="ListParagraph"/>
        <w:numPr>
          <w:ilvl w:val="0"/>
          <w:numId w:val="76"/>
        </w:numPr>
        <w:autoSpaceDE w:val="0"/>
        <w:autoSpaceDN w:val="0"/>
        <w:adjustRightInd w:val="0"/>
        <w:spacing w:before="60" w:after="60"/>
        <w:ind w:left="714" w:hanging="357"/>
        <w:jc w:val="both"/>
        <w:rPr>
          <w:rFonts w:ascii="Verdana" w:hAnsi="Verdana"/>
          <w:sz w:val="20"/>
          <w:szCs w:val="20"/>
          <w:lang w:val="bg-BG"/>
        </w:rPr>
      </w:pPr>
      <w:r>
        <w:rPr>
          <w:rFonts w:ascii="Verdana" w:hAnsi="Verdana"/>
          <w:sz w:val="20"/>
          <w:szCs w:val="20"/>
          <w:lang w:val="bg-BG"/>
        </w:rPr>
        <w:t>По-добра екипна работа (53</w:t>
      </w:r>
      <w:r w:rsidRPr="00977A04">
        <w:rPr>
          <w:rFonts w:ascii="Verdana" w:hAnsi="Verdana"/>
          <w:sz w:val="20"/>
          <w:szCs w:val="20"/>
          <w:lang w:val="bg-BG"/>
        </w:rPr>
        <w:t>%);</w:t>
      </w:r>
    </w:p>
    <w:p w:rsidR="00342903" w:rsidRPr="00A71F07" w:rsidRDefault="00342903" w:rsidP="00342903">
      <w:pPr>
        <w:autoSpaceDE w:val="0"/>
        <w:autoSpaceDN w:val="0"/>
        <w:adjustRightInd w:val="0"/>
        <w:spacing w:before="120" w:after="120"/>
        <w:jc w:val="both"/>
        <w:rPr>
          <w:rFonts w:ascii="Verdana" w:hAnsi="Verdana"/>
          <w:sz w:val="20"/>
          <w:szCs w:val="20"/>
          <w:lang w:val="bg-BG"/>
        </w:rPr>
      </w:pPr>
      <w:r>
        <w:rPr>
          <w:rFonts w:ascii="Verdana" w:hAnsi="Verdana"/>
          <w:sz w:val="20"/>
          <w:szCs w:val="20"/>
          <w:lang w:val="bg-BG"/>
        </w:rPr>
        <w:t>Също така в</w:t>
      </w:r>
      <w:r w:rsidRPr="00A71F07">
        <w:rPr>
          <w:rFonts w:ascii="Verdana" w:hAnsi="Verdana"/>
          <w:sz w:val="20"/>
          <w:szCs w:val="20"/>
          <w:lang w:val="bg-BG"/>
        </w:rPr>
        <w:t xml:space="preserve">ъв връзка с новите функции като УО, служителите </w:t>
      </w:r>
      <w:r>
        <w:rPr>
          <w:rFonts w:ascii="Verdana" w:hAnsi="Verdana"/>
          <w:sz w:val="20"/>
          <w:szCs w:val="20"/>
          <w:lang w:val="bg-BG"/>
        </w:rPr>
        <w:t>смятат</w:t>
      </w:r>
      <w:r w:rsidRPr="00A71F07">
        <w:rPr>
          <w:rFonts w:ascii="Verdana" w:hAnsi="Verdana"/>
          <w:sz w:val="20"/>
          <w:szCs w:val="20"/>
          <w:lang w:val="bg-BG"/>
        </w:rPr>
        <w:t>, че ще имат нужда от обучения в областта на държавните помощи</w:t>
      </w:r>
      <w:r>
        <w:rPr>
          <w:rFonts w:ascii="Verdana" w:hAnsi="Verdana"/>
          <w:sz w:val="20"/>
          <w:szCs w:val="20"/>
          <w:lang w:val="bg-BG"/>
        </w:rPr>
        <w:t>,</w:t>
      </w:r>
      <w:r w:rsidRPr="00A71F07">
        <w:rPr>
          <w:rFonts w:ascii="Verdana" w:hAnsi="Verdana"/>
          <w:sz w:val="20"/>
          <w:szCs w:val="20"/>
          <w:lang w:val="bg-BG"/>
        </w:rPr>
        <w:t xml:space="preserve"> оценка на риска на </w:t>
      </w:r>
      <w:r>
        <w:rPr>
          <w:rFonts w:ascii="Verdana" w:hAnsi="Verdana"/>
          <w:sz w:val="20"/>
          <w:szCs w:val="20"/>
          <w:lang w:val="bg-BG"/>
        </w:rPr>
        <w:t xml:space="preserve">институционално и проектно ниво и мониторинг и верификация на проектите по </w:t>
      </w:r>
      <w:proofErr w:type="spellStart"/>
      <w:r>
        <w:rPr>
          <w:rFonts w:ascii="Verdana" w:hAnsi="Verdana"/>
          <w:sz w:val="20"/>
          <w:szCs w:val="20"/>
          <w:lang w:val="bg-BG"/>
        </w:rPr>
        <w:t>ПО</w:t>
      </w:r>
      <w:proofErr w:type="spellEnd"/>
      <w:r>
        <w:rPr>
          <w:rFonts w:ascii="Verdana" w:hAnsi="Verdana"/>
          <w:sz w:val="20"/>
          <w:szCs w:val="20"/>
          <w:lang w:val="bg-BG"/>
        </w:rPr>
        <w:t xml:space="preserve"> 1, финансирана по ЕФРР.</w:t>
      </w:r>
    </w:p>
    <w:p w:rsidR="00342903" w:rsidRDefault="00342903" w:rsidP="00342903">
      <w:pPr>
        <w:autoSpaceDE w:val="0"/>
        <w:autoSpaceDN w:val="0"/>
        <w:adjustRightInd w:val="0"/>
        <w:spacing w:before="120" w:after="120"/>
        <w:jc w:val="both"/>
        <w:rPr>
          <w:rFonts w:ascii="Verdana" w:hAnsi="Verdana"/>
          <w:sz w:val="20"/>
          <w:szCs w:val="20"/>
          <w:lang w:val="bg-BG"/>
        </w:rPr>
      </w:pPr>
      <w:r>
        <w:rPr>
          <w:rFonts w:ascii="Verdana" w:hAnsi="Verdana"/>
          <w:sz w:val="20"/>
          <w:szCs w:val="20"/>
          <w:lang w:val="bg-BG"/>
        </w:rPr>
        <w:t>И</w:t>
      </w:r>
      <w:r w:rsidRPr="00173D95">
        <w:rPr>
          <w:rFonts w:ascii="Verdana" w:hAnsi="Verdana"/>
          <w:sz w:val="20"/>
          <w:szCs w:val="20"/>
          <w:lang w:val="bg-BG"/>
        </w:rPr>
        <w:t>дентифицираните области имат много близки проценти, което показва, че не съществуват определени области, идентифицирани като слабост в подготовката и уменията на експертите, а по-скоро</w:t>
      </w:r>
      <w:r>
        <w:rPr>
          <w:rFonts w:ascii="Verdana" w:hAnsi="Verdana"/>
          <w:sz w:val="20"/>
          <w:szCs w:val="20"/>
          <w:lang w:val="bg-BG"/>
        </w:rPr>
        <w:t>,</w:t>
      </w:r>
      <w:r w:rsidRPr="00173D95">
        <w:rPr>
          <w:rFonts w:ascii="Verdana" w:hAnsi="Verdana"/>
          <w:sz w:val="20"/>
          <w:szCs w:val="20"/>
          <w:lang w:val="bg-BG"/>
        </w:rPr>
        <w:t xml:space="preserve"> че служителите осъзнават нуждите</w:t>
      </w:r>
      <w:r>
        <w:rPr>
          <w:rFonts w:ascii="Verdana" w:hAnsi="Verdana"/>
          <w:sz w:val="20"/>
          <w:szCs w:val="20"/>
          <w:lang w:val="bg-BG"/>
        </w:rPr>
        <w:t>,</w:t>
      </w:r>
      <w:r w:rsidRPr="00173D95">
        <w:rPr>
          <w:rFonts w:ascii="Verdana" w:hAnsi="Verdana"/>
          <w:sz w:val="20"/>
          <w:szCs w:val="20"/>
          <w:lang w:val="bg-BG"/>
        </w:rPr>
        <w:t xml:space="preserve"> където има необходимост от укрепване на административния капацитет.</w:t>
      </w:r>
      <w:r>
        <w:rPr>
          <w:rFonts w:ascii="Verdana" w:hAnsi="Verdana"/>
          <w:sz w:val="20"/>
          <w:szCs w:val="20"/>
          <w:lang w:val="bg-BG"/>
        </w:rPr>
        <w:t xml:space="preserve"> </w:t>
      </w:r>
    </w:p>
    <w:p w:rsidR="00342903" w:rsidRPr="00173D95" w:rsidRDefault="00342903" w:rsidP="00342903">
      <w:pPr>
        <w:keepNext/>
        <w:pBdr>
          <w:bottom w:val="single" w:sz="12" w:space="1" w:color="0070C0"/>
        </w:pBdr>
        <w:autoSpaceDE w:val="0"/>
        <w:autoSpaceDN w:val="0"/>
        <w:adjustRightInd w:val="0"/>
        <w:spacing w:before="120" w:after="120" w:line="240" w:lineRule="auto"/>
        <w:rPr>
          <w:rFonts w:ascii="Verdana" w:eastAsia="Times New Roman" w:hAnsi="Verdana" w:cs="TimesNewRomanPSMT"/>
          <w:i/>
          <w:color w:val="548DD4" w:themeColor="text2" w:themeTint="99"/>
          <w:sz w:val="20"/>
          <w:szCs w:val="20"/>
          <w:lang w:val="bg-BG" w:eastAsia="bg-BG"/>
        </w:rPr>
      </w:pPr>
      <w:r w:rsidRPr="00173D95">
        <w:rPr>
          <w:rFonts w:ascii="Verdana" w:eastAsia="Times New Roman" w:hAnsi="Verdana" w:cs="TimesNewRomanPSMT"/>
          <w:i/>
          <w:color w:val="548DD4" w:themeColor="text2" w:themeTint="99"/>
          <w:sz w:val="20"/>
          <w:szCs w:val="20"/>
          <w:lang w:val="bg-BG" w:eastAsia="bg-BG"/>
        </w:rPr>
        <w:lastRenderedPageBreak/>
        <w:t>Системи, процедури и техническа обезпеченост</w:t>
      </w:r>
    </w:p>
    <w:p w:rsidR="00342903" w:rsidRPr="00031E80" w:rsidRDefault="00342903" w:rsidP="00342903">
      <w:pPr>
        <w:autoSpaceDE w:val="0"/>
        <w:autoSpaceDN w:val="0"/>
        <w:adjustRightInd w:val="0"/>
        <w:spacing w:before="120" w:after="120"/>
        <w:jc w:val="both"/>
        <w:rPr>
          <w:rFonts w:ascii="Verdana" w:hAnsi="Verdana"/>
          <w:sz w:val="20"/>
          <w:szCs w:val="20"/>
          <w:lang w:val="bg-BG"/>
        </w:rPr>
      </w:pPr>
      <w:r w:rsidRPr="00173D95">
        <w:rPr>
          <w:rFonts w:ascii="Verdana" w:hAnsi="Verdana"/>
          <w:sz w:val="20"/>
          <w:szCs w:val="20"/>
          <w:lang w:val="bg-BG"/>
        </w:rPr>
        <w:t>Експертите на</w:t>
      </w:r>
      <w:r>
        <w:rPr>
          <w:rFonts w:ascii="Verdana" w:hAnsi="Verdana"/>
          <w:sz w:val="20"/>
          <w:szCs w:val="20"/>
          <w:lang w:val="bg-BG"/>
        </w:rPr>
        <w:t xml:space="preserve"> </w:t>
      </w:r>
      <w:r w:rsidRPr="00173D95">
        <w:rPr>
          <w:rFonts w:ascii="Verdana" w:hAnsi="Verdana"/>
          <w:sz w:val="20"/>
          <w:szCs w:val="20"/>
          <w:lang w:val="bg-BG"/>
        </w:rPr>
        <w:t>ГД</w:t>
      </w:r>
      <w:r>
        <w:rPr>
          <w:rFonts w:ascii="Verdana" w:hAnsi="Verdana"/>
          <w:sz w:val="20"/>
          <w:szCs w:val="20"/>
          <w:lang w:val="bg-BG"/>
        </w:rPr>
        <w:t>СФМОП</w:t>
      </w:r>
      <w:r w:rsidRPr="00173D95">
        <w:rPr>
          <w:rFonts w:ascii="Verdana" w:hAnsi="Verdana"/>
          <w:sz w:val="20"/>
          <w:szCs w:val="20"/>
          <w:lang w:val="bg-BG"/>
        </w:rPr>
        <w:t xml:space="preserve"> имат натрупан опит в изготвянето на системи за управление и контрол и съответните </w:t>
      </w:r>
      <w:r>
        <w:rPr>
          <w:rFonts w:ascii="Verdana" w:hAnsi="Verdana"/>
          <w:sz w:val="20"/>
          <w:szCs w:val="20"/>
          <w:lang w:val="bg-BG"/>
        </w:rPr>
        <w:t xml:space="preserve">процедурни наръчници, тъй като </w:t>
      </w:r>
      <w:r w:rsidRPr="00173D95">
        <w:rPr>
          <w:rFonts w:ascii="Verdana" w:hAnsi="Verdana"/>
          <w:sz w:val="20"/>
          <w:szCs w:val="20"/>
          <w:lang w:val="bg-BG"/>
        </w:rPr>
        <w:t xml:space="preserve">част от </w:t>
      </w:r>
      <w:r>
        <w:rPr>
          <w:rFonts w:ascii="Verdana" w:hAnsi="Verdana"/>
          <w:sz w:val="20"/>
          <w:szCs w:val="20"/>
          <w:lang w:val="bg-BG"/>
        </w:rPr>
        <w:t>експертите на дирекцията</w:t>
      </w:r>
      <w:r w:rsidRPr="00173D95">
        <w:rPr>
          <w:rFonts w:ascii="Verdana" w:hAnsi="Verdana"/>
          <w:sz w:val="20"/>
          <w:szCs w:val="20"/>
          <w:lang w:val="bg-BG"/>
        </w:rPr>
        <w:t xml:space="preserve"> са участвали в разработването на тези документи по ОПРЧР 2007 – 2013</w:t>
      </w:r>
      <w:r w:rsidR="00E50641">
        <w:rPr>
          <w:rFonts w:ascii="Verdana" w:hAnsi="Verdana"/>
          <w:sz w:val="20"/>
          <w:szCs w:val="20"/>
          <w:lang w:val="bg-BG"/>
        </w:rPr>
        <w:t> </w:t>
      </w:r>
      <w:r>
        <w:rPr>
          <w:rFonts w:ascii="Verdana" w:hAnsi="Verdana"/>
          <w:sz w:val="20"/>
          <w:szCs w:val="20"/>
          <w:lang w:val="bg-BG"/>
        </w:rPr>
        <w:t>г.</w:t>
      </w:r>
      <w:r w:rsidRPr="00173D95">
        <w:rPr>
          <w:rFonts w:ascii="Verdana" w:hAnsi="Verdana"/>
          <w:sz w:val="20"/>
          <w:szCs w:val="20"/>
          <w:lang w:val="bg-BG"/>
        </w:rPr>
        <w:t xml:space="preserve">  При разработването на наръчника на новата оперативна прогр</w:t>
      </w:r>
      <w:r>
        <w:rPr>
          <w:rFonts w:ascii="Verdana" w:hAnsi="Verdana"/>
          <w:sz w:val="20"/>
          <w:szCs w:val="20"/>
          <w:lang w:val="bg-BG"/>
        </w:rPr>
        <w:t>ама би трябвало да се следва процес</w:t>
      </w:r>
      <w:r w:rsidRPr="00173D95">
        <w:rPr>
          <w:rFonts w:ascii="Verdana" w:hAnsi="Verdana"/>
          <w:sz w:val="20"/>
          <w:szCs w:val="20"/>
          <w:lang w:val="bg-BG"/>
        </w:rPr>
        <w:t xml:space="preserve"> на опростяване на процедурите, както и да се ползват в максимална степен възможностите за електронизация на процедурите.</w:t>
      </w:r>
      <w:r>
        <w:rPr>
          <w:rFonts w:ascii="Verdana" w:hAnsi="Verdana"/>
          <w:sz w:val="20"/>
          <w:szCs w:val="20"/>
          <w:lang w:val="bg-BG"/>
        </w:rPr>
        <w:t xml:space="preserve"> </w:t>
      </w:r>
      <w:r w:rsidRPr="00031E80">
        <w:rPr>
          <w:rFonts w:ascii="Verdana" w:hAnsi="Verdana"/>
          <w:sz w:val="20"/>
          <w:szCs w:val="20"/>
          <w:lang w:val="bg-BG"/>
        </w:rPr>
        <w:t>По-добре разписани правила и процедури за работа ще повишат административния капацитет за управление на програмата</w:t>
      </w:r>
      <w:r>
        <w:rPr>
          <w:rFonts w:ascii="Verdana" w:hAnsi="Verdana"/>
          <w:sz w:val="20"/>
          <w:szCs w:val="20"/>
          <w:lang w:val="bg-BG"/>
        </w:rPr>
        <w:t xml:space="preserve"> според 62% от анкетираните служители.</w:t>
      </w:r>
    </w:p>
    <w:p w:rsidR="00342903" w:rsidRPr="00173D95" w:rsidRDefault="00342903" w:rsidP="00342903">
      <w:pPr>
        <w:autoSpaceDE w:val="0"/>
        <w:autoSpaceDN w:val="0"/>
        <w:adjustRightInd w:val="0"/>
        <w:spacing w:before="120" w:after="120"/>
        <w:jc w:val="both"/>
        <w:rPr>
          <w:rFonts w:ascii="Verdana" w:hAnsi="Verdana"/>
          <w:sz w:val="20"/>
          <w:szCs w:val="20"/>
          <w:lang w:val="bg-BG"/>
        </w:rPr>
      </w:pPr>
      <w:r w:rsidRPr="00D36AD2">
        <w:rPr>
          <w:rFonts w:ascii="Verdana" w:hAnsi="Verdana"/>
          <w:sz w:val="20"/>
          <w:szCs w:val="20"/>
          <w:lang w:val="bg-BG"/>
        </w:rPr>
        <w:t>ИСУН е информационната система, която се използва за управление на всички оперативни програми през програмния период 2007–2013 г. Тя ще бъде използвана през следващия програмен период, ще носи името ИСУН 2020, като се предвижда да бъдат направени значителни подобрения и промени, които ще са насочени към използване на системата като функционален инструмент и намаляване на бюрокрацията.</w:t>
      </w:r>
      <w:r>
        <w:rPr>
          <w:rFonts w:ascii="Verdana" w:hAnsi="Verdana"/>
          <w:sz w:val="20"/>
          <w:szCs w:val="20"/>
          <w:lang w:val="bg-BG"/>
        </w:rPr>
        <w:t xml:space="preserve"> Към момента, експертите от ГДСФМОП смятат, че новите функционалности на системата ще им позволят гъвкаво и навременно управление на програмата и проектите.</w:t>
      </w:r>
    </w:p>
    <w:p w:rsidR="00342903" w:rsidRDefault="00342903" w:rsidP="00342903">
      <w:pPr>
        <w:autoSpaceDE w:val="0"/>
        <w:autoSpaceDN w:val="0"/>
        <w:adjustRightInd w:val="0"/>
        <w:spacing w:before="120" w:after="120"/>
        <w:jc w:val="both"/>
        <w:rPr>
          <w:rFonts w:ascii="Verdana" w:hAnsi="Verdana"/>
          <w:sz w:val="20"/>
          <w:szCs w:val="20"/>
          <w:lang w:val="bg-BG"/>
        </w:rPr>
      </w:pPr>
      <w:r>
        <w:rPr>
          <w:rFonts w:ascii="Verdana" w:hAnsi="Verdana"/>
          <w:sz w:val="20"/>
          <w:szCs w:val="20"/>
          <w:lang w:val="bg-BG"/>
        </w:rPr>
        <w:t xml:space="preserve">Като основен проблем се очертава наличността на технически средства, с които, служителите </w:t>
      </w:r>
      <w:r w:rsidRPr="00173D95">
        <w:rPr>
          <w:rFonts w:ascii="Verdana" w:hAnsi="Verdana"/>
          <w:sz w:val="20"/>
          <w:szCs w:val="20"/>
          <w:lang w:val="bg-BG"/>
        </w:rPr>
        <w:t>разполагат за осъществяване на ежедневните си задължения.</w:t>
      </w:r>
      <w:r>
        <w:rPr>
          <w:rFonts w:ascii="Verdana" w:hAnsi="Verdana"/>
          <w:sz w:val="20"/>
          <w:szCs w:val="20"/>
          <w:lang w:val="bg-BG"/>
        </w:rPr>
        <w:t xml:space="preserve"> Като проблемни области са посочени технически средства (87%), наличие на специализирани зали (80%), наличие на специализиран софтуер (73%) и работното пространство (67%). </w:t>
      </w:r>
      <w:r w:rsidR="00B8326E">
        <w:rPr>
          <w:rFonts w:ascii="Verdana" w:hAnsi="Verdana"/>
          <w:sz w:val="20"/>
          <w:szCs w:val="20"/>
          <w:lang w:val="bg-BG"/>
        </w:rPr>
        <w:t xml:space="preserve">В момента тече обществена поръчка за </w:t>
      </w:r>
      <w:proofErr w:type="spellStart"/>
      <w:r w:rsidR="00B8326E">
        <w:rPr>
          <w:rFonts w:ascii="Verdana" w:hAnsi="Verdana"/>
          <w:sz w:val="20"/>
          <w:szCs w:val="20"/>
          <w:lang w:val="bg-BG"/>
        </w:rPr>
        <w:t>досдтавка</w:t>
      </w:r>
      <w:proofErr w:type="spellEnd"/>
      <w:r w:rsidR="00B8326E">
        <w:rPr>
          <w:rFonts w:ascii="Verdana" w:hAnsi="Verdana"/>
          <w:sz w:val="20"/>
          <w:szCs w:val="20"/>
          <w:lang w:val="bg-BG"/>
        </w:rPr>
        <w:t xml:space="preserve"> на оборудване.</w:t>
      </w:r>
    </w:p>
    <w:p w:rsidR="00342903" w:rsidRDefault="00342903" w:rsidP="00342903">
      <w:pPr>
        <w:autoSpaceDE w:val="0"/>
        <w:autoSpaceDN w:val="0"/>
        <w:adjustRightInd w:val="0"/>
        <w:spacing w:before="120" w:after="120"/>
        <w:jc w:val="both"/>
        <w:rPr>
          <w:rFonts w:ascii="Verdana" w:hAnsi="Verdana"/>
          <w:sz w:val="20"/>
          <w:szCs w:val="20"/>
          <w:lang w:val="bg-BG"/>
        </w:rPr>
      </w:pPr>
      <w:r>
        <w:rPr>
          <w:rFonts w:ascii="Verdana" w:hAnsi="Verdana"/>
          <w:sz w:val="20"/>
          <w:szCs w:val="20"/>
          <w:lang w:val="bg-BG"/>
        </w:rPr>
        <w:t xml:space="preserve">Важен момент от техническата обезпеченост също е осигуряването на архив и </w:t>
      </w:r>
      <w:r w:rsidRPr="0026527D">
        <w:rPr>
          <w:rFonts w:ascii="Verdana" w:hAnsi="Verdana"/>
          <w:sz w:val="20"/>
          <w:szCs w:val="20"/>
          <w:lang w:val="bg-BG"/>
        </w:rPr>
        <w:t xml:space="preserve">служители, които да се занимават с </w:t>
      </w:r>
      <w:r w:rsidR="00E50641">
        <w:rPr>
          <w:rFonts w:ascii="Verdana" w:hAnsi="Verdana"/>
          <w:sz w:val="20"/>
          <w:szCs w:val="20"/>
          <w:lang w:val="bg-BG"/>
        </w:rPr>
        <w:t>архива</w:t>
      </w:r>
      <w:r w:rsidRPr="0026527D">
        <w:rPr>
          <w:rFonts w:ascii="Verdana" w:hAnsi="Verdana"/>
          <w:sz w:val="20"/>
          <w:szCs w:val="20"/>
          <w:lang w:val="bg-BG"/>
        </w:rPr>
        <w:t>.</w:t>
      </w:r>
    </w:p>
    <w:p w:rsidR="00342903" w:rsidRPr="00FE5189" w:rsidRDefault="00342903" w:rsidP="00342903">
      <w:pPr>
        <w:autoSpaceDE w:val="0"/>
        <w:autoSpaceDN w:val="0"/>
        <w:adjustRightInd w:val="0"/>
        <w:spacing w:before="120" w:after="120"/>
        <w:jc w:val="both"/>
        <w:rPr>
          <w:rFonts w:ascii="Verdana" w:eastAsia="Malgun Gothic" w:hAnsi="Verdana"/>
          <w:sz w:val="20"/>
          <w:szCs w:val="20"/>
          <w:lang w:val="bg-BG" w:eastAsia="ko-KR"/>
        </w:rPr>
      </w:pPr>
      <w:r w:rsidRPr="00173D95">
        <w:rPr>
          <w:rFonts w:ascii="Verdana" w:hAnsi="Verdana"/>
          <w:sz w:val="20"/>
          <w:szCs w:val="20"/>
          <w:lang w:val="bg-BG"/>
        </w:rPr>
        <w:t xml:space="preserve">По отношение на </w:t>
      </w:r>
      <w:r w:rsidRPr="00977A04">
        <w:rPr>
          <w:rFonts w:ascii="Verdana" w:hAnsi="Verdana"/>
          <w:color w:val="548DD4" w:themeColor="text2" w:themeTint="99"/>
          <w:sz w:val="20"/>
          <w:szCs w:val="20"/>
          <w:lang w:val="bg-BG"/>
        </w:rPr>
        <w:t>удовлетвореността</w:t>
      </w:r>
      <w:r w:rsidRPr="00173D95">
        <w:rPr>
          <w:rFonts w:ascii="Verdana" w:hAnsi="Verdana"/>
          <w:sz w:val="20"/>
          <w:szCs w:val="20"/>
          <w:lang w:val="bg-BG"/>
        </w:rPr>
        <w:t xml:space="preserve"> от работата, като цяло служителите  са </w:t>
      </w:r>
      <w:r>
        <w:rPr>
          <w:rFonts w:ascii="Verdana" w:hAnsi="Verdana"/>
          <w:sz w:val="20"/>
          <w:szCs w:val="20"/>
          <w:lang w:val="bg-BG"/>
        </w:rPr>
        <w:t>средно</w:t>
      </w:r>
      <w:r w:rsidRPr="00173D95">
        <w:rPr>
          <w:rFonts w:ascii="Verdana" w:hAnsi="Verdana"/>
          <w:sz w:val="20"/>
          <w:szCs w:val="20"/>
          <w:lang w:val="bg-BG"/>
        </w:rPr>
        <w:t xml:space="preserve"> удовлетворени от работата си в </w:t>
      </w:r>
      <w:r>
        <w:rPr>
          <w:rFonts w:ascii="Verdana" w:hAnsi="Verdana"/>
          <w:sz w:val="20"/>
          <w:szCs w:val="20"/>
          <w:lang w:val="bg-BG"/>
        </w:rPr>
        <w:t>ГДСФМОП</w:t>
      </w:r>
      <w:r w:rsidRPr="00173D95">
        <w:rPr>
          <w:rFonts w:ascii="Verdana" w:hAnsi="Verdana"/>
          <w:sz w:val="20"/>
          <w:szCs w:val="20"/>
          <w:lang w:val="bg-BG"/>
        </w:rPr>
        <w:t xml:space="preserve">. При скала на удовлетвореност от 1 до 5 където 5 показва най-висока удовлетвореност, а 1 най-ниска, средната на получените резултати е </w:t>
      </w:r>
      <w:r>
        <w:rPr>
          <w:rFonts w:ascii="Verdana" w:hAnsi="Verdana"/>
          <w:sz w:val="20"/>
          <w:szCs w:val="20"/>
          <w:lang w:val="bg-BG"/>
        </w:rPr>
        <w:t>3</w:t>
      </w:r>
      <w:r w:rsidRPr="00173D95">
        <w:rPr>
          <w:rFonts w:ascii="Verdana" w:hAnsi="Verdana"/>
          <w:sz w:val="20"/>
          <w:szCs w:val="20"/>
          <w:lang w:val="bg-BG"/>
        </w:rPr>
        <w:t>,</w:t>
      </w:r>
      <w:r>
        <w:rPr>
          <w:rFonts w:ascii="Verdana" w:hAnsi="Verdana"/>
          <w:sz w:val="20"/>
          <w:szCs w:val="20"/>
          <w:lang w:val="bg-BG"/>
        </w:rPr>
        <w:t>22</w:t>
      </w:r>
      <w:r w:rsidRPr="00173D95">
        <w:rPr>
          <w:rFonts w:ascii="Verdana" w:hAnsi="Verdana"/>
          <w:sz w:val="20"/>
          <w:szCs w:val="20"/>
          <w:lang w:val="bg-BG"/>
        </w:rPr>
        <w:t xml:space="preserve"> при медиана 3. Респондентите посочват, че са най-удовлетворени от взаимодействието с колегите (</w:t>
      </w:r>
      <w:r>
        <w:rPr>
          <w:rFonts w:ascii="Verdana" w:hAnsi="Verdana"/>
          <w:sz w:val="20"/>
          <w:szCs w:val="20"/>
          <w:lang w:val="bg-BG"/>
        </w:rPr>
        <w:t>55</w:t>
      </w:r>
      <w:r w:rsidRPr="00173D95">
        <w:rPr>
          <w:rFonts w:ascii="Verdana" w:hAnsi="Verdana"/>
          <w:sz w:val="20"/>
          <w:szCs w:val="20"/>
          <w:lang w:val="bg-BG"/>
        </w:rPr>
        <w:t xml:space="preserve"> %), </w:t>
      </w:r>
      <w:r>
        <w:rPr>
          <w:rFonts w:ascii="Verdana" w:hAnsi="Verdana"/>
          <w:sz w:val="20"/>
          <w:szCs w:val="20"/>
          <w:lang w:val="bg-BG"/>
        </w:rPr>
        <w:t xml:space="preserve">възможности за пътуване в чужбина </w:t>
      </w:r>
      <w:r w:rsidRPr="00173D95">
        <w:rPr>
          <w:rFonts w:ascii="Verdana" w:hAnsi="Verdana"/>
          <w:sz w:val="20"/>
          <w:szCs w:val="20"/>
          <w:lang w:val="bg-BG"/>
        </w:rPr>
        <w:t>(4</w:t>
      </w:r>
      <w:r>
        <w:rPr>
          <w:rFonts w:ascii="Verdana" w:hAnsi="Verdana"/>
          <w:sz w:val="20"/>
          <w:szCs w:val="20"/>
          <w:lang w:val="bg-BG"/>
        </w:rPr>
        <w:t>4</w:t>
      </w:r>
      <w:r w:rsidRPr="00173D95">
        <w:rPr>
          <w:rFonts w:ascii="Verdana" w:hAnsi="Verdana"/>
          <w:sz w:val="20"/>
          <w:szCs w:val="20"/>
          <w:lang w:val="bg-BG"/>
        </w:rPr>
        <w:t xml:space="preserve"> %) и </w:t>
      </w:r>
      <w:r>
        <w:rPr>
          <w:rFonts w:ascii="Verdana" w:hAnsi="Verdana"/>
          <w:sz w:val="20"/>
          <w:szCs w:val="20"/>
          <w:lang w:val="bg-BG"/>
        </w:rPr>
        <w:t>възможности за повишаване на квалификацията и професионална удовлетвореност (двете с по 40%). Н</w:t>
      </w:r>
      <w:r w:rsidRPr="00173D95">
        <w:rPr>
          <w:rFonts w:ascii="Verdana" w:hAnsi="Verdana"/>
          <w:sz w:val="20"/>
          <w:szCs w:val="20"/>
          <w:lang w:val="bg-BG"/>
        </w:rPr>
        <w:t>ай-неудовлетворени</w:t>
      </w:r>
      <w:r>
        <w:rPr>
          <w:rFonts w:ascii="Verdana" w:hAnsi="Verdana"/>
          <w:sz w:val="20"/>
          <w:szCs w:val="20"/>
          <w:lang w:val="bg-BG"/>
        </w:rPr>
        <w:t xml:space="preserve"> са</w:t>
      </w:r>
      <w:r w:rsidRPr="00173D95">
        <w:rPr>
          <w:rFonts w:ascii="Verdana" w:hAnsi="Verdana"/>
          <w:sz w:val="20"/>
          <w:szCs w:val="20"/>
          <w:lang w:val="bg-BG"/>
        </w:rPr>
        <w:t xml:space="preserve"> от </w:t>
      </w:r>
      <w:r>
        <w:rPr>
          <w:rFonts w:ascii="Verdana" w:hAnsi="Verdana"/>
          <w:sz w:val="20"/>
          <w:szCs w:val="20"/>
          <w:lang w:val="bg-BG"/>
        </w:rPr>
        <w:t xml:space="preserve"> социалния пакет и социалните придобивки (57%)</w:t>
      </w:r>
      <w:r w:rsidRPr="00173D95">
        <w:rPr>
          <w:rFonts w:ascii="Verdana" w:hAnsi="Verdana"/>
          <w:sz w:val="20"/>
          <w:szCs w:val="20"/>
          <w:lang w:val="bg-BG"/>
        </w:rPr>
        <w:t xml:space="preserve">. </w:t>
      </w:r>
      <w:r>
        <w:rPr>
          <w:rFonts w:ascii="Verdana" w:hAnsi="Verdana"/>
          <w:sz w:val="20"/>
          <w:szCs w:val="20"/>
          <w:lang w:val="bg-BG"/>
        </w:rPr>
        <w:t>Като цяло т</w:t>
      </w:r>
      <w:r>
        <w:rPr>
          <w:rFonts w:ascii="Verdana" w:eastAsia="Malgun Gothic" w:hAnsi="Verdana"/>
          <w:sz w:val="20"/>
          <w:szCs w:val="20"/>
          <w:lang w:val="bg-BG" w:eastAsia="ko-KR"/>
        </w:rPr>
        <w:t xml:space="preserve">екучеството сред служителите е много малко и не би следвало да създаде проблем при изпълнението на ОПНОИР 2014 – 2020.  </w:t>
      </w:r>
    </w:p>
    <w:p w:rsidR="00342903" w:rsidRPr="00173D95" w:rsidRDefault="00342903" w:rsidP="00342903">
      <w:pPr>
        <w:pStyle w:val="BodyText"/>
        <w:widowControl w:val="0"/>
        <w:tabs>
          <w:tab w:val="left" w:pos="0"/>
          <w:tab w:val="right" w:pos="9214"/>
        </w:tabs>
        <w:spacing w:before="120"/>
        <w:jc w:val="both"/>
        <w:rPr>
          <w:rFonts w:ascii="Verdana" w:hAnsi="Verdana"/>
          <w:bCs/>
          <w:color w:val="000000"/>
          <w:sz w:val="20"/>
          <w:szCs w:val="20"/>
        </w:rPr>
      </w:pPr>
      <w:r w:rsidRPr="00173D95">
        <w:rPr>
          <w:rFonts w:ascii="Verdana" w:hAnsi="Verdana"/>
          <w:bCs/>
          <w:color w:val="000000"/>
          <w:sz w:val="20"/>
          <w:szCs w:val="20"/>
        </w:rPr>
        <w:t>На базата на гор</w:t>
      </w:r>
      <w:r>
        <w:rPr>
          <w:rFonts w:ascii="Verdana" w:hAnsi="Verdana"/>
          <w:bCs/>
          <w:color w:val="000000"/>
          <w:sz w:val="20"/>
          <w:szCs w:val="20"/>
        </w:rPr>
        <w:t>еизложеното към</w:t>
      </w:r>
      <w:r w:rsidRPr="00173D95">
        <w:rPr>
          <w:rFonts w:ascii="Verdana" w:hAnsi="Verdana"/>
          <w:bCs/>
          <w:color w:val="000000"/>
          <w:sz w:val="20"/>
          <w:szCs w:val="20"/>
        </w:rPr>
        <w:t xml:space="preserve"> настоящия момент се очертават следните основни </w:t>
      </w:r>
      <w:r>
        <w:rPr>
          <w:rFonts w:ascii="Verdana" w:hAnsi="Verdana"/>
          <w:bCs/>
          <w:color w:val="000000"/>
          <w:sz w:val="20"/>
          <w:szCs w:val="20"/>
        </w:rPr>
        <w:t>задачи</w:t>
      </w:r>
      <w:r w:rsidRPr="00173D95">
        <w:rPr>
          <w:rFonts w:ascii="Verdana" w:hAnsi="Verdana"/>
          <w:bCs/>
          <w:color w:val="000000"/>
          <w:sz w:val="20"/>
          <w:szCs w:val="20"/>
        </w:rPr>
        <w:t>:</w:t>
      </w:r>
    </w:p>
    <w:p w:rsidR="00342903" w:rsidRPr="00F267D4" w:rsidRDefault="00342903" w:rsidP="006861B0">
      <w:pPr>
        <w:pStyle w:val="BodyText"/>
        <w:widowControl w:val="0"/>
        <w:numPr>
          <w:ilvl w:val="0"/>
          <w:numId w:val="74"/>
        </w:numPr>
        <w:tabs>
          <w:tab w:val="left" w:pos="0"/>
          <w:tab w:val="right" w:pos="9214"/>
        </w:tabs>
        <w:spacing w:before="120"/>
        <w:jc w:val="both"/>
        <w:rPr>
          <w:rFonts w:ascii="Verdana" w:hAnsi="Verdana"/>
          <w:sz w:val="20"/>
          <w:szCs w:val="20"/>
        </w:rPr>
      </w:pPr>
      <w:r w:rsidRPr="004E158A">
        <w:rPr>
          <w:rFonts w:ascii="Verdana" w:hAnsi="Verdana"/>
          <w:bCs/>
          <w:color w:val="000000"/>
          <w:sz w:val="20"/>
          <w:szCs w:val="20"/>
        </w:rPr>
        <w:t>Увеличаване на човешките ресурси в</w:t>
      </w:r>
      <w:r>
        <w:rPr>
          <w:rFonts w:ascii="Verdana" w:hAnsi="Verdana"/>
          <w:bCs/>
          <w:color w:val="000000"/>
          <w:sz w:val="20"/>
          <w:szCs w:val="20"/>
        </w:rPr>
        <w:t xml:space="preserve"> отдели „Програмиране и договаряне“ и „Финансово планиране, счетоводна отчетност и плащания“;</w:t>
      </w:r>
    </w:p>
    <w:p w:rsidR="00342903" w:rsidRPr="004E158A" w:rsidRDefault="00342903" w:rsidP="006861B0">
      <w:pPr>
        <w:pStyle w:val="BodyText"/>
        <w:widowControl w:val="0"/>
        <w:numPr>
          <w:ilvl w:val="0"/>
          <w:numId w:val="74"/>
        </w:numPr>
        <w:tabs>
          <w:tab w:val="left" w:pos="0"/>
          <w:tab w:val="right" w:pos="9214"/>
        </w:tabs>
        <w:spacing w:before="120"/>
        <w:jc w:val="both"/>
        <w:rPr>
          <w:rFonts w:ascii="Verdana" w:hAnsi="Verdana"/>
          <w:sz w:val="20"/>
          <w:szCs w:val="20"/>
        </w:rPr>
      </w:pPr>
      <w:r>
        <w:rPr>
          <w:rFonts w:ascii="Verdana" w:hAnsi="Verdana"/>
          <w:bCs/>
          <w:color w:val="000000"/>
          <w:sz w:val="20"/>
          <w:szCs w:val="20"/>
        </w:rPr>
        <w:t>Разработване на подробен анализ на нуждите от обучение</w:t>
      </w:r>
      <w:r w:rsidR="00960070">
        <w:rPr>
          <w:rFonts w:ascii="Verdana" w:hAnsi="Verdana"/>
          <w:bCs/>
          <w:color w:val="000000"/>
          <w:sz w:val="20"/>
          <w:szCs w:val="20"/>
        </w:rPr>
        <w:t xml:space="preserve"> във връзка с новата роля на дирекцията</w:t>
      </w:r>
      <w:r>
        <w:rPr>
          <w:rFonts w:ascii="Verdana" w:hAnsi="Verdana"/>
          <w:bCs/>
          <w:color w:val="000000"/>
          <w:sz w:val="20"/>
          <w:szCs w:val="20"/>
        </w:rPr>
        <w:t>;</w:t>
      </w:r>
    </w:p>
    <w:p w:rsidR="00342903" w:rsidRDefault="00342903" w:rsidP="006861B0">
      <w:pPr>
        <w:pStyle w:val="BodyText"/>
        <w:widowControl w:val="0"/>
        <w:numPr>
          <w:ilvl w:val="0"/>
          <w:numId w:val="74"/>
        </w:numPr>
        <w:tabs>
          <w:tab w:val="left" w:pos="0"/>
          <w:tab w:val="right" w:pos="9214"/>
        </w:tabs>
        <w:spacing w:before="120"/>
        <w:jc w:val="both"/>
        <w:rPr>
          <w:rFonts w:ascii="Verdana" w:hAnsi="Verdana"/>
          <w:sz w:val="20"/>
          <w:szCs w:val="20"/>
        </w:rPr>
      </w:pPr>
      <w:r>
        <w:rPr>
          <w:rFonts w:ascii="Verdana" w:hAnsi="Verdana"/>
          <w:sz w:val="20"/>
          <w:szCs w:val="20"/>
        </w:rPr>
        <w:t>Възможно най-бързо стартиране на обучения свързани с новите отговорности като УО;</w:t>
      </w:r>
    </w:p>
    <w:p w:rsidR="00342903" w:rsidRPr="00EC1CFE" w:rsidRDefault="00342903" w:rsidP="006861B0">
      <w:pPr>
        <w:pStyle w:val="BodyText"/>
        <w:widowControl w:val="0"/>
        <w:numPr>
          <w:ilvl w:val="0"/>
          <w:numId w:val="74"/>
        </w:numPr>
        <w:tabs>
          <w:tab w:val="left" w:pos="0"/>
          <w:tab w:val="right" w:pos="9214"/>
        </w:tabs>
        <w:spacing w:before="120"/>
        <w:jc w:val="both"/>
        <w:rPr>
          <w:rFonts w:ascii="Verdana" w:hAnsi="Verdana"/>
          <w:sz w:val="20"/>
          <w:szCs w:val="20"/>
        </w:rPr>
      </w:pPr>
      <w:r w:rsidRPr="00EC1CFE">
        <w:rPr>
          <w:rFonts w:ascii="Verdana" w:hAnsi="Verdana"/>
          <w:sz w:val="20"/>
          <w:szCs w:val="20"/>
        </w:rPr>
        <w:lastRenderedPageBreak/>
        <w:t>Премахване на предварителния контрол на процедурите за избор на изпълнител по договорите на</w:t>
      </w:r>
      <w:r w:rsidR="00B8326E">
        <w:rPr>
          <w:rFonts w:ascii="Verdana" w:hAnsi="Verdana"/>
          <w:sz w:val="20"/>
          <w:szCs w:val="20"/>
        </w:rPr>
        <w:t xml:space="preserve"> </w:t>
      </w:r>
      <w:r w:rsidR="00960070">
        <w:rPr>
          <w:rFonts w:ascii="Verdana" w:hAnsi="Verdana"/>
          <w:sz w:val="20"/>
          <w:szCs w:val="20"/>
        </w:rPr>
        <w:t>бенефициентите</w:t>
      </w:r>
      <w:r w:rsidRPr="00EC1CFE">
        <w:rPr>
          <w:rFonts w:ascii="Verdana" w:hAnsi="Verdana"/>
          <w:sz w:val="20"/>
          <w:szCs w:val="20"/>
        </w:rPr>
        <w:t xml:space="preserve"> </w:t>
      </w:r>
      <w:r w:rsidR="00B8326E">
        <w:rPr>
          <w:rFonts w:ascii="Verdana" w:hAnsi="Verdana"/>
          <w:sz w:val="20"/>
          <w:szCs w:val="20"/>
        </w:rPr>
        <w:t>или въвеждане на праг</w:t>
      </w:r>
      <w:r w:rsidR="00960070">
        <w:rPr>
          <w:rFonts w:ascii="Verdana" w:hAnsi="Verdana"/>
          <w:sz w:val="20"/>
          <w:szCs w:val="20"/>
        </w:rPr>
        <w:t>,</w:t>
      </w:r>
      <w:r w:rsidR="00B8326E">
        <w:rPr>
          <w:rFonts w:ascii="Verdana" w:hAnsi="Verdana"/>
          <w:sz w:val="20"/>
          <w:szCs w:val="20"/>
        </w:rPr>
        <w:t xml:space="preserve"> над който да се осъществява предварителен контрол</w:t>
      </w:r>
      <w:r w:rsidRPr="00EC1CFE">
        <w:rPr>
          <w:rFonts w:ascii="Verdana" w:hAnsi="Verdana"/>
          <w:sz w:val="20"/>
          <w:szCs w:val="20"/>
        </w:rPr>
        <w:t>;</w:t>
      </w:r>
    </w:p>
    <w:p w:rsidR="0026362F" w:rsidRPr="00B45B4F" w:rsidRDefault="00342903" w:rsidP="00342903">
      <w:pPr>
        <w:pStyle w:val="BodyText"/>
        <w:widowControl w:val="0"/>
        <w:tabs>
          <w:tab w:val="left" w:pos="0"/>
          <w:tab w:val="right" w:pos="9214"/>
        </w:tabs>
        <w:spacing w:before="120" w:line="276" w:lineRule="auto"/>
        <w:jc w:val="both"/>
        <w:rPr>
          <w:rFonts w:ascii="Verdana" w:hAnsi="Verdana"/>
          <w:bCs/>
          <w:color w:val="000000"/>
          <w:sz w:val="20"/>
          <w:szCs w:val="20"/>
        </w:rPr>
      </w:pPr>
      <w:r>
        <w:rPr>
          <w:rFonts w:ascii="Verdana" w:hAnsi="Verdana"/>
          <w:sz w:val="20"/>
          <w:szCs w:val="20"/>
        </w:rPr>
        <w:t>Осигуряване на необходимите технически средства за управление и изпълнение на програмата.</w:t>
      </w:r>
    </w:p>
    <w:tbl>
      <w:tblPr>
        <w:tblW w:w="9090" w:type="dxa"/>
        <w:tblInd w:w="108" w:type="dxa"/>
        <w:tblBorders>
          <w:top w:val="single" w:sz="4" w:space="0" w:color="auto"/>
          <w:bottom w:val="single" w:sz="4" w:space="0" w:color="auto"/>
        </w:tblBorders>
        <w:tblLook w:val="04A0" w:firstRow="1" w:lastRow="0" w:firstColumn="1" w:lastColumn="0" w:noHBand="0" w:noVBand="1"/>
      </w:tblPr>
      <w:tblGrid>
        <w:gridCol w:w="531"/>
        <w:gridCol w:w="8559"/>
      </w:tblGrid>
      <w:tr w:rsidR="00B67535" w:rsidRPr="005757F7" w:rsidTr="0054272A">
        <w:tc>
          <w:tcPr>
            <w:tcW w:w="531" w:type="dxa"/>
            <w:vAlign w:val="center"/>
          </w:tcPr>
          <w:p w:rsidR="00B67535" w:rsidRPr="005757F7" w:rsidRDefault="00B67535" w:rsidP="002F5309">
            <w:pPr>
              <w:pStyle w:val="BodyText"/>
              <w:spacing w:before="120" w:line="276" w:lineRule="auto"/>
              <w:jc w:val="center"/>
              <w:rPr>
                <w:rFonts w:ascii="Verdana" w:hAnsi="Verdana"/>
                <w:color w:val="548DD4"/>
                <w:sz w:val="36"/>
                <w:szCs w:val="36"/>
              </w:rPr>
            </w:pPr>
            <w:r w:rsidRPr="005757F7">
              <w:rPr>
                <w:rFonts w:ascii="Verdana" w:hAnsi="Verdana"/>
                <w:color w:val="548DD4"/>
                <w:sz w:val="36"/>
                <w:szCs w:val="36"/>
              </w:rPr>
              <w:t>?</w:t>
            </w:r>
          </w:p>
        </w:tc>
        <w:tc>
          <w:tcPr>
            <w:tcW w:w="8559" w:type="dxa"/>
            <w:shd w:val="clear" w:color="auto" w:fill="B8CCE4"/>
          </w:tcPr>
          <w:p w:rsidR="00B67535" w:rsidRPr="005757F7" w:rsidRDefault="00B67535" w:rsidP="0054272A">
            <w:pPr>
              <w:autoSpaceDE w:val="0"/>
              <w:autoSpaceDN w:val="0"/>
              <w:adjustRightInd w:val="0"/>
              <w:spacing w:before="120" w:after="120"/>
              <w:rPr>
                <w:rFonts w:ascii="Verdana" w:hAnsi="Verdana"/>
                <w:sz w:val="20"/>
                <w:szCs w:val="20"/>
                <w:lang w:val="bg-BG"/>
              </w:rPr>
            </w:pPr>
            <w:r w:rsidRPr="005757F7">
              <w:rPr>
                <w:rFonts w:ascii="Verdana" w:hAnsi="Verdana"/>
                <w:sz w:val="20"/>
                <w:szCs w:val="20"/>
                <w:lang w:val="bg-BG"/>
              </w:rPr>
              <w:t>Капацитет на бенефициентите на програмата и предвидените мерки за неговото укрепване</w:t>
            </w:r>
          </w:p>
        </w:tc>
      </w:tr>
    </w:tbl>
    <w:p w:rsidR="00342903" w:rsidRPr="00557212" w:rsidRDefault="00342903" w:rsidP="00342903">
      <w:pPr>
        <w:autoSpaceDE w:val="0"/>
        <w:autoSpaceDN w:val="0"/>
        <w:adjustRightInd w:val="0"/>
        <w:spacing w:before="120" w:after="120"/>
        <w:jc w:val="both"/>
        <w:rPr>
          <w:rFonts w:ascii="Verdana" w:hAnsi="Verdana"/>
          <w:sz w:val="20"/>
          <w:szCs w:val="20"/>
          <w:lang w:val="bg-BG"/>
        </w:rPr>
      </w:pPr>
      <w:r w:rsidRPr="00173D95">
        <w:rPr>
          <w:rFonts w:ascii="Verdana" w:hAnsi="Verdana"/>
          <w:sz w:val="20"/>
          <w:szCs w:val="20"/>
          <w:lang w:val="bg-BG"/>
        </w:rPr>
        <w:t>Капацитетът на бенефициентите за разработване, изпълнение и отчитане на проектите е от ключово значение за успешното изпълнение на ОП</w:t>
      </w:r>
      <w:r>
        <w:rPr>
          <w:rFonts w:ascii="Verdana" w:hAnsi="Verdana"/>
          <w:sz w:val="20"/>
          <w:szCs w:val="20"/>
          <w:lang w:val="bg-BG"/>
        </w:rPr>
        <w:t>НОИР</w:t>
      </w:r>
      <w:r w:rsidRPr="00173D95">
        <w:rPr>
          <w:rFonts w:ascii="Verdana" w:hAnsi="Verdana"/>
          <w:sz w:val="20"/>
          <w:szCs w:val="20"/>
          <w:lang w:val="bg-BG"/>
        </w:rPr>
        <w:t xml:space="preserve"> 2014-2020</w:t>
      </w:r>
      <w:r>
        <w:rPr>
          <w:rFonts w:ascii="Verdana" w:hAnsi="Verdana"/>
          <w:sz w:val="20"/>
          <w:szCs w:val="20"/>
          <w:lang w:val="bg-BG"/>
        </w:rPr>
        <w:t xml:space="preserve"> г. </w:t>
      </w:r>
      <w:r w:rsidRPr="00557212">
        <w:rPr>
          <w:rFonts w:ascii="Verdana" w:hAnsi="Verdana"/>
          <w:sz w:val="20"/>
          <w:szCs w:val="20"/>
          <w:lang w:val="bg-BG"/>
        </w:rPr>
        <w:t>Имено поради тази причина Споразумението за партньорство подчертава, че е необходимо по</w:t>
      </w:r>
      <w:r>
        <w:rPr>
          <w:rFonts w:ascii="Verdana" w:hAnsi="Verdana"/>
          <w:sz w:val="20"/>
          <w:szCs w:val="20"/>
          <w:lang w:val="bg-BG"/>
        </w:rPr>
        <w:t>-</w:t>
      </w:r>
      <w:r w:rsidRPr="00557212">
        <w:rPr>
          <w:rFonts w:ascii="Verdana" w:hAnsi="Verdana"/>
          <w:sz w:val="20"/>
          <w:szCs w:val="20"/>
          <w:lang w:val="bg-BG"/>
        </w:rPr>
        <w:t>нататъшно укрепване на капацитета на бенефициентите чрез добрите практики, установени през периода 2007–2013 г. и въвеждане на нови мерки и методи през новия програмен период с цел постигане на нови знания и компетентности.</w:t>
      </w:r>
      <w:r w:rsidR="00B8326E">
        <w:rPr>
          <w:rFonts w:ascii="Verdana" w:hAnsi="Verdana"/>
          <w:sz w:val="20"/>
          <w:szCs w:val="20"/>
          <w:lang w:val="bg-BG"/>
        </w:rPr>
        <w:t xml:space="preserve"> </w:t>
      </w:r>
      <w:r w:rsidRPr="00557212">
        <w:rPr>
          <w:rFonts w:ascii="Verdana" w:hAnsi="Verdana"/>
          <w:sz w:val="20"/>
          <w:szCs w:val="20"/>
          <w:lang w:val="bg-BG"/>
        </w:rPr>
        <w:t>Важно е също така да се гарантира устойчивост на изградения вече капацитет и да се вложат усилия в преодоляване на съществуващите все още проблеми и слабости.</w:t>
      </w:r>
    </w:p>
    <w:p w:rsidR="00342903" w:rsidRPr="00173D95" w:rsidRDefault="00342903" w:rsidP="00342903">
      <w:pPr>
        <w:spacing w:before="120" w:after="120"/>
        <w:jc w:val="both"/>
        <w:rPr>
          <w:rFonts w:ascii="Verdana" w:hAnsi="Verdana"/>
          <w:bCs/>
          <w:color w:val="000000"/>
          <w:spacing w:val="-9"/>
          <w:sz w:val="20"/>
          <w:szCs w:val="20"/>
          <w:lang w:val="bg-BG"/>
        </w:rPr>
      </w:pPr>
      <w:r w:rsidRPr="00173D95">
        <w:rPr>
          <w:rFonts w:ascii="Verdana" w:hAnsi="Verdana"/>
          <w:bCs/>
          <w:color w:val="000000"/>
          <w:spacing w:val="-9"/>
          <w:sz w:val="20"/>
          <w:szCs w:val="20"/>
          <w:lang w:val="bg-BG"/>
        </w:rPr>
        <w:t>Потенциалните бенефициенти на ОП</w:t>
      </w:r>
      <w:r>
        <w:rPr>
          <w:rFonts w:ascii="Verdana" w:hAnsi="Verdana"/>
          <w:bCs/>
          <w:color w:val="000000"/>
          <w:spacing w:val="-9"/>
          <w:sz w:val="20"/>
          <w:szCs w:val="20"/>
          <w:lang w:val="bg-BG"/>
        </w:rPr>
        <w:t xml:space="preserve">НОИР </w:t>
      </w:r>
      <w:r w:rsidRPr="00173D95">
        <w:rPr>
          <w:rFonts w:ascii="Verdana" w:hAnsi="Verdana"/>
          <w:bCs/>
          <w:color w:val="000000"/>
          <w:spacing w:val="-9"/>
          <w:sz w:val="20"/>
          <w:szCs w:val="20"/>
          <w:lang w:val="bg-BG"/>
        </w:rPr>
        <w:t>2014 – 2020</w:t>
      </w:r>
      <w:r>
        <w:rPr>
          <w:rFonts w:ascii="Verdana" w:hAnsi="Verdana"/>
          <w:bCs/>
          <w:color w:val="000000"/>
          <w:spacing w:val="-9"/>
          <w:sz w:val="20"/>
          <w:szCs w:val="20"/>
          <w:lang w:val="bg-BG"/>
        </w:rPr>
        <w:t xml:space="preserve"> г.</w:t>
      </w:r>
      <w:r w:rsidRPr="00173D95">
        <w:rPr>
          <w:rFonts w:ascii="Verdana" w:hAnsi="Verdana"/>
          <w:bCs/>
          <w:color w:val="000000"/>
          <w:spacing w:val="-9"/>
          <w:sz w:val="20"/>
          <w:szCs w:val="20"/>
          <w:lang w:val="bg-BG"/>
        </w:rPr>
        <w:t xml:space="preserve"> са разпределени в няколко основни групи:</w:t>
      </w:r>
    </w:p>
    <w:p w:rsidR="00342903" w:rsidRPr="00DA609F" w:rsidRDefault="00342903" w:rsidP="006861B0">
      <w:pPr>
        <w:pStyle w:val="ListParagraph"/>
        <w:numPr>
          <w:ilvl w:val="0"/>
          <w:numId w:val="77"/>
        </w:numPr>
        <w:spacing w:before="120" w:after="120"/>
        <w:jc w:val="both"/>
        <w:rPr>
          <w:rFonts w:ascii="Verdana" w:eastAsia="Times New Roman" w:hAnsi="Verdana"/>
          <w:sz w:val="20"/>
          <w:szCs w:val="20"/>
          <w:lang w:val="bg-BG" w:eastAsia="ja-JP"/>
        </w:rPr>
      </w:pPr>
      <w:r w:rsidRPr="00DA609F">
        <w:rPr>
          <w:rFonts w:ascii="Verdana" w:hAnsi="Verdana"/>
          <w:bCs/>
          <w:color w:val="000000"/>
          <w:spacing w:val="-9"/>
          <w:sz w:val="20"/>
          <w:szCs w:val="20"/>
          <w:lang w:val="bg-BG"/>
        </w:rPr>
        <w:t xml:space="preserve">Държавни институции </w:t>
      </w:r>
    </w:p>
    <w:p w:rsidR="00342903" w:rsidRPr="004E158A" w:rsidRDefault="00342903" w:rsidP="006861B0">
      <w:pPr>
        <w:pStyle w:val="ListParagraph"/>
        <w:numPr>
          <w:ilvl w:val="0"/>
          <w:numId w:val="77"/>
        </w:numPr>
        <w:spacing w:before="120" w:after="120"/>
        <w:jc w:val="both"/>
        <w:rPr>
          <w:rFonts w:ascii="Verdana" w:hAnsi="Verdana"/>
          <w:bCs/>
          <w:color w:val="000000"/>
          <w:spacing w:val="-9"/>
          <w:sz w:val="20"/>
          <w:szCs w:val="20"/>
          <w:lang w:val="bg-BG"/>
        </w:rPr>
      </w:pPr>
      <w:r w:rsidRPr="004E158A">
        <w:rPr>
          <w:rFonts w:ascii="Verdana" w:hAnsi="Verdana"/>
          <w:bCs/>
          <w:color w:val="000000"/>
          <w:spacing w:val="-9"/>
          <w:sz w:val="20"/>
          <w:szCs w:val="20"/>
          <w:lang w:val="bg-BG"/>
        </w:rPr>
        <w:t xml:space="preserve">Научни организации (включително БАН и ССА), научни институти, висши училища и/или техни основни звена, </w:t>
      </w:r>
    </w:p>
    <w:p w:rsidR="00342903" w:rsidRPr="004E158A" w:rsidRDefault="00342903" w:rsidP="006861B0">
      <w:pPr>
        <w:pStyle w:val="ListParagraph"/>
        <w:numPr>
          <w:ilvl w:val="0"/>
          <w:numId w:val="77"/>
        </w:numPr>
        <w:spacing w:before="120" w:after="120"/>
        <w:jc w:val="both"/>
        <w:rPr>
          <w:rFonts w:ascii="Verdana" w:hAnsi="Verdana"/>
          <w:bCs/>
          <w:color w:val="000000"/>
          <w:spacing w:val="-9"/>
          <w:sz w:val="20"/>
          <w:szCs w:val="20"/>
          <w:lang w:val="bg-BG"/>
        </w:rPr>
      </w:pPr>
      <w:r w:rsidRPr="004E158A">
        <w:rPr>
          <w:rFonts w:ascii="Verdana" w:hAnsi="Verdana"/>
          <w:bCs/>
          <w:color w:val="000000"/>
          <w:spacing w:val="-9"/>
          <w:sz w:val="20"/>
          <w:szCs w:val="20"/>
          <w:lang w:val="bg-BG"/>
        </w:rPr>
        <w:t>Детски градини, училища, читалища, ресурсни центрове</w:t>
      </w:r>
    </w:p>
    <w:p w:rsidR="00342903" w:rsidRPr="004E158A" w:rsidRDefault="00342903" w:rsidP="006861B0">
      <w:pPr>
        <w:pStyle w:val="ListParagraph"/>
        <w:numPr>
          <w:ilvl w:val="0"/>
          <w:numId w:val="77"/>
        </w:numPr>
        <w:spacing w:before="120" w:after="120"/>
        <w:jc w:val="both"/>
        <w:rPr>
          <w:rFonts w:ascii="Verdana" w:hAnsi="Verdana"/>
          <w:bCs/>
          <w:color w:val="000000"/>
          <w:spacing w:val="-9"/>
          <w:sz w:val="20"/>
          <w:szCs w:val="20"/>
          <w:lang w:val="bg-BG"/>
        </w:rPr>
      </w:pPr>
      <w:r w:rsidRPr="004E158A">
        <w:rPr>
          <w:rFonts w:ascii="Verdana" w:hAnsi="Verdana"/>
          <w:bCs/>
          <w:color w:val="000000"/>
          <w:spacing w:val="-9"/>
          <w:sz w:val="20"/>
          <w:szCs w:val="20"/>
          <w:lang w:val="bg-BG"/>
        </w:rPr>
        <w:t>Общини;</w:t>
      </w:r>
    </w:p>
    <w:p w:rsidR="00342903" w:rsidRPr="004E158A" w:rsidRDefault="00342903" w:rsidP="006861B0">
      <w:pPr>
        <w:pStyle w:val="ListParagraph"/>
        <w:numPr>
          <w:ilvl w:val="0"/>
          <w:numId w:val="77"/>
        </w:numPr>
        <w:spacing w:before="120" w:after="120"/>
        <w:jc w:val="both"/>
        <w:rPr>
          <w:rFonts w:ascii="Verdana" w:hAnsi="Verdana"/>
          <w:bCs/>
          <w:color w:val="000000"/>
          <w:spacing w:val="-9"/>
          <w:sz w:val="20"/>
          <w:szCs w:val="20"/>
          <w:lang w:val="bg-BG"/>
        </w:rPr>
      </w:pPr>
      <w:r w:rsidRPr="004E158A">
        <w:rPr>
          <w:rFonts w:ascii="Verdana" w:hAnsi="Verdana"/>
          <w:bCs/>
          <w:color w:val="000000"/>
          <w:spacing w:val="-9"/>
          <w:sz w:val="20"/>
          <w:szCs w:val="20"/>
          <w:lang w:val="bg-BG"/>
        </w:rPr>
        <w:t>Бизнес;</w:t>
      </w:r>
    </w:p>
    <w:p w:rsidR="00342903" w:rsidRPr="004E158A" w:rsidRDefault="00342903" w:rsidP="006861B0">
      <w:pPr>
        <w:pStyle w:val="ListParagraph"/>
        <w:numPr>
          <w:ilvl w:val="0"/>
          <w:numId w:val="77"/>
        </w:numPr>
        <w:spacing w:before="120" w:after="120"/>
        <w:jc w:val="both"/>
        <w:rPr>
          <w:rFonts w:ascii="Verdana" w:hAnsi="Verdana"/>
          <w:bCs/>
          <w:color w:val="000000"/>
          <w:spacing w:val="-9"/>
          <w:sz w:val="20"/>
          <w:szCs w:val="20"/>
          <w:lang w:val="bg-BG"/>
        </w:rPr>
      </w:pPr>
      <w:r w:rsidRPr="004E158A">
        <w:rPr>
          <w:rFonts w:ascii="Verdana" w:hAnsi="Verdana"/>
          <w:bCs/>
          <w:color w:val="000000"/>
          <w:spacing w:val="-9"/>
          <w:sz w:val="20"/>
          <w:szCs w:val="20"/>
          <w:lang w:val="bg-BG"/>
        </w:rPr>
        <w:t>Неправителствени организации.</w:t>
      </w:r>
    </w:p>
    <w:p w:rsidR="00342903" w:rsidRPr="00173D95" w:rsidRDefault="00342903" w:rsidP="00342903">
      <w:pPr>
        <w:spacing w:before="120" w:after="120"/>
        <w:jc w:val="both"/>
        <w:rPr>
          <w:rFonts w:ascii="Verdana" w:hAnsi="Verdana"/>
          <w:bCs/>
          <w:color w:val="000000"/>
          <w:spacing w:val="-9"/>
          <w:sz w:val="20"/>
          <w:szCs w:val="20"/>
          <w:lang w:val="bg-BG"/>
        </w:rPr>
      </w:pPr>
      <w:r w:rsidRPr="00173D95">
        <w:rPr>
          <w:rFonts w:ascii="Verdana" w:hAnsi="Verdana"/>
          <w:bCs/>
          <w:color w:val="000000"/>
          <w:spacing w:val="-9"/>
          <w:sz w:val="20"/>
          <w:szCs w:val="20"/>
          <w:lang w:val="bg-BG"/>
        </w:rPr>
        <w:t xml:space="preserve">Всяка от изброените групи бенефициенти има своите предизвикателства при усвояването на предоставените средства, </w:t>
      </w:r>
      <w:r>
        <w:rPr>
          <w:rFonts w:ascii="Verdana" w:hAnsi="Verdana"/>
          <w:bCs/>
          <w:color w:val="000000"/>
          <w:spacing w:val="-9"/>
          <w:sz w:val="20"/>
          <w:szCs w:val="20"/>
          <w:lang w:val="bg-BG"/>
        </w:rPr>
        <w:t>има</w:t>
      </w:r>
      <w:r w:rsidRPr="00173D95">
        <w:rPr>
          <w:rFonts w:ascii="Verdana" w:hAnsi="Verdana"/>
          <w:bCs/>
          <w:color w:val="000000"/>
          <w:spacing w:val="-9"/>
          <w:sz w:val="20"/>
          <w:szCs w:val="20"/>
          <w:lang w:val="bg-BG"/>
        </w:rPr>
        <w:t xml:space="preserve"> и общи проблеми, свързани с капацитета им да подготвят и изпълняват проекти. </w:t>
      </w:r>
      <w:r>
        <w:rPr>
          <w:rFonts w:ascii="Verdana" w:hAnsi="Verdana"/>
          <w:bCs/>
          <w:color w:val="000000"/>
          <w:spacing w:val="-9"/>
          <w:sz w:val="20"/>
          <w:szCs w:val="20"/>
          <w:lang w:val="bg-BG"/>
        </w:rPr>
        <w:t>Специфичните особености на всяка от групите бенефициенти</w:t>
      </w:r>
      <w:r w:rsidRPr="00173D95">
        <w:rPr>
          <w:rFonts w:ascii="Verdana" w:hAnsi="Verdana"/>
          <w:bCs/>
          <w:color w:val="000000"/>
          <w:spacing w:val="-9"/>
          <w:sz w:val="20"/>
          <w:szCs w:val="20"/>
          <w:lang w:val="bg-BG"/>
        </w:rPr>
        <w:t xml:space="preserve"> са изложени на кратко по-долу:</w:t>
      </w:r>
    </w:p>
    <w:p w:rsidR="00342903" w:rsidRDefault="00342903" w:rsidP="00342903">
      <w:pPr>
        <w:spacing w:before="120" w:after="120"/>
        <w:jc w:val="both"/>
        <w:rPr>
          <w:rFonts w:ascii="Verdana" w:hAnsi="Verdana"/>
          <w:bCs/>
          <w:color w:val="000000"/>
          <w:spacing w:val="-9"/>
          <w:sz w:val="20"/>
          <w:szCs w:val="20"/>
          <w:lang w:val="bg-BG"/>
        </w:rPr>
      </w:pPr>
      <w:r w:rsidRPr="00173D95">
        <w:rPr>
          <w:rFonts w:ascii="Verdana" w:hAnsi="Verdana"/>
          <w:b/>
          <w:bCs/>
          <w:color w:val="548DD4" w:themeColor="text2" w:themeTint="99"/>
          <w:spacing w:val="-9"/>
          <w:sz w:val="20"/>
          <w:szCs w:val="20"/>
          <w:lang w:val="bg-BG"/>
        </w:rPr>
        <w:t>Държавни институции</w:t>
      </w:r>
      <w:r w:rsidRPr="00173D95">
        <w:rPr>
          <w:rFonts w:ascii="Verdana" w:hAnsi="Verdana"/>
          <w:bCs/>
          <w:color w:val="000000"/>
          <w:spacing w:val="-9"/>
          <w:sz w:val="20"/>
          <w:szCs w:val="20"/>
          <w:lang w:val="bg-BG"/>
        </w:rPr>
        <w:t xml:space="preserve"> – недостатъчни умения за планиране и идентифициране на мерките и политиките, които се нуждаят от подкрепа по оперативната програма</w:t>
      </w:r>
      <w:r>
        <w:rPr>
          <w:rFonts w:ascii="Verdana" w:hAnsi="Verdana"/>
          <w:bCs/>
          <w:color w:val="000000"/>
          <w:spacing w:val="-9"/>
          <w:sz w:val="20"/>
          <w:szCs w:val="20"/>
          <w:lang w:val="bg-BG"/>
        </w:rPr>
        <w:t>;</w:t>
      </w:r>
      <w:r w:rsidRPr="00173D95">
        <w:rPr>
          <w:rFonts w:ascii="Verdana" w:hAnsi="Verdana"/>
          <w:bCs/>
          <w:color w:val="000000"/>
          <w:spacing w:val="-9"/>
          <w:sz w:val="20"/>
          <w:szCs w:val="20"/>
          <w:lang w:val="bg-BG"/>
        </w:rPr>
        <w:t xml:space="preserve"> липса на умения за подготовка на проекти, което води до нереалистично избрани или </w:t>
      </w:r>
      <w:proofErr w:type="spellStart"/>
      <w:r w:rsidRPr="00173D95">
        <w:rPr>
          <w:rFonts w:ascii="Verdana" w:hAnsi="Verdana"/>
          <w:bCs/>
          <w:color w:val="000000"/>
          <w:spacing w:val="-9"/>
          <w:sz w:val="20"/>
          <w:szCs w:val="20"/>
          <w:lang w:val="bg-BG"/>
        </w:rPr>
        <w:t>остойностени</w:t>
      </w:r>
      <w:proofErr w:type="spellEnd"/>
      <w:r>
        <w:rPr>
          <w:rFonts w:ascii="Verdana" w:hAnsi="Verdana"/>
          <w:bCs/>
          <w:color w:val="000000"/>
          <w:spacing w:val="-9"/>
          <w:sz w:val="20"/>
          <w:szCs w:val="20"/>
          <w:lang w:val="bg-BG"/>
        </w:rPr>
        <w:t xml:space="preserve"> </w:t>
      </w:r>
      <w:r w:rsidRPr="00173D95">
        <w:rPr>
          <w:rFonts w:ascii="Verdana" w:hAnsi="Verdana"/>
          <w:bCs/>
          <w:color w:val="000000"/>
          <w:spacing w:val="-9"/>
          <w:sz w:val="20"/>
          <w:szCs w:val="20"/>
          <w:lang w:val="bg-BG"/>
        </w:rPr>
        <w:t>резултати и индикатори</w:t>
      </w:r>
      <w:r>
        <w:rPr>
          <w:rFonts w:ascii="Verdana" w:hAnsi="Verdana"/>
          <w:bCs/>
          <w:color w:val="000000"/>
          <w:spacing w:val="-9"/>
          <w:sz w:val="20"/>
          <w:szCs w:val="20"/>
          <w:lang w:val="bg-BG"/>
        </w:rPr>
        <w:t>;</w:t>
      </w:r>
      <w:r w:rsidRPr="00173D95">
        <w:rPr>
          <w:rFonts w:ascii="Verdana" w:hAnsi="Verdana"/>
          <w:bCs/>
          <w:color w:val="000000"/>
          <w:spacing w:val="-9"/>
          <w:sz w:val="20"/>
          <w:szCs w:val="20"/>
          <w:lang w:val="bg-BG"/>
        </w:rPr>
        <w:t xml:space="preserve"> натовареност на служителите, които имат своите задачи като служители на съответната институция и в същото време имат допълнителни задачи по координация и изпълнение на проектните дейности, като не получават адекватно заплащане за положените усилия</w:t>
      </w:r>
      <w:r>
        <w:rPr>
          <w:rFonts w:ascii="Verdana" w:hAnsi="Verdana"/>
          <w:bCs/>
          <w:color w:val="000000"/>
          <w:spacing w:val="-9"/>
          <w:sz w:val="20"/>
          <w:szCs w:val="20"/>
          <w:lang w:val="bg-BG"/>
        </w:rPr>
        <w:t>;</w:t>
      </w:r>
      <w:r w:rsidRPr="00173D95">
        <w:rPr>
          <w:rFonts w:ascii="Verdana" w:hAnsi="Verdana"/>
          <w:bCs/>
          <w:color w:val="000000"/>
          <w:spacing w:val="-9"/>
          <w:sz w:val="20"/>
          <w:szCs w:val="20"/>
          <w:lang w:val="bg-BG"/>
        </w:rPr>
        <w:t xml:space="preserve"> слабо познаване на нормативната уредба за изпълнение на проекта, включително правила за отчитане и верифициране на разходи</w:t>
      </w:r>
      <w:r>
        <w:rPr>
          <w:rFonts w:ascii="Verdana" w:hAnsi="Verdana"/>
          <w:bCs/>
          <w:color w:val="000000"/>
          <w:spacing w:val="-9"/>
          <w:sz w:val="20"/>
          <w:szCs w:val="20"/>
          <w:lang w:val="bg-BG"/>
        </w:rPr>
        <w:t>;</w:t>
      </w:r>
      <w:r w:rsidRPr="00173D95">
        <w:rPr>
          <w:rFonts w:ascii="Verdana" w:hAnsi="Verdana"/>
          <w:bCs/>
          <w:color w:val="000000"/>
          <w:spacing w:val="-9"/>
          <w:sz w:val="20"/>
          <w:szCs w:val="20"/>
          <w:lang w:val="bg-BG"/>
        </w:rPr>
        <w:t xml:space="preserve"> липса на опит за подготовката и провеждането на процедури за избор на изпълнител, което води до често </w:t>
      </w:r>
      <w:r w:rsidRPr="00173D95">
        <w:rPr>
          <w:rFonts w:ascii="Verdana" w:hAnsi="Verdana"/>
          <w:bCs/>
          <w:color w:val="000000"/>
          <w:spacing w:val="-9"/>
          <w:sz w:val="20"/>
          <w:szCs w:val="20"/>
          <w:lang w:val="bg-BG"/>
        </w:rPr>
        <w:lastRenderedPageBreak/>
        <w:t>прекратяване или голямо удължаване на процедури и забавя цялостното изпълнение на проект</w:t>
      </w:r>
      <w:r>
        <w:rPr>
          <w:rFonts w:ascii="Verdana" w:hAnsi="Verdana"/>
          <w:bCs/>
          <w:color w:val="000000"/>
          <w:spacing w:val="-9"/>
          <w:sz w:val="20"/>
          <w:szCs w:val="20"/>
          <w:lang w:val="bg-BG"/>
        </w:rPr>
        <w:t>ите</w:t>
      </w:r>
      <w:r w:rsidRPr="00173D95">
        <w:rPr>
          <w:rFonts w:ascii="Verdana" w:hAnsi="Verdana"/>
          <w:bCs/>
          <w:color w:val="000000"/>
          <w:spacing w:val="-9"/>
          <w:sz w:val="20"/>
          <w:szCs w:val="20"/>
          <w:lang w:val="bg-BG"/>
        </w:rPr>
        <w:t>.</w:t>
      </w:r>
      <w:r w:rsidRPr="00173D95">
        <w:rPr>
          <w:rStyle w:val="FootnoteReference"/>
          <w:rFonts w:ascii="Verdana" w:hAnsi="Verdana"/>
          <w:bCs/>
          <w:color w:val="000000"/>
          <w:spacing w:val="-9"/>
          <w:sz w:val="20"/>
          <w:szCs w:val="20"/>
          <w:lang w:val="bg-BG"/>
        </w:rPr>
        <w:footnoteReference w:id="10"/>
      </w:r>
    </w:p>
    <w:p w:rsidR="00342903" w:rsidRPr="00390DD1" w:rsidRDefault="00342903" w:rsidP="00390DD1">
      <w:pPr>
        <w:spacing w:before="120" w:after="120"/>
        <w:jc w:val="both"/>
        <w:rPr>
          <w:rFonts w:ascii="Verdana" w:hAnsi="Verdana"/>
          <w:bCs/>
          <w:spacing w:val="-9"/>
          <w:sz w:val="20"/>
          <w:szCs w:val="20"/>
          <w:lang w:val="bg-BG"/>
        </w:rPr>
      </w:pPr>
      <w:r w:rsidRPr="00390DD1">
        <w:rPr>
          <w:rFonts w:ascii="Verdana" w:hAnsi="Verdana"/>
          <w:b/>
          <w:bCs/>
          <w:color w:val="548DD4" w:themeColor="text2" w:themeTint="99"/>
          <w:spacing w:val="-9"/>
          <w:sz w:val="20"/>
          <w:szCs w:val="20"/>
          <w:lang w:val="bg-BG"/>
        </w:rPr>
        <w:t xml:space="preserve">Научни организации, научни институти, висши училища и/ или техни основни звена </w:t>
      </w:r>
      <w:r w:rsidRPr="00390DD1">
        <w:rPr>
          <w:rFonts w:ascii="Verdana" w:hAnsi="Verdana"/>
          <w:bCs/>
          <w:spacing w:val="-9"/>
          <w:sz w:val="20"/>
          <w:szCs w:val="20"/>
          <w:lang w:val="bg-BG"/>
        </w:rPr>
        <w:t xml:space="preserve">ще бъдат едни от основните бенефициенти на ОПНОИР 2014 – 2020. През този програмен период   научните организации са натрупали значителен опит като някои от техните звена изпълняват или са изпълнили над 10 проекта, финансирани по различни оперативни програми.  Тези институции имат доста голям опит при подготовката  и изпълнението на проекти, тъй като те участват в различни както национални (Фонд „Научни изследвания“), така и европейски (Седма Рамкова Програма, Конкурентоспособност и Иновации и т.н.) и международни финансиращи програми.  В резултат на участието си в други програми, тези организации правят сравнение между правилата за кандидатстване и изпълнение на проекти и считат, че правила по оперативните програми в България са твърде бюрократични и подлежат на постоянни изменения, определените срокове не се спазват, не се получават ясни становища от проектните мениджъри във финансиращата институция, изисква се прекалено често отчитане на проектните дейности, което не води до по-ефективно управление на проектите, а напротив – създава затруднения. Често пъти вътрешната организация и вътрешните правила на работа създават затруднения на тези организации да участват активно в усвояването на предоставените средства, тъй като се изисква повече време за вземане на решения и координиране и съгласуване на проектните дейности между различните звена на научните организации. </w:t>
      </w:r>
    </w:p>
    <w:p w:rsidR="00342903" w:rsidRPr="00390DD1" w:rsidRDefault="00342903" w:rsidP="00390DD1">
      <w:pPr>
        <w:spacing w:before="120" w:after="120"/>
        <w:jc w:val="both"/>
        <w:rPr>
          <w:rFonts w:ascii="Verdana" w:hAnsi="Verdana"/>
          <w:bCs/>
          <w:spacing w:val="-9"/>
          <w:sz w:val="20"/>
          <w:szCs w:val="20"/>
          <w:lang w:val="bg-BG"/>
        </w:rPr>
      </w:pPr>
      <w:r w:rsidRPr="00390DD1">
        <w:rPr>
          <w:rFonts w:ascii="Verdana" w:hAnsi="Verdana"/>
          <w:b/>
          <w:bCs/>
          <w:color w:val="548DD4" w:themeColor="text2" w:themeTint="99"/>
          <w:spacing w:val="-9"/>
          <w:sz w:val="20"/>
          <w:szCs w:val="20"/>
          <w:lang w:val="bg-BG"/>
        </w:rPr>
        <w:t>Детските градини, училищата,  читалищата  и ресурсните центрове</w:t>
      </w:r>
      <w:r w:rsidRPr="00390DD1">
        <w:rPr>
          <w:rFonts w:ascii="Verdana" w:hAnsi="Verdana"/>
          <w:bCs/>
          <w:color w:val="548DD4" w:themeColor="text2" w:themeTint="99"/>
          <w:spacing w:val="-9"/>
          <w:sz w:val="20"/>
          <w:szCs w:val="20"/>
          <w:lang w:val="bg-BG"/>
        </w:rPr>
        <w:t xml:space="preserve"> </w:t>
      </w:r>
      <w:r w:rsidRPr="00390DD1">
        <w:rPr>
          <w:rFonts w:ascii="Verdana" w:hAnsi="Verdana"/>
          <w:bCs/>
          <w:spacing w:val="-9"/>
          <w:sz w:val="20"/>
          <w:szCs w:val="20"/>
          <w:lang w:val="bg-BG"/>
        </w:rPr>
        <w:t>са другият основен бенефициент на ОПНОИР 2014 – 2020. Те също са участвали активно в ОПРЧР 2007 – 2013 и имат натрупан капацитет в подготовката и изпълнението на проекти. Като основни трудности те са идентифицирали твърде дългите срокове при оценка на проектопредложенията, което при тях се отразява значително върху проектните дейности, тъй като учебната година има определени срокове и те не могат да излизат извън тях. Също така авансовото плащане би следвало да е по-голямо, а финалното плащане да не се забавя, тъй като ангажира твърде дълго оборотни средства на бенефициентите, а те самите не разполагат с достатъчно финанси за основната си дейност. Докладването на всеки месец също създава допълнително натоварване и ангажира човешки ресурс.</w:t>
      </w:r>
    </w:p>
    <w:p w:rsidR="00342903" w:rsidRPr="00173D95" w:rsidRDefault="00342903" w:rsidP="00342903">
      <w:pPr>
        <w:spacing w:before="120" w:after="120"/>
        <w:jc w:val="both"/>
        <w:rPr>
          <w:rFonts w:ascii="Verdana" w:hAnsi="Verdana"/>
          <w:bCs/>
          <w:color w:val="000000"/>
          <w:spacing w:val="-9"/>
          <w:sz w:val="20"/>
          <w:szCs w:val="20"/>
          <w:lang w:val="bg-BG"/>
        </w:rPr>
      </w:pPr>
      <w:r w:rsidRPr="00173D95">
        <w:rPr>
          <w:rFonts w:ascii="Verdana" w:hAnsi="Verdana"/>
          <w:b/>
          <w:bCs/>
          <w:color w:val="548DD4" w:themeColor="text2" w:themeTint="99"/>
          <w:spacing w:val="-9"/>
          <w:sz w:val="20"/>
          <w:szCs w:val="20"/>
          <w:lang w:val="bg-BG"/>
        </w:rPr>
        <w:t xml:space="preserve">Общините </w:t>
      </w:r>
      <w:r w:rsidRPr="00173D95">
        <w:rPr>
          <w:rFonts w:ascii="Verdana" w:hAnsi="Verdana"/>
          <w:bCs/>
          <w:color w:val="000000"/>
          <w:spacing w:val="-9"/>
          <w:sz w:val="20"/>
          <w:szCs w:val="20"/>
          <w:lang w:val="bg-BG"/>
        </w:rPr>
        <w:t>имат същите проблеми</w:t>
      </w:r>
      <w:r>
        <w:rPr>
          <w:rFonts w:ascii="Verdana" w:hAnsi="Verdana"/>
          <w:bCs/>
          <w:color w:val="000000"/>
          <w:spacing w:val="-9"/>
          <w:sz w:val="20"/>
          <w:szCs w:val="20"/>
          <w:lang w:val="bg-BG"/>
        </w:rPr>
        <w:t>,</w:t>
      </w:r>
      <w:r w:rsidRPr="00173D95">
        <w:rPr>
          <w:rFonts w:ascii="Verdana" w:hAnsi="Verdana"/>
          <w:bCs/>
          <w:color w:val="000000"/>
          <w:spacing w:val="-9"/>
          <w:sz w:val="20"/>
          <w:szCs w:val="20"/>
          <w:lang w:val="bg-BG"/>
        </w:rPr>
        <w:t xml:space="preserve"> както държавните институции</w:t>
      </w:r>
      <w:r>
        <w:rPr>
          <w:rFonts w:ascii="Verdana" w:hAnsi="Verdana"/>
          <w:bCs/>
          <w:color w:val="000000"/>
          <w:spacing w:val="-9"/>
          <w:sz w:val="20"/>
          <w:szCs w:val="20"/>
          <w:lang w:val="bg-BG"/>
        </w:rPr>
        <w:t>.</w:t>
      </w:r>
      <w:r w:rsidR="00086655">
        <w:rPr>
          <w:rFonts w:ascii="Verdana" w:hAnsi="Verdana"/>
          <w:bCs/>
          <w:color w:val="000000"/>
          <w:spacing w:val="-9"/>
          <w:sz w:val="20"/>
          <w:szCs w:val="20"/>
        </w:rPr>
        <w:t xml:space="preserve"> </w:t>
      </w:r>
      <w:r>
        <w:rPr>
          <w:rFonts w:ascii="Verdana" w:hAnsi="Verdana"/>
          <w:bCs/>
          <w:color w:val="000000"/>
          <w:spacing w:val="-9"/>
          <w:sz w:val="20"/>
          <w:szCs w:val="20"/>
          <w:lang w:val="bg-BG"/>
        </w:rPr>
        <w:t>П</w:t>
      </w:r>
      <w:r w:rsidRPr="00173D95">
        <w:rPr>
          <w:rFonts w:ascii="Verdana" w:hAnsi="Verdana"/>
          <w:bCs/>
          <w:color w:val="000000"/>
          <w:spacing w:val="-9"/>
          <w:sz w:val="20"/>
          <w:szCs w:val="20"/>
          <w:lang w:val="bg-BG"/>
        </w:rPr>
        <w:t>ри тях като проблеми се явяват и недостатъчните компетенции за стратегическо планиране и липсата на финансов ресурс, с който да се разплащат по проектите.</w:t>
      </w:r>
    </w:p>
    <w:p w:rsidR="00342903" w:rsidRPr="00173D95" w:rsidRDefault="00342903" w:rsidP="00342903">
      <w:pPr>
        <w:spacing w:before="120" w:after="120"/>
        <w:jc w:val="both"/>
        <w:rPr>
          <w:rFonts w:ascii="Verdana" w:hAnsi="Verdana"/>
          <w:bCs/>
          <w:color w:val="000000"/>
          <w:spacing w:val="-9"/>
          <w:sz w:val="20"/>
          <w:szCs w:val="20"/>
          <w:lang w:val="bg-BG"/>
        </w:rPr>
      </w:pPr>
      <w:r w:rsidRPr="00173D95">
        <w:rPr>
          <w:rFonts w:ascii="Verdana" w:hAnsi="Verdana"/>
          <w:b/>
          <w:bCs/>
          <w:color w:val="548DD4" w:themeColor="text2" w:themeTint="99"/>
          <w:spacing w:val="-9"/>
          <w:sz w:val="20"/>
          <w:szCs w:val="20"/>
          <w:lang w:val="bg-BG"/>
        </w:rPr>
        <w:t>Бизнесът</w:t>
      </w:r>
      <w:r w:rsidRPr="00173D95">
        <w:rPr>
          <w:rFonts w:ascii="Verdana" w:hAnsi="Verdana"/>
          <w:bCs/>
          <w:color w:val="000000"/>
          <w:spacing w:val="-9"/>
          <w:sz w:val="20"/>
          <w:szCs w:val="20"/>
          <w:lang w:val="bg-BG"/>
        </w:rPr>
        <w:t xml:space="preserve"> е специфичен бенефициент, който трудно приема и разбира правилата за подготовка и изпълнение на проекти и смята, че те са твърде тромави, дълги и бюрократични и реално не подпомагат развитието на техните бизнес дейности.</w:t>
      </w:r>
      <w:r>
        <w:rPr>
          <w:rFonts w:ascii="Verdana" w:hAnsi="Verdana"/>
          <w:bCs/>
          <w:color w:val="000000"/>
          <w:spacing w:val="-9"/>
          <w:sz w:val="20"/>
          <w:szCs w:val="20"/>
          <w:lang w:val="bg-BG"/>
        </w:rPr>
        <w:t xml:space="preserve"> </w:t>
      </w:r>
      <w:r w:rsidRPr="00173D95">
        <w:rPr>
          <w:rFonts w:ascii="Verdana" w:hAnsi="Verdana"/>
          <w:bCs/>
          <w:color w:val="000000"/>
          <w:spacing w:val="-9"/>
          <w:sz w:val="20"/>
          <w:szCs w:val="20"/>
          <w:lang w:val="bg-BG"/>
        </w:rPr>
        <w:t xml:space="preserve">Като голяма трудност се отчита </w:t>
      </w:r>
      <w:proofErr w:type="spellStart"/>
      <w:r w:rsidRPr="00173D95">
        <w:rPr>
          <w:rFonts w:ascii="Verdana" w:hAnsi="Verdana"/>
          <w:bCs/>
          <w:color w:val="000000"/>
          <w:spacing w:val="-9"/>
          <w:sz w:val="20"/>
          <w:szCs w:val="20"/>
          <w:lang w:val="bg-BG"/>
        </w:rPr>
        <w:t>съ</w:t>
      </w:r>
      <w:proofErr w:type="spellEnd"/>
      <w:r w:rsidRPr="00173D95">
        <w:rPr>
          <w:rFonts w:ascii="Verdana" w:hAnsi="Verdana"/>
          <w:bCs/>
          <w:color w:val="000000"/>
          <w:spacing w:val="-9"/>
          <w:sz w:val="20"/>
          <w:szCs w:val="20"/>
          <w:lang w:val="bg-BG"/>
        </w:rPr>
        <w:t>-финансирането на проектните дейности</w:t>
      </w:r>
      <w:r w:rsidRPr="00173D95">
        <w:rPr>
          <w:rStyle w:val="FootnoteReference"/>
          <w:rFonts w:ascii="Verdana" w:hAnsi="Verdana"/>
          <w:bCs/>
          <w:color w:val="000000"/>
          <w:spacing w:val="-9"/>
          <w:sz w:val="20"/>
          <w:szCs w:val="20"/>
          <w:lang w:val="bg-BG"/>
        </w:rPr>
        <w:footnoteReference w:id="11"/>
      </w:r>
      <w:r w:rsidRPr="00173D95">
        <w:rPr>
          <w:rFonts w:ascii="Verdana" w:hAnsi="Verdana"/>
          <w:bCs/>
          <w:color w:val="000000"/>
          <w:spacing w:val="-9"/>
          <w:sz w:val="20"/>
          <w:szCs w:val="20"/>
          <w:lang w:val="bg-BG"/>
        </w:rPr>
        <w:t xml:space="preserve"> и провеждането по процедурите по под-договаряне. Изграждането на капацитет в тази група бенефициенти допълнително се затруднява от това, че предприемачите рядко имат определен персонал, който се занимава с проекта, а по-често ползват услугите на консултанти.  </w:t>
      </w:r>
    </w:p>
    <w:p w:rsidR="00342903" w:rsidRDefault="00342903" w:rsidP="00342903">
      <w:pPr>
        <w:spacing w:before="120" w:after="120"/>
        <w:jc w:val="both"/>
        <w:rPr>
          <w:rFonts w:ascii="Verdana" w:hAnsi="Verdana"/>
          <w:bCs/>
          <w:color w:val="000000"/>
          <w:spacing w:val="-9"/>
          <w:sz w:val="20"/>
          <w:szCs w:val="20"/>
          <w:lang w:val="bg-BG"/>
        </w:rPr>
      </w:pPr>
      <w:r w:rsidRPr="00173D95">
        <w:rPr>
          <w:rFonts w:ascii="Verdana" w:hAnsi="Verdana"/>
          <w:b/>
          <w:bCs/>
          <w:color w:val="548DD4" w:themeColor="text2" w:themeTint="99"/>
          <w:spacing w:val="-9"/>
          <w:sz w:val="20"/>
          <w:szCs w:val="20"/>
          <w:lang w:val="bg-BG"/>
        </w:rPr>
        <w:lastRenderedPageBreak/>
        <w:t>НПО</w:t>
      </w:r>
      <w:r w:rsidRPr="00173D95">
        <w:rPr>
          <w:rFonts w:ascii="Verdana" w:hAnsi="Verdana"/>
          <w:bCs/>
          <w:color w:val="000000"/>
          <w:spacing w:val="-9"/>
          <w:sz w:val="20"/>
          <w:szCs w:val="20"/>
          <w:lang w:val="bg-BG"/>
        </w:rPr>
        <w:t xml:space="preserve"> са групата бенефициенти, които имат най-голям капацитет за подготовка и изпълнението на проекти и са натрупали опит и знания в тази област. При </w:t>
      </w:r>
      <w:r>
        <w:rPr>
          <w:rFonts w:ascii="Verdana" w:hAnsi="Verdana"/>
          <w:bCs/>
          <w:color w:val="000000"/>
          <w:spacing w:val="-9"/>
          <w:sz w:val="20"/>
          <w:szCs w:val="20"/>
          <w:lang w:val="bg-BG"/>
        </w:rPr>
        <w:t xml:space="preserve">тях </w:t>
      </w:r>
      <w:r w:rsidRPr="00173D95">
        <w:rPr>
          <w:rFonts w:ascii="Verdana" w:hAnsi="Verdana"/>
          <w:bCs/>
          <w:color w:val="000000"/>
          <w:spacing w:val="-9"/>
          <w:sz w:val="20"/>
          <w:szCs w:val="20"/>
          <w:lang w:val="bg-BG"/>
        </w:rPr>
        <w:t xml:space="preserve"> основните проблеми отново са осигуряване на необходимото предварително финансиране за изпълнение на дейностите и липса на кадрови ресурс за изпълнение на проектите.</w:t>
      </w:r>
    </w:p>
    <w:p w:rsidR="00342903" w:rsidRPr="00C84C79" w:rsidRDefault="00342903" w:rsidP="00342903">
      <w:pPr>
        <w:spacing w:before="120" w:after="120"/>
        <w:jc w:val="both"/>
        <w:rPr>
          <w:rFonts w:ascii="Verdana" w:hAnsi="Verdana"/>
          <w:sz w:val="20"/>
          <w:szCs w:val="20"/>
          <w:lang w:val="bg-BG"/>
        </w:rPr>
      </w:pPr>
      <w:r>
        <w:rPr>
          <w:rFonts w:ascii="Verdana" w:hAnsi="Verdana"/>
          <w:sz w:val="20"/>
          <w:szCs w:val="20"/>
          <w:lang w:val="bg-BG"/>
        </w:rPr>
        <w:t xml:space="preserve">На </w:t>
      </w:r>
      <w:r w:rsidRPr="00C84C79">
        <w:rPr>
          <w:rFonts w:ascii="Verdana" w:hAnsi="Verdana"/>
          <w:sz w:val="20"/>
          <w:szCs w:val="20"/>
          <w:lang w:val="bg-BG"/>
        </w:rPr>
        <w:t xml:space="preserve">фокус група </w:t>
      </w:r>
      <w:r>
        <w:rPr>
          <w:rFonts w:ascii="Verdana" w:hAnsi="Verdana"/>
          <w:sz w:val="20"/>
          <w:szCs w:val="20"/>
          <w:lang w:val="bg-BG"/>
        </w:rPr>
        <w:t xml:space="preserve">с бенефициенти на ОПРЧР 2007-2013 г. </w:t>
      </w:r>
      <w:r w:rsidRPr="00C84C79">
        <w:rPr>
          <w:rFonts w:ascii="Verdana" w:hAnsi="Verdana"/>
          <w:sz w:val="20"/>
          <w:szCs w:val="20"/>
          <w:lang w:val="bg-BG"/>
        </w:rPr>
        <w:t xml:space="preserve">беше </w:t>
      </w:r>
      <w:r>
        <w:rPr>
          <w:rFonts w:ascii="Verdana" w:hAnsi="Verdana"/>
          <w:sz w:val="20"/>
          <w:szCs w:val="20"/>
          <w:lang w:val="bg-BG"/>
        </w:rPr>
        <w:t xml:space="preserve">дискутиран </w:t>
      </w:r>
      <w:r w:rsidRPr="00C84C79">
        <w:rPr>
          <w:rFonts w:ascii="Verdana" w:hAnsi="Verdana"/>
          <w:sz w:val="20"/>
          <w:szCs w:val="20"/>
          <w:lang w:val="bg-BG"/>
        </w:rPr>
        <w:t>административния</w:t>
      </w:r>
      <w:r>
        <w:rPr>
          <w:rFonts w:ascii="Verdana" w:hAnsi="Verdana"/>
          <w:sz w:val="20"/>
          <w:szCs w:val="20"/>
          <w:lang w:val="bg-BG"/>
        </w:rPr>
        <w:t>т</w:t>
      </w:r>
      <w:r w:rsidRPr="00C84C79">
        <w:rPr>
          <w:rFonts w:ascii="Verdana" w:hAnsi="Verdana"/>
          <w:sz w:val="20"/>
          <w:szCs w:val="20"/>
          <w:lang w:val="bg-BG"/>
        </w:rPr>
        <w:t xml:space="preserve"> капацитет на бенефициентите</w:t>
      </w:r>
      <w:r>
        <w:rPr>
          <w:rFonts w:ascii="Verdana" w:hAnsi="Verdana"/>
          <w:sz w:val="20"/>
          <w:szCs w:val="20"/>
          <w:lang w:val="bg-BG"/>
        </w:rPr>
        <w:t>. П</w:t>
      </w:r>
      <w:r w:rsidRPr="00C84C79">
        <w:rPr>
          <w:rFonts w:ascii="Verdana" w:hAnsi="Verdana"/>
          <w:sz w:val="20"/>
          <w:szCs w:val="20"/>
          <w:lang w:val="bg-BG"/>
        </w:rPr>
        <w:t>роводените дискусии очертаха основните административни тежести в различните етапи на проектния цикъл</w:t>
      </w:r>
      <w:r>
        <w:rPr>
          <w:rFonts w:ascii="Verdana" w:hAnsi="Verdana"/>
          <w:sz w:val="20"/>
          <w:szCs w:val="20"/>
          <w:lang w:val="bg-BG"/>
        </w:rPr>
        <w:t>, както следва</w:t>
      </w:r>
      <w:r w:rsidRPr="00C84C79">
        <w:rPr>
          <w:rFonts w:ascii="Verdana" w:hAnsi="Verdana"/>
          <w:sz w:val="20"/>
          <w:szCs w:val="20"/>
          <w:lang w:val="bg-BG"/>
        </w:rPr>
        <w:t>:</w:t>
      </w:r>
    </w:p>
    <w:p w:rsidR="00342903" w:rsidRPr="00E83BC3" w:rsidRDefault="00342903" w:rsidP="00342903">
      <w:pPr>
        <w:keepNext/>
        <w:spacing w:before="120" w:after="120"/>
        <w:jc w:val="both"/>
        <w:rPr>
          <w:rFonts w:ascii="Verdana" w:hAnsi="Verdana"/>
          <w:b/>
          <w:bCs/>
          <w:color w:val="548DD4" w:themeColor="text2" w:themeTint="99"/>
          <w:spacing w:val="-9"/>
          <w:sz w:val="20"/>
          <w:szCs w:val="20"/>
          <w:lang w:val="bg-BG"/>
        </w:rPr>
      </w:pPr>
      <w:r w:rsidRPr="00E83BC3">
        <w:rPr>
          <w:rFonts w:ascii="Verdana" w:hAnsi="Verdana"/>
          <w:b/>
          <w:bCs/>
          <w:color w:val="548DD4" w:themeColor="text2" w:themeTint="99"/>
          <w:spacing w:val="-9"/>
          <w:sz w:val="20"/>
          <w:szCs w:val="20"/>
          <w:lang w:val="bg-BG"/>
        </w:rPr>
        <w:t>Подготовка на проекти</w:t>
      </w:r>
    </w:p>
    <w:p w:rsidR="00342903" w:rsidRPr="005076DC" w:rsidRDefault="00342903" w:rsidP="00342903">
      <w:pPr>
        <w:spacing w:before="120" w:after="120"/>
        <w:jc w:val="both"/>
        <w:rPr>
          <w:rFonts w:ascii="Verdana" w:hAnsi="Verdana"/>
          <w:sz w:val="20"/>
          <w:szCs w:val="20"/>
          <w:lang w:val="bg-BG"/>
        </w:rPr>
      </w:pPr>
      <w:r w:rsidRPr="005076DC">
        <w:rPr>
          <w:rFonts w:ascii="Verdana" w:hAnsi="Verdana"/>
          <w:sz w:val="20"/>
          <w:szCs w:val="20"/>
          <w:lang w:val="bg-BG"/>
        </w:rPr>
        <w:t>Първата и една от основните препоръки на  участниците във фокус групата, особено от страна на представителите на научните организации беше да се приеме европейската практика за предварително обявяване на годишните програми поне за две години напред. По този начин ще се даде възможност на бенефициентите да се подготвят и да идентифицират и намерят подходящи партньори, което е много важно при разработване на проекти в сферата на науката.</w:t>
      </w:r>
    </w:p>
    <w:p w:rsidR="00342903" w:rsidRDefault="00342903" w:rsidP="00342903">
      <w:pPr>
        <w:spacing w:before="120" w:after="120"/>
        <w:jc w:val="both"/>
        <w:rPr>
          <w:rFonts w:ascii="Verdana" w:hAnsi="Verdana"/>
          <w:sz w:val="20"/>
          <w:szCs w:val="20"/>
          <w:lang w:val="bg-BG"/>
        </w:rPr>
      </w:pPr>
      <w:r w:rsidRPr="00E83BC3">
        <w:rPr>
          <w:rFonts w:ascii="Verdana" w:hAnsi="Verdana"/>
          <w:sz w:val="20"/>
          <w:szCs w:val="20"/>
          <w:lang w:val="bg-BG"/>
        </w:rPr>
        <w:t>Има утвърдена процедура за популяризиране на мерките по програмата и се провеждат информационни дни</w:t>
      </w:r>
      <w:r>
        <w:rPr>
          <w:rFonts w:ascii="Verdana" w:hAnsi="Verdana"/>
          <w:sz w:val="20"/>
          <w:szCs w:val="20"/>
          <w:lang w:val="bg-BG"/>
        </w:rPr>
        <w:t>, които се оценяват като полезни</w:t>
      </w:r>
      <w:r w:rsidRPr="00E83BC3">
        <w:rPr>
          <w:rFonts w:ascii="Verdana" w:hAnsi="Verdana"/>
          <w:sz w:val="20"/>
          <w:szCs w:val="20"/>
          <w:lang w:val="bg-BG"/>
        </w:rPr>
        <w:t xml:space="preserve">. </w:t>
      </w:r>
      <w:r>
        <w:rPr>
          <w:rFonts w:ascii="Verdana" w:hAnsi="Verdana"/>
          <w:sz w:val="20"/>
          <w:szCs w:val="20"/>
          <w:lang w:val="bg-BG"/>
        </w:rPr>
        <w:t xml:space="preserve">Единствено е необходимо </w:t>
      </w:r>
      <w:r w:rsidRPr="00E83BC3">
        <w:rPr>
          <w:rFonts w:ascii="Verdana" w:hAnsi="Verdana"/>
          <w:sz w:val="20"/>
          <w:szCs w:val="20"/>
          <w:lang w:val="bg-BG"/>
        </w:rPr>
        <w:t>информационните дни да бъдат изтеглени по-рано или организирани непосредствено след обявяване на схемите за БФП</w:t>
      </w:r>
      <w:r>
        <w:rPr>
          <w:rFonts w:ascii="Verdana" w:hAnsi="Verdana"/>
          <w:sz w:val="20"/>
          <w:szCs w:val="20"/>
          <w:lang w:val="bg-BG"/>
        </w:rPr>
        <w:t>, за да се остави повече време за подготовка на проектите</w:t>
      </w:r>
      <w:r w:rsidRPr="00E83BC3">
        <w:rPr>
          <w:rFonts w:ascii="Verdana" w:hAnsi="Verdana"/>
          <w:sz w:val="20"/>
          <w:szCs w:val="20"/>
          <w:lang w:val="bg-BG"/>
        </w:rPr>
        <w:t>.</w:t>
      </w:r>
    </w:p>
    <w:p w:rsidR="00342903" w:rsidRPr="005076DC" w:rsidRDefault="00342903" w:rsidP="00342903">
      <w:pPr>
        <w:spacing w:before="120" w:after="120"/>
        <w:jc w:val="both"/>
        <w:rPr>
          <w:rFonts w:ascii="Verdana" w:hAnsi="Verdana"/>
          <w:sz w:val="20"/>
          <w:szCs w:val="20"/>
          <w:lang w:val="bg-BG"/>
        </w:rPr>
      </w:pPr>
      <w:r w:rsidRPr="005076DC">
        <w:rPr>
          <w:rFonts w:ascii="Verdana" w:hAnsi="Verdana"/>
          <w:sz w:val="20"/>
          <w:szCs w:val="20"/>
          <w:lang w:val="bg-BG"/>
        </w:rPr>
        <w:t>Всички участници се обединиха около препоръката да се спазват зададените срокове – за оценяване на проектите, класиране и сключване на договорите. Училищата и университетите  имат специфични проблеми с изпълнението на проекти, които са просрочени във времето – децата завършват образователна</w:t>
      </w:r>
      <w:r>
        <w:rPr>
          <w:rFonts w:ascii="Verdana" w:hAnsi="Verdana"/>
          <w:sz w:val="20"/>
          <w:szCs w:val="20"/>
          <w:lang w:val="bg-BG"/>
        </w:rPr>
        <w:t>та</w:t>
      </w:r>
      <w:r w:rsidRPr="005076DC">
        <w:rPr>
          <w:rFonts w:ascii="Verdana" w:hAnsi="Verdana"/>
          <w:sz w:val="20"/>
          <w:szCs w:val="20"/>
          <w:lang w:val="bg-BG"/>
        </w:rPr>
        <w:t xml:space="preserve"> степен, променят са зададени индикатори, няма възможност за изпълнение на дейности в извън учебно време – септември – юни.</w:t>
      </w:r>
    </w:p>
    <w:p w:rsidR="00342903" w:rsidRPr="00C34B82" w:rsidRDefault="00342903" w:rsidP="00342903">
      <w:pPr>
        <w:spacing w:before="120" w:after="120"/>
        <w:jc w:val="both"/>
        <w:rPr>
          <w:rFonts w:ascii="Verdana" w:hAnsi="Verdana"/>
          <w:sz w:val="20"/>
          <w:szCs w:val="20"/>
          <w:lang w:val="bg-BG"/>
        </w:rPr>
      </w:pPr>
      <w:r w:rsidRPr="005076DC">
        <w:rPr>
          <w:rFonts w:ascii="Verdana" w:hAnsi="Verdana"/>
          <w:sz w:val="20"/>
          <w:szCs w:val="20"/>
          <w:lang w:val="bg-BG"/>
        </w:rPr>
        <w:t>Бенефициентите същ</w:t>
      </w:r>
      <w:r>
        <w:rPr>
          <w:rFonts w:ascii="Verdana" w:hAnsi="Verdana"/>
          <w:sz w:val="20"/>
          <w:szCs w:val="20"/>
          <w:lang w:val="bg-BG"/>
        </w:rPr>
        <w:t>о</w:t>
      </w:r>
      <w:r w:rsidRPr="005076DC">
        <w:rPr>
          <w:rFonts w:ascii="Verdana" w:hAnsi="Verdana"/>
          <w:sz w:val="20"/>
          <w:szCs w:val="20"/>
          <w:lang w:val="bg-BG"/>
        </w:rPr>
        <w:t xml:space="preserve"> така очакват да има по-голяма прозрачност п</w:t>
      </w:r>
      <w:r>
        <w:rPr>
          <w:rFonts w:ascii="Verdana" w:hAnsi="Verdana"/>
          <w:sz w:val="20"/>
          <w:szCs w:val="20"/>
          <w:lang w:val="bg-BG"/>
        </w:rPr>
        <w:t>ри</w:t>
      </w:r>
      <w:r w:rsidRPr="005076DC">
        <w:rPr>
          <w:rFonts w:ascii="Verdana" w:hAnsi="Verdana"/>
          <w:sz w:val="20"/>
          <w:szCs w:val="20"/>
          <w:lang w:val="bg-BG"/>
        </w:rPr>
        <w:t xml:space="preserve"> процедурите</w:t>
      </w:r>
      <w:r>
        <w:rPr>
          <w:rFonts w:ascii="Verdana" w:hAnsi="Verdana"/>
          <w:sz w:val="20"/>
          <w:szCs w:val="20"/>
          <w:lang w:val="bg-BG"/>
        </w:rPr>
        <w:t xml:space="preserve"> за предоставяне на БФП</w:t>
      </w:r>
      <w:r w:rsidRPr="005076DC">
        <w:rPr>
          <w:rFonts w:ascii="Verdana" w:hAnsi="Verdana"/>
          <w:sz w:val="20"/>
          <w:szCs w:val="20"/>
          <w:lang w:val="bg-BG"/>
        </w:rPr>
        <w:t xml:space="preserve"> – обявяване, комисии, заседания, протоколи, класирания, обжалвания, договори, изпълнение на дейностите, финансиране/ санкции по договорите, като предлагат пълната информация по тези въпроси  да е на сайта на </w:t>
      </w:r>
      <w:r>
        <w:rPr>
          <w:rFonts w:ascii="Verdana" w:hAnsi="Verdana"/>
          <w:sz w:val="20"/>
          <w:szCs w:val="20"/>
          <w:lang w:val="bg-BG"/>
        </w:rPr>
        <w:t>п</w:t>
      </w:r>
      <w:r w:rsidRPr="005076DC">
        <w:rPr>
          <w:rFonts w:ascii="Verdana" w:hAnsi="Verdana"/>
          <w:sz w:val="20"/>
          <w:szCs w:val="20"/>
          <w:lang w:val="bg-BG"/>
        </w:rPr>
        <w:t xml:space="preserve">рограмата. </w:t>
      </w:r>
      <w:r w:rsidRPr="00C34B82">
        <w:rPr>
          <w:rFonts w:ascii="Verdana" w:hAnsi="Verdana"/>
          <w:sz w:val="20"/>
          <w:szCs w:val="20"/>
          <w:lang w:val="bg-BG"/>
        </w:rPr>
        <w:t xml:space="preserve">Също така следва да се изчистят показателите за оценка на проектите </w:t>
      </w:r>
      <w:r>
        <w:rPr>
          <w:rFonts w:ascii="Verdana" w:hAnsi="Verdana"/>
          <w:sz w:val="20"/>
          <w:szCs w:val="20"/>
          <w:lang w:val="bg-BG"/>
        </w:rPr>
        <w:t xml:space="preserve"> и </w:t>
      </w:r>
      <w:r w:rsidRPr="00C34B82">
        <w:rPr>
          <w:rFonts w:ascii="Verdana" w:hAnsi="Verdana"/>
          <w:sz w:val="20"/>
          <w:szCs w:val="20"/>
          <w:lang w:val="bg-BG"/>
        </w:rPr>
        <w:t>специално за проектите за научни изследвания, да се ползва европейския опит за международни оценки и ангажиране на чуждестранни оценители.</w:t>
      </w:r>
    </w:p>
    <w:p w:rsidR="00342903" w:rsidRPr="005076DC" w:rsidRDefault="00342903" w:rsidP="00342903">
      <w:pPr>
        <w:spacing w:before="120" w:after="120"/>
        <w:jc w:val="both"/>
        <w:rPr>
          <w:rFonts w:ascii="Times New Roman" w:hAnsi="Times New Roman"/>
          <w:b/>
          <w:sz w:val="24"/>
          <w:szCs w:val="24"/>
          <w:lang w:val="bg-BG"/>
        </w:rPr>
      </w:pPr>
      <w:r>
        <w:rPr>
          <w:rFonts w:ascii="Verdana" w:hAnsi="Verdana"/>
          <w:sz w:val="20"/>
          <w:szCs w:val="20"/>
          <w:lang w:val="bg-BG"/>
        </w:rPr>
        <w:t>Научните институции имат опит и като цяло предпочитат</w:t>
      </w:r>
      <w:r w:rsidRPr="00E83BC3">
        <w:rPr>
          <w:rFonts w:ascii="Verdana" w:hAnsi="Verdana"/>
          <w:sz w:val="20"/>
          <w:szCs w:val="20"/>
          <w:lang w:val="bg-BG"/>
        </w:rPr>
        <w:t xml:space="preserve"> електронно подаване на проект</w:t>
      </w:r>
      <w:r>
        <w:rPr>
          <w:rFonts w:ascii="Verdana" w:hAnsi="Verdana"/>
          <w:sz w:val="20"/>
          <w:szCs w:val="20"/>
          <w:lang w:val="bg-BG"/>
        </w:rPr>
        <w:t xml:space="preserve">ни </w:t>
      </w:r>
      <w:r w:rsidRPr="00E83BC3">
        <w:rPr>
          <w:rFonts w:ascii="Verdana" w:hAnsi="Verdana"/>
          <w:sz w:val="20"/>
          <w:szCs w:val="20"/>
          <w:lang w:val="bg-BG"/>
        </w:rPr>
        <w:t>предложения</w:t>
      </w:r>
      <w:r>
        <w:rPr>
          <w:rFonts w:ascii="Verdana" w:hAnsi="Verdana"/>
          <w:sz w:val="20"/>
          <w:szCs w:val="20"/>
          <w:lang w:val="bg-BG"/>
        </w:rPr>
        <w:t xml:space="preserve"> и отчитане на работата. </w:t>
      </w:r>
    </w:p>
    <w:p w:rsidR="00342903" w:rsidRPr="00E83BC3" w:rsidRDefault="00342903" w:rsidP="00342903">
      <w:pPr>
        <w:spacing w:before="120" w:after="120"/>
        <w:jc w:val="both"/>
        <w:rPr>
          <w:rFonts w:ascii="Verdana" w:hAnsi="Verdana"/>
          <w:b/>
          <w:bCs/>
          <w:color w:val="548DD4" w:themeColor="text2" w:themeTint="99"/>
          <w:spacing w:val="-9"/>
          <w:sz w:val="20"/>
          <w:szCs w:val="20"/>
          <w:lang w:val="bg-BG"/>
        </w:rPr>
      </w:pPr>
      <w:r w:rsidRPr="00E83BC3">
        <w:rPr>
          <w:rFonts w:ascii="Verdana" w:hAnsi="Verdana"/>
          <w:b/>
          <w:bCs/>
          <w:color w:val="548DD4" w:themeColor="text2" w:themeTint="99"/>
          <w:spacing w:val="-9"/>
          <w:sz w:val="20"/>
          <w:szCs w:val="20"/>
          <w:lang w:val="bg-BG"/>
        </w:rPr>
        <w:t>Изпълнение и отчитане на проект</w:t>
      </w:r>
      <w:r>
        <w:rPr>
          <w:rFonts w:ascii="Verdana" w:hAnsi="Verdana"/>
          <w:b/>
          <w:bCs/>
          <w:color w:val="548DD4" w:themeColor="text2" w:themeTint="99"/>
          <w:spacing w:val="-9"/>
          <w:sz w:val="20"/>
          <w:szCs w:val="20"/>
          <w:lang w:val="bg-BG"/>
        </w:rPr>
        <w:t>и</w:t>
      </w:r>
    </w:p>
    <w:p w:rsidR="00342903" w:rsidRPr="00AB3045" w:rsidRDefault="00342903" w:rsidP="00342903">
      <w:pPr>
        <w:spacing w:before="120" w:after="120"/>
        <w:jc w:val="both"/>
        <w:rPr>
          <w:rFonts w:ascii="Verdana" w:hAnsi="Verdana"/>
          <w:sz w:val="20"/>
          <w:szCs w:val="20"/>
          <w:lang w:val="bg-BG"/>
        </w:rPr>
      </w:pPr>
      <w:r w:rsidRPr="00E83BC3">
        <w:rPr>
          <w:rFonts w:ascii="Verdana" w:hAnsi="Verdana"/>
          <w:sz w:val="20"/>
          <w:szCs w:val="20"/>
          <w:lang w:val="bg-BG"/>
        </w:rPr>
        <w:t xml:space="preserve">Честата смяна на наръчниците и указанията и на съответните образци към тях </w:t>
      </w:r>
      <w:r>
        <w:rPr>
          <w:rFonts w:ascii="Verdana" w:hAnsi="Verdana"/>
          <w:sz w:val="20"/>
          <w:szCs w:val="20"/>
          <w:lang w:val="bg-BG"/>
        </w:rPr>
        <w:t xml:space="preserve">силно </w:t>
      </w:r>
      <w:r w:rsidRPr="00E83BC3">
        <w:rPr>
          <w:rFonts w:ascii="Verdana" w:hAnsi="Verdana"/>
          <w:sz w:val="20"/>
          <w:szCs w:val="20"/>
          <w:lang w:val="bg-BG"/>
        </w:rPr>
        <w:t xml:space="preserve">затрудняват изпълнението на проектите и създават проблем при отчитането на дейностите и съответните разходи. </w:t>
      </w:r>
      <w:r>
        <w:rPr>
          <w:rFonts w:ascii="Verdana" w:hAnsi="Verdana"/>
          <w:sz w:val="20"/>
          <w:szCs w:val="20"/>
          <w:lang w:val="bg-BG"/>
        </w:rPr>
        <w:t>Трябва да</w:t>
      </w:r>
      <w:r w:rsidRPr="00AB3045">
        <w:rPr>
          <w:rFonts w:ascii="Verdana" w:hAnsi="Verdana"/>
          <w:sz w:val="20"/>
          <w:szCs w:val="20"/>
          <w:lang w:val="bg-BG"/>
        </w:rPr>
        <w:t xml:space="preserve"> има ясна документация, която да не се променя в хода на целия процес – обявяване, подаване на проекти, одобряване, изпълнение на договори и отчитането им.</w:t>
      </w:r>
    </w:p>
    <w:p w:rsidR="00342903" w:rsidRPr="00AB3045" w:rsidRDefault="00342903" w:rsidP="00342903">
      <w:pPr>
        <w:spacing w:before="120" w:after="120"/>
        <w:jc w:val="both"/>
        <w:rPr>
          <w:rFonts w:ascii="Verdana" w:hAnsi="Verdana"/>
          <w:sz w:val="20"/>
          <w:szCs w:val="20"/>
          <w:lang w:val="bg-BG"/>
        </w:rPr>
      </w:pPr>
      <w:r w:rsidRPr="00AB3045">
        <w:rPr>
          <w:rFonts w:ascii="Verdana" w:hAnsi="Verdana"/>
          <w:sz w:val="20"/>
          <w:szCs w:val="20"/>
          <w:lang w:val="bg-BG"/>
        </w:rPr>
        <w:lastRenderedPageBreak/>
        <w:t>УО следва да се поддържа актуална база данни за контактите на администрацията и ф</w:t>
      </w:r>
      <w:r>
        <w:rPr>
          <w:rFonts w:ascii="Verdana" w:hAnsi="Verdana"/>
          <w:sz w:val="20"/>
          <w:szCs w:val="20"/>
          <w:lang w:val="bg-BG"/>
        </w:rPr>
        <w:t>у</w:t>
      </w:r>
      <w:r w:rsidRPr="00AB3045">
        <w:rPr>
          <w:rFonts w:ascii="Verdana" w:hAnsi="Verdana"/>
          <w:sz w:val="20"/>
          <w:szCs w:val="20"/>
          <w:lang w:val="bg-BG"/>
        </w:rPr>
        <w:t xml:space="preserve">нкционалните характеристики на всеки служител, за да се знае кой какви теми покрива и на какви въпроси следва да отговаря. </w:t>
      </w:r>
      <w:r>
        <w:rPr>
          <w:rFonts w:ascii="Verdana" w:hAnsi="Verdana"/>
          <w:sz w:val="20"/>
          <w:szCs w:val="20"/>
          <w:lang w:val="bg-BG"/>
        </w:rPr>
        <w:t>Следва да има с</w:t>
      </w:r>
      <w:r w:rsidRPr="00AB3045">
        <w:rPr>
          <w:rFonts w:ascii="Verdana" w:hAnsi="Verdana"/>
          <w:sz w:val="20"/>
          <w:szCs w:val="20"/>
          <w:lang w:val="bg-BG"/>
        </w:rPr>
        <w:t xml:space="preserve">рокове за даване на отговори, </w:t>
      </w:r>
      <w:r>
        <w:rPr>
          <w:rFonts w:ascii="Verdana" w:hAnsi="Verdana"/>
          <w:sz w:val="20"/>
          <w:szCs w:val="20"/>
          <w:lang w:val="bg-BG"/>
        </w:rPr>
        <w:t>по възможно най-коректния начин, включително и по електронна поща</w:t>
      </w:r>
      <w:r w:rsidRPr="00AB3045">
        <w:rPr>
          <w:rFonts w:ascii="Verdana" w:hAnsi="Verdana"/>
          <w:sz w:val="20"/>
          <w:szCs w:val="20"/>
          <w:lang w:val="bg-BG"/>
        </w:rPr>
        <w:t>, които да са приети за официален отговор за бенефициента. Голям</w:t>
      </w:r>
      <w:r>
        <w:rPr>
          <w:rFonts w:ascii="Verdana" w:hAnsi="Verdana"/>
          <w:sz w:val="20"/>
          <w:szCs w:val="20"/>
          <w:lang w:val="bg-BG"/>
        </w:rPr>
        <w:t>о</w:t>
      </w:r>
      <w:r w:rsidRPr="00AB3045">
        <w:rPr>
          <w:rFonts w:ascii="Verdana" w:hAnsi="Verdana"/>
          <w:sz w:val="20"/>
          <w:szCs w:val="20"/>
          <w:lang w:val="bg-BG"/>
        </w:rPr>
        <w:t xml:space="preserve"> затруднение създава разминаването на становищата на експертите на финансиращата организация по един и същи въпрос особено по отношение на допустимост на разходите и забавянето на отговорите.  Предлож</w:t>
      </w:r>
      <w:r>
        <w:rPr>
          <w:rFonts w:ascii="Verdana" w:hAnsi="Verdana"/>
          <w:sz w:val="20"/>
          <w:szCs w:val="20"/>
          <w:lang w:val="bg-BG"/>
        </w:rPr>
        <w:t xml:space="preserve">ението  е да се създаде </w:t>
      </w:r>
      <w:r w:rsidRPr="00AB3045">
        <w:rPr>
          <w:rFonts w:ascii="Verdana" w:hAnsi="Verdana"/>
          <w:sz w:val="20"/>
          <w:szCs w:val="20"/>
          <w:lang w:val="bg-BG"/>
        </w:rPr>
        <w:t xml:space="preserve">„контактна точка“ по проект, т.е. служител, който ще отговаря за проекта – администриране и верифициране и </w:t>
      </w:r>
      <w:r>
        <w:rPr>
          <w:rFonts w:ascii="Verdana" w:hAnsi="Verdana"/>
          <w:sz w:val="20"/>
          <w:szCs w:val="20"/>
          <w:lang w:val="bg-BG"/>
        </w:rPr>
        <w:t>който</w:t>
      </w:r>
      <w:r w:rsidRPr="00E83BC3">
        <w:rPr>
          <w:rFonts w:ascii="Verdana" w:hAnsi="Verdana"/>
          <w:sz w:val="20"/>
          <w:szCs w:val="20"/>
          <w:lang w:val="bg-BG"/>
        </w:rPr>
        <w:t xml:space="preserve"> </w:t>
      </w:r>
      <w:r>
        <w:rPr>
          <w:rFonts w:ascii="Verdana" w:hAnsi="Verdana"/>
          <w:sz w:val="20"/>
          <w:szCs w:val="20"/>
          <w:lang w:val="bg-BG"/>
        </w:rPr>
        <w:t>ще</w:t>
      </w:r>
      <w:r w:rsidRPr="00E83BC3">
        <w:rPr>
          <w:rFonts w:ascii="Verdana" w:hAnsi="Verdana"/>
          <w:sz w:val="20"/>
          <w:szCs w:val="20"/>
          <w:lang w:val="bg-BG"/>
        </w:rPr>
        <w:t xml:space="preserve"> мо</w:t>
      </w:r>
      <w:r>
        <w:rPr>
          <w:rFonts w:ascii="Verdana" w:hAnsi="Verdana"/>
          <w:sz w:val="20"/>
          <w:szCs w:val="20"/>
          <w:lang w:val="bg-BG"/>
        </w:rPr>
        <w:t>же</w:t>
      </w:r>
      <w:r w:rsidRPr="00E83BC3">
        <w:rPr>
          <w:rFonts w:ascii="Verdana" w:hAnsi="Verdana"/>
          <w:sz w:val="20"/>
          <w:szCs w:val="20"/>
          <w:lang w:val="bg-BG"/>
        </w:rPr>
        <w:t xml:space="preserve"> в кратк</w:t>
      </w:r>
      <w:r>
        <w:rPr>
          <w:rFonts w:ascii="Verdana" w:hAnsi="Verdana"/>
          <w:sz w:val="20"/>
          <w:szCs w:val="20"/>
          <w:lang w:val="bg-BG"/>
        </w:rPr>
        <w:t>и срокове и компетентно да дава</w:t>
      </w:r>
      <w:r w:rsidRPr="00E83BC3">
        <w:rPr>
          <w:rFonts w:ascii="Verdana" w:hAnsi="Verdana"/>
          <w:sz w:val="20"/>
          <w:szCs w:val="20"/>
          <w:lang w:val="bg-BG"/>
        </w:rPr>
        <w:t xml:space="preserve"> отговори на въпроси</w:t>
      </w:r>
      <w:r>
        <w:rPr>
          <w:rFonts w:ascii="Verdana" w:hAnsi="Verdana"/>
          <w:sz w:val="20"/>
          <w:szCs w:val="20"/>
          <w:lang w:val="bg-BG"/>
        </w:rPr>
        <w:t>,</w:t>
      </w:r>
      <w:r w:rsidRPr="00E83BC3">
        <w:rPr>
          <w:rFonts w:ascii="Verdana" w:hAnsi="Verdana"/>
          <w:sz w:val="20"/>
          <w:szCs w:val="20"/>
          <w:lang w:val="bg-BG"/>
        </w:rPr>
        <w:t xml:space="preserve"> свързани с изпълнението на проектите.</w:t>
      </w:r>
    </w:p>
    <w:p w:rsidR="00342903" w:rsidRPr="00AB3045" w:rsidRDefault="00342903" w:rsidP="00342903">
      <w:pPr>
        <w:spacing w:before="120" w:after="120"/>
        <w:jc w:val="both"/>
        <w:rPr>
          <w:rFonts w:ascii="Verdana" w:hAnsi="Verdana"/>
          <w:sz w:val="20"/>
          <w:szCs w:val="20"/>
          <w:lang w:val="bg-BG"/>
        </w:rPr>
      </w:pPr>
      <w:r w:rsidRPr="00E83BC3">
        <w:rPr>
          <w:rFonts w:ascii="Verdana" w:hAnsi="Verdana"/>
          <w:sz w:val="20"/>
          <w:szCs w:val="20"/>
          <w:lang w:val="bg-BG"/>
        </w:rPr>
        <w:t>Участниците във фокус групата се обединиха около мнението, че контрол върху изпълнението трябва да има, но е пре</w:t>
      </w:r>
      <w:r>
        <w:rPr>
          <w:rFonts w:ascii="Verdana" w:hAnsi="Verdana"/>
          <w:sz w:val="20"/>
          <w:szCs w:val="20"/>
          <w:lang w:val="bg-BG"/>
        </w:rPr>
        <w:t xml:space="preserve">поръчително да бъде намален срокът за отчитане - </w:t>
      </w:r>
      <w:r w:rsidRPr="00AB3045">
        <w:rPr>
          <w:rFonts w:ascii="Verdana" w:hAnsi="Verdana"/>
          <w:sz w:val="20"/>
          <w:szCs w:val="20"/>
          <w:lang w:val="bg-BG"/>
        </w:rPr>
        <w:t xml:space="preserve">междинните отчети да не са месечни, поне 3-месечни и за научните проекти – 6 месечни. Индикаторите за изпълнение на програмата, на схемите и на отделните проекти следва да се изчистят като се отчете досегашния опит и невъзможността да се приложат някои от тях към всички бенефициенти и схеми. Индикаторите следва да се дефинирани по схеми и да се прецизират източниците за тяхното отчитане. </w:t>
      </w:r>
    </w:p>
    <w:p w:rsidR="00342903" w:rsidRPr="00AB3045" w:rsidRDefault="00342903" w:rsidP="00342903">
      <w:pPr>
        <w:spacing w:before="120" w:after="120"/>
        <w:jc w:val="both"/>
        <w:rPr>
          <w:rFonts w:ascii="Verdana" w:hAnsi="Verdana"/>
          <w:sz w:val="20"/>
          <w:szCs w:val="20"/>
          <w:lang w:val="bg-BG"/>
        </w:rPr>
      </w:pPr>
      <w:r w:rsidRPr="00AB3045">
        <w:rPr>
          <w:rFonts w:ascii="Verdana" w:hAnsi="Verdana"/>
          <w:sz w:val="20"/>
          <w:szCs w:val="20"/>
          <w:lang w:val="bg-BG"/>
        </w:rPr>
        <w:t xml:space="preserve">Има категорично искане за опростяване на финансовите отчети – откъм прилагане на копия на всички първични финансови документи като препоръката </w:t>
      </w:r>
      <w:r>
        <w:rPr>
          <w:rFonts w:ascii="Verdana" w:hAnsi="Verdana"/>
          <w:sz w:val="20"/>
          <w:szCs w:val="20"/>
          <w:lang w:val="bg-BG"/>
        </w:rPr>
        <w:t>е</w:t>
      </w:r>
      <w:r w:rsidRPr="00AB3045">
        <w:rPr>
          <w:rFonts w:ascii="Verdana" w:hAnsi="Verdana"/>
          <w:sz w:val="20"/>
          <w:szCs w:val="20"/>
          <w:lang w:val="bg-BG"/>
        </w:rPr>
        <w:t xml:space="preserve"> да се следва европейската практика – да се подава опис на документите, без копия, като оригиналите се пазят от бенефициента за всякакви проверки.</w:t>
      </w:r>
    </w:p>
    <w:p w:rsidR="00342903" w:rsidRPr="00AB3045" w:rsidRDefault="00342903" w:rsidP="00342903">
      <w:pPr>
        <w:spacing w:before="120" w:after="120"/>
        <w:jc w:val="both"/>
        <w:rPr>
          <w:rFonts w:ascii="Verdana" w:hAnsi="Verdana"/>
          <w:sz w:val="20"/>
          <w:szCs w:val="20"/>
          <w:lang w:val="bg-BG"/>
        </w:rPr>
      </w:pPr>
      <w:r>
        <w:rPr>
          <w:rFonts w:ascii="Verdana" w:hAnsi="Verdana"/>
          <w:sz w:val="20"/>
          <w:szCs w:val="20"/>
          <w:lang w:val="bg-BG"/>
        </w:rPr>
        <w:t xml:space="preserve">Финансирането на проектите е затруднено и от ниските нива на авансово плащане, които при някои видове дейности се оказват недостатъчни за покриване на текущите разходи до получаване на първите плащания. Друго решение, което беше подкрепено от научните институти е въвеждането на инструменти за получаване на безлихвени или облекчени кредити за </w:t>
      </w:r>
      <w:proofErr w:type="spellStart"/>
      <w:r>
        <w:rPr>
          <w:rFonts w:ascii="Verdana" w:hAnsi="Verdana"/>
          <w:sz w:val="20"/>
          <w:szCs w:val="20"/>
          <w:lang w:val="bg-BG"/>
        </w:rPr>
        <w:t>префинансиране</w:t>
      </w:r>
      <w:proofErr w:type="spellEnd"/>
      <w:r>
        <w:rPr>
          <w:rFonts w:ascii="Verdana" w:hAnsi="Verdana"/>
          <w:sz w:val="20"/>
          <w:szCs w:val="20"/>
          <w:lang w:val="bg-BG"/>
        </w:rPr>
        <w:t xml:space="preserve"> на проектните дейности.</w:t>
      </w:r>
      <w:r w:rsidRPr="00B61F7B">
        <w:rPr>
          <w:rFonts w:ascii="Verdana" w:hAnsi="Verdana"/>
          <w:sz w:val="20"/>
          <w:szCs w:val="20"/>
          <w:lang w:val="bg-BG"/>
        </w:rPr>
        <w:t xml:space="preserve"> </w:t>
      </w:r>
      <w:r w:rsidRPr="00AB3045">
        <w:rPr>
          <w:rFonts w:ascii="Verdana" w:hAnsi="Verdana"/>
          <w:sz w:val="20"/>
          <w:szCs w:val="20"/>
          <w:lang w:val="bg-BG"/>
        </w:rPr>
        <w:t>Подкрепя се съща така въвеждането на методология за опростените разходи – разходите за управление на проекта.</w:t>
      </w:r>
    </w:p>
    <w:p w:rsidR="00342903" w:rsidRDefault="00342903" w:rsidP="00342903">
      <w:pPr>
        <w:spacing w:before="120" w:after="120"/>
        <w:jc w:val="both"/>
        <w:rPr>
          <w:rFonts w:ascii="Verdana" w:hAnsi="Verdana"/>
          <w:sz w:val="20"/>
          <w:szCs w:val="20"/>
          <w:lang w:val="bg-BG"/>
        </w:rPr>
      </w:pPr>
      <w:r>
        <w:rPr>
          <w:rFonts w:ascii="Verdana" w:hAnsi="Verdana"/>
          <w:sz w:val="20"/>
          <w:szCs w:val="20"/>
          <w:lang w:val="bg-BG"/>
        </w:rPr>
        <w:t>С</w:t>
      </w:r>
      <w:r w:rsidRPr="00E83BC3">
        <w:rPr>
          <w:rFonts w:ascii="Verdana" w:hAnsi="Verdana"/>
          <w:sz w:val="20"/>
          <w:szCs w:val="20"/>
          <w:lang w:val="bg-BG"/>
        </w:rPr>
        <w:t xml:space="preserve">поред представителите на бенефициентите </w:t>
      </w:r>
      <w:r>
        <w:rPr>
          <w:rFonts w:ascii="Verdana" w:hAnsi="Verdana"/>
          <w:sz w:val="20"/>
          <w:szCs w:val="20"/>
          <w:lang w:val="bg-BG"/>
        </w:rPr>
        <w:t>п</w:t>
      </w:r>
      <w:r w:rsidRPr="00E83BC3">
        <w:rPr>
          <w:rFonts w:ascii="Verdana" w:hAnsi="Verdana"/>
          <w:sz w:val="20"/>
          <w:szCs w:val="20"/>
          <w:lang w:val="bg-BG"/>
        </w:rPr>
        <w:t xml:space="preserve">одготовката и провеждането на обществените поръчки не </w:t>
      </w:r>
      <w:r>
        <w:rPr>
          <w:rFonts w:ascii="Verdana" w:hAnsi="Verdana"/>
          <w:sz w:val="20"/>
          <w:szCs w:val="20"/>
          <w:lang w:val="bg-BG"/>
        </w:rPr>
        <w:t>представлява</w:t>
      </w:r>
      <w:r w:rsidRPr="00E83BC3">
        <w:rPr>
          <w:rFonts w:ascii="Verdana" w:hAnsi="Verdana"/>
          <w:sz w:val="20"/>
          <w:szCs w:val="20"/>
          <w:lang w:val="bg-BG"/>
        </w:rPr>
        <w:t xml:space="preserve"> голяма трудност. </w:t>
      </w:r>
    </w:p>
    <w:p w:rsidR="00342903" w:rsidRPr="00A47ECB" w:rsidRDefault="00342903" w:rsidP="00342903">
      <w:pPr>
        <w:spacing w:before="120" w:after="120"/>
        <w:jc w:val="both"/>
        <w:rPr>
          <w:rFonts w:ascii="Verdana" w:hAnsi="Verdana"/>
          <w:sz w:val="20"/>
          <w:szCs w:val="20"/>
          <w:lang w:val="bg-BG"/>
        </w:rPr>
      </w:pPr>
      <w:r w:rsidRPr="00E83BC3">
        <w:rPr>
          <w:rFonts w:ascii="Verdana" w:hAnsi="Verdana"/>
          <w:b/>
          <w:bCs/>
          <w:color w:val="548DD4" w:themeColor="text2" w:themeTint="99"/>
          <w:spacing w:val="-9"/>
          <w:sz w:val="20"/>
          <w:szCs w:val="20"/>
          <w:lang w:val="bg-BG"/>
        </w:rPr>
        <w:t>Основните трудности, срещани от бенефициентите</w:t>
      </w:r>
      <w:r>
        <w:rPr>
          <w:rFonts w:ascii="Verdana" w:hAnsi="Verdana"/>
          <w:b/>
          <w:bCs/>
          <w:color w:val="548DD4" w:themeColor="text2" w:themeTint="99"/>
          <w:spacing w:val="-9"/>
          <w:sz w:val="20"/>
          <w:szCs w:val="20"/>
          <w:lang w:val="bg-BG"/>
        </w:rPr>
        <w:t xml:space="preserve">, </w:t>
      </w:r>
      <w:r w:rsidRPr="00A47ECB">
        <w:rPr>
          <w:rFonts w:ascii="Verdana" w:hAnsi="Verdana"/>
          <w:bCs/>
          <w:spacing w:val="-9"/>
          <w:sz w:val="20"/>
          <w:szCs w:val="20"/>
          <w:lang w:val="bg-BG"/>
        </w:rPr>
        <w:t>могат да бъдат обобщени в следния списък</w:t>
      </w:r>
      <w:r w:rsidRPr="00A47ECB">
        <w:rPr>
          <w:rFonts w:ascii="Verdana" w:hAnsi="Verdana"/>
          <w:sz w:val="20"/>
          <w:szCs w:val="20"/>
          <w:lang w:val="bg-BG"/>
        </w:rPr>
        <w:t>:</w:t>
      </w:r>
    </w:p>
    <w:p w:rsidR="00342903" w:rsidRDefault="00342903" w:rsidP="006861B0">
      <w:pPr>
        <w:pStyle w:val="ListParagraph"/>
        <w:numPr>
          <w:ilvl w:val="0"/>
          <w:numId w:val="79"/>
        </w:numPr>
        <w:spacing w:before="120" w:after="120"/>
        <w:contextualSpacing/>
        <w:jc w:val="both"/>
        <w:rPr>
          <w:rFonts w:ascii="Verdana" w:hAnsi="Verdana"/>
          <w:sz w:val="20"/>
          <w:szCs w:val="20"/>
          <w:lang w:val="bg-BG"/>
        </w:rPr>
      </w:pPr>
      <w:r>
        <w:rPr>
          <w:rFonts w:ascii="Verdana" w:hAnsi="Verdana"/>
          <w:sz w:val="20"/>
          <w:szCs w:val="20"/>
          <w:lang w:val="bg-BG"/>
        </w:rPr>
        <w:t>Ненавременно обявяване на схемите за финансиране;</w:t>
      </w:r>
    </w:p>
    <w:p w:rsidR="00342903" w:rsidRDefault="00342903" w:rsidP="006861B0">
      <w:pPr>
        <w:pStyle w:val="ListParagraph"/>
        <w:numPr>
          <w:ilvl w:val="0"/>
          <w:numId w:val="79"/>
        </w:numPr>
        <w:spacing w:before="120" w:after="120"/>
        <w:contextualSpacing/>
        <w:jc w:val="both"/>
        <w:rPr>
          <w:rFonts w:ascii="Verdana" w:hAnsi="Verdana"/>
          <w:sz w:val="20"/>
          <w:szCs w:val="20"/>
          <w:lang w:val="bg-BG"/>
        </w:rPr>
      </w:pPr>
      <w:r>
        <w:rPr>
          <w:rFonts w:ascii="Verdana" w:hAnsi="Verdana"/>
          <w:sz w:val="20"/>
          <w:szCs w:val="20"/>
          <w:lang w:val="bg-BG"/>
        </w:rPr>
        <w:t>Ненавременно провеждане на информационни кампании;</w:t>
      </w:r>
    </w:p>
    <w:p w:rsidR="00342903" w:rsidRDefault="00342903" w:rsidP="006861B0">
      <w:pPr>
        <w:pStyle w:val="ListParagraph"/>
        <w:numPr>
          <w:ilvl w:val="0"/>
          <w:numId w:val="79"/>
        </w:numPr>
        <w:spacing w:before="120" w:after="120"/>
        <w:contextualSpacing/>
        <w:jc w:val="both"/>
        <w:rPr>
          <w:rFonts w:ascii="Verdana" w:hAnsi="Verdana"/>
          <w:sz w:val="20"/>
          <w:szCs w:val="20"/>
          <w:lang w:val="bg-BG"/>
        </w:rPr>
      </w:pPr>
      <w:r w:rsidRPr="00E83BC3">
        <w:rPr>
          <w:rFonts w:ascii="Verdana" w:hAnsi="Verdana"/>
          <w:sz w:val="20"/>
          <w:szCs w:val="20"/>
          <w:lang w:val="bg-BG"/>
        </w:rPr>
        <w:t>Забавяния в оценката на проект</w:t>
      </w:r>
      <w:r>
        <w:rPr>
          <w:rFonts w:ascii="Verdana" w:hAnsi="Verdana"/>
          <w:sz w:val="20"/>
          <w:szCs w:val="20"/>
          <w:lang w:val="bg-BG"/>
        </w:rPr>
        <w:t xml:space="preserve">ните </w:t>
      </w:r>
      <w:r w:rsidRPr="00E83BC3">
        <w:rPr>
          <w:rFonts w:ascii="Verdana" w:hAnsi="Verdana"/>
          <w:sz w:val="20"/>
          <w:szCs w:val="20"/>
          <w:lang w:val="bg-BG"/>
        </w:rPr>
        <w:t>предложени</w:t>
      </w:r>
      <w:r>
        <w:rPr>
          <w:rFonts w:ascii="Verdana" w:hAnsi="Verdana"/>
          <w:sz w:val="20"/>
          <w:szCs w:val="20"/>
          <w:lang w:val="bg-BG"/>
        </w:rPr>
        <w:t>я</w:t>
      </w:r>
      <w:r w:rsidRPr="00E83BC3">
        <w:rPr>
          <w:rFonts w:ascii="Verdana" w:hAnsi="Verdana"/>
          <w:sz w:val="20"/>
          <w:szCs w:val="20"/>
          <w:lang w:val="bg-BG"/>
        </w:rPr>
        <w:t>;</w:t>
      </w:r>
    </w:p>
    <w:p w:rsidR="00342903" w:rsidRPr="00E83BC3" w:rsidRDefault="00342903" w:rsidP="006861B0">
      <w:pPr>
        <w:pStyle w:val="ListParagraph"/>
        <w:numPr>
          <w:ilvl w:val="0"/>
          <w:numId w:val="79"/>
        </w:numPr>
        <w:spacing w:before="120" w:after="120"/>
        <w:contextualSpacing/>
        <w:jc w:val="both"/>
        <w:rPr>
          <w:rFonts w:ascii="Verdana" w:hAnsi="Verdana"/>
          <w:sz w:val="20"/>
          <w:szCs w:val="20"/>
          <w:lang w:val="bg-BG"/>
        </w:rPr>
      </w:pPr>
      <w:r>
        <w:rPr>
          <w:rFonts w:ascii="Verdana" w:hAnsi="Verdana"/>
          <w:sz w:val="20"/>
          <w:szCs w:val="20"/>
          <w:lang w:val="bg-BG"/>
        </w:rPr>
        <w:t>Непрозрачни процедури на оценка;</w:t>
      </w:r>
    </w:p>
    <w:p w:rsidR="00342903" w:rsidRPr="00E83BC3" w:rsidRDefault="00342903" w:rsidP="006861B0">
      <w:pPr>
        <w:pStyle w:val="ListParagraph"/>
        <w:numPr>
          <w:ilvl w:val="0"/>
          <w:numId w:val="79"/>
        </w:numPr>
        <w:spacing w:before="120" w:after="120"/>
        <w:contextualSpacing/>
        <w:jc w:val="both"/>
        <w:rPr>
          <w:rFonts w:ascii="Verdana" w:hAnsi="Verdana"/>
          <w:sz w:val="20"/>
          <w:szCs w:val="20"/>
          <w:lang w:val="bg-BG"/>
        </w:rPr>
      </w:pPr>
      <w:r w:rsidRPr="00E83BC3">
        <w:rPr>
          <w:rFonts w:ascii="Verdana" w:hAnsi="Verdana"/>
          <w:sz w:val="20"/>
          <w:szCs w:val="20"/>
          <w:lang w:val="bg-BG"/>
        </w:rPr>
        <w:t>Малък размер на авансовото плащане;</w:t>
      </w:r>
    </w:p>
    <w:p w:rsidR="00342903" w:rsidRDefault="00342903" w:rsidP="006861B0">
      <w:pPr>
        <w:pStyle w:val="ListParagraph"/>
        <w:numPr>
          <w:ilvl w:val="0"/>
          <w:numId w:val="79"/>
        </w:numPr>
        <w:spacing w:before="120" w:after="120"/>
        <w:contextualSpacing/>
        <w:jc w:val="both"/>
        <w:rPr>
          <w:rFonts w:ascii="Verdana" w:hAnsi="Verdana"/>
          <w:sz w:val="20"/>
          <w:szCs w:val="20"/>
          <w:lang w:val="bg-BG"/>
        </w:rPr>
      </w:pPr>
      <w:r w:rsidRPr="00E83BC3">
        <w:rPr>
          <w:rFonts w:ascii="Verdana" w:hAnsi="Verdana"/>
          <w:sz w:val="20"/>
          <w:szCs w:val="20"/>
          <w:lang w:val="bg-BG"/>
        </w:rPr>
        <w:t>Нужда от кредитиране за изпълнение на проектните дейности;</w:t>
      </w:r>
    </w:p>
    <w:p w:rsidR="00342903" w:rsidRDefault="00342903" w:rsidP="006861B0">
      <w:pPr>
        <w:pStyle w:val="ListParagraph"/>
        <w:numPr>
          <w:ilvl w:val="0"/>
          <w:numId w:val="79"/>
        </w:numPr>
        <w:spacing w:before="120" w:after="120"/>
        <w:contextualSpacing/>
        <w:jc w:val="both"/>
        <w:rPr>
          <w:rFonts w:ascii="Verdana" w:hAnsi="Verdana"/>
          <w:sz w:val="20"/>
          <w:szCs w:val="20"/>
          <w:lang w:val="bg-BG"/>
        </w:rPr>
      </w:pPr>
      <w:r>
        <w:rPr>
          <w:rFonts w:ascii="Verdana" w:hAnsi="Verdana"/>
          <w:sz w:val="20"/>
          <w:szCs w:val="20"/>
          <w:lang w:val="bg-BG"/>
        </w:rPr>
        <w:t>Честа смяна на указанията и наръчниците;</w:t>
      </w:r>
    </w:p>
    <w:p w:rsidR="00342903" w:rsidRPr="00E83BC3" w:rsidRDefault="00342903" w:rsidP="006861B0">
      <w:pPr>
        <w:pStyle w:val="ListParagraph"/>
        <w:numPr>
          <w:ilvl w:val="0"/>
          <w:numId w:val="79"/>
        </w:numPr>
        <w:spacing w:before="120" w:after="120"/>
        <w:contextualSpacing/>
        <w:jc w:val="both"/>
        <w:rPr>
          <w:rFonts w:ascii="Verdana" w:hAnsi="Verdana"/>
          <w:sz w:val="20"/>
          <w:szCs w:val="20"/>
          <w:lang w:val="bg-BG"/>
        </w:rPr>
      </w:pPr>
      <w:r>
        <w:rPr>
          <w:rFonts w:ascii="Verdana" w:hAnsi="Verdana"/>
          <w:sz w:val="20"/>
          <w:szCs w:val="20"/>
          <w:lang w:val="bg-BG"/>
        </w:rPr>
        <w:lastRenderedPageBreak/>
        <w:t>Р</w:t>
      </w:r>
      <w:r w:rsidRPr="00AB3045">
        <w:rPr>
          <w:rFonts w:ascii="Verdana" w:hAnsi="Verdana"/>
          <w:sz w:val="20"/>
          <w:szCs w:val="20"/>
          <w:lang w:val="bg-BG"/>
        </w:rPr>
        <w:t xml:space="preserve">азминаването на становищата </w:t>
      </w:r>
      <w:r>
        <w:rPr>
          <w:rFonts w:ascii="Verdana" w:hAnsi="Verdana"/>
          <w:sz w:val="20"/>
          <w:szCs w:val="20"/>
          <w:lang w:val="bg-BG"/>
        </w:rPr>
        <w:t xml:space="preserve">и забавяне на отговор </w:t>
      </w:r>
      <w:r w:rsidRPr="00AB3045">
        <w:rPr>
          <w:rFonts w:ascii="Verdana" w:hAnsi="Verdana"/>
          <w:sz w:val="20"/>
          <w:szCs w:val="20"/>
          <w:lang w:val="bg-BG"/>
        </w:rPr>
        <w:t xml:space="preserve">на експертите на финансиращата организация по </w:t>
      </w:r>
      <w:r>
        <w:rPr>
          <w:rFonts w:ascii="Verdana" w:hAnsi="Verdana"/>
          <w:sz w:val="20"/>
          <w:szCs w:val="20"/>
          <w:lang w:val="bg-BG"/>
        </w:rPr>
        <w:t>въпроси на бенефициентите свързани с изпълнението на проектите;</w:t>
      </w:r>
    </w:p>
    <w:p w:rsidR="00342903" w:rsidRPr="00E83BC3" w:rsidRDefault="00342903" w:rsidP="006861B0">
      <w:pPr>
        <w:pStyle w:val="ListParagraph"/>
        <w:numPr>
          <w:ilvl w:val="0"/>
          <w:numId w:val="79"/>
        </w:numPr>
        <w:spacing w:before="120" w:after="120"/>
        <w:contextualSpacing/>
        <w:jc w:val="both"/>
        <w:rPr>
          <w:rFonts w:ascii="Verdana" w:hAnsi="Verdana"/>
          <w:sz w:val="20"/>
          <w:szCs w:val="20"/>
          <w:lang w:val="bg-BG"/>
        </w:rPr>
      </w:pPr>
      <w:r>
        <w:rPr>
          <w:rFonts w:ascii="Verdana" w:hAnsi="Verdana"/>
          <w:sz w:val="20"/>
          <w:szCs w:val="20"/>
          <w:lang w:val="bg-BG"/>
        </w:rPr>
        <w:t>Дълъг период от време от момента на подаване на искането за плащане до разплащането към бенефициентите.</w:t>
      </w:r>
    </w:p>
    <w:p w:rsidR="00342903" w:rsidRPr="00173D95" w:rsidRDefault="00342903" w:rsidP="00342903">
      <w:pPr>
        <w:pStyle w:val="BodyText"/>
        <w:widowControl w:val="0"/>
        <w:tabs>
          <w:tab w:val="left" w:pos="0"/>
          <w:tab w:val="left" w:pos="6990"/>
        </w:tabs>
        <w:spacing w:before="120" w:line="276" w:lineRule="auto"/>
        <w:jc w:val="both"/>
        <w:rPr>
          <w:rFonts w:ascii="Verdana" w:eastAsia="MS Mincho" w:hAnsi="Verdana"/>
          <w:sz w:val="20"/>
          <w:szCs w:val="20"/>
          <w:lang w:eastAsia="ja-JP"/>
        </w:rPr>
      </w:pPr>
      <w:r>
        <w:rPr>
          <w:rFonts w:ascii="Verdana" w:eastAsia="MS Mincho" w:hAnsi="Verdana"/>
          <w:sz w:val="20"/>
          <w:szCs w:val="20"/>
          <w:lang w:eastAsia="ja-JP"/>
        </w:rPr>
        <w:t xml:space="preserve">Служителите на ГДСФМОП </w:t>
      </w:r>
      <w:r w:rsidRPr="00173D95">
        <w:rPr>
          <w:rFonts w:ascii="Verdana" w:eastAsia="MS Mincho" w:hAnsi="Verdana"/>
          <w:sz w:val="20"/>
          <w:szCs w:val="20"/>
          <w:lang w:eastAsia="ja-JP"/>
        </w:rPr>
        <w:t>са на мнение, че административният капацитет на бенефициентите все още следва да бъде укрепван във всички етапи на проектния цикъл – подготовка, изпълнение, под-договаряне и отчитане. Най-голяма нужда от укрепване на капацитета на бенефициентите е отчетена в областта на подготовка и провеж</w:t>
      </w:r>
      <w:r>
        <w:rPr>
          <w:rFonts w:ascii="Verdana" w:eastAsia="MS Mincho" w:hAnsi="Verdana"/>
          <w:sz w:val="20"/>
          <w:szCs w:val="20"/>
          <w:lang w:eastAsia="ja-JP"/>
        </w:rPr>
        <w:t>дането на обществени поръчки (75</w:t>
      </w:r>
      <w:r w:rsidRPr="00173D95">
        <w:rPr>
          <w:rFonts w:ascii="Verdana" w:eastAsia="MS Mincho" w:hAnsi="Verdana"/>
          <w:sz w:val="20"/>
          <w:szCs w:val="20"/>
          <w:lang w:eastAsia="ja-JP"/>
        </w:rPr>
        <w:t xml:space="preserve"> %), </w:t>
      </w:r>
      <w:r>
        <w:rPr>
          <w:rFonts w:ascii="Verdana" w:eastAsia="MS Mincho" w:hAnsi="Verdana"/>
          <w:sz w:val="20"/>
          <w:szCs w:val="20"/>
          <w:lang w:eastAsia="ja-JP"/>
        </w:rPr>
        <w:t>п</w:t>
      </w:r>
      <w:r w:rsidRPr="00814C82">
        <w:rPr>
          <w:rFonts w:ascii="Verdana" w:eastAsia="MS Mincho" w:hAnsi="Verdana"/>
          <w:sz w:val="20"/>
          <w:szCs w:val="20"/>
          <w:lang w:eastAsia="ja-JP"/>
        </w:rPr>
        <w:t>овишаване на уменията за докладване и отчитане на изпълнението</w:t>
      </w:r>
      <w:r>
        <w:rPr>
          <w:rFonts w:ascii="Verdana" w:eastAsia="MS Mincho" w:hAnsi="Verdana"/>
          <w:sz w:val="20"/>
          <w:szCs w:val="20"/>
          <w:lang w:eastAsia="ja-JP"/>
        </w:rPr>
        <w:t xml:space="preserve"> (69 %) и </w:t>
      </w:r>
      <w:r w:rsidRPr="00173D95">
        <w:rPr>
          <w:rFonts w:ascii="Verdana" w:eastAsia="MS Mincho" w:hAnsi="Verdana"/>
          <w:sz w:val="20"/>
          <w:szCs w:val="20"/>
          <w:lang w:eastAsia="ja-JP"/>
        </w:rPr>
        <w:t>управление на проекти (6</w:t>
      </w:r>
      <w:r>
        <w:rPr>
          <w:rFonts w:ascii="Verdana" w:eastAsia="MS Mincho" w:hAnsi="Verdana"/>
          <w:sz w:val="20"/>
          <w:szCs w:val="20"/>
          <w:lang w:eastAsia="ja-JP"/>
        </w:rPr>
        <w:t>5 %).</w:t>
      </w:r>
    </w:p>
    <w:p w:rsidR="00342903" w:rsidRDefault="00342903" w:rsidP="00342903">
      <w:pPr>
        <w:pStyle w:val="BodyText"/>
        <w:widowControl w:val="0"/>
        <w:tabs>
          <w:tab w:val="left" w:pos="0"/>
          <w:tab w:val="left" w:pos="6990"/>
        </w:tabs>
        <w:spacing w:before="120" w:line="276" w:lineRule="auto"/>
        <w:jc w:val="both"/>
        <w:rPr>
          <w:rFonts w:ascii="Verdana" w:eastAsia="MS Mincho" w:hAnsi="Verdana"/>
          <w:sz w:val="20"/>
          <w:szCs w:val="20"/>
          <w:lang w:eastAsia="ja-JP"/>
        </w:rPr>
      </w:pPr>
      <w:r w:rsidRPr="00173D95">
        <w:rPr>
          <w:rFonts w:ascii="Verdana" w:eastAsia="MS Mincho" w:hAnsi="Verdana"/>
          <w:sz w:val="20"/>
          <w:szCs w:val="20"/>
          <w:lang w:eastAsia="ja-JP"/>
        </w:rPr>
        <w:t>Нуждите по отношение на административния капацитет, идентифицирани от потенциалн</w:t>
      </w:r>
      <w:r>
        <w:rPr>
          <w:rFonts w:ascii="Verdana" w:eastAsia="MS Mincho" w:hAnsi="Verdana"/>
          <w:sz w:val="20"/>
          <w:szCs w:val="20"/>
          <w:lang w:eastAsia="ja-JP"/>
        </w:rPr>
        <w:t xml:space="preserve">ите бенефициенти на програмата са свързани представяне на по-ясни указания (69%), по-добър достъп до непосредствена помощ (51%) и предоставяне на обучения за управление на проекти (51%). </w:t>
      </w:r>
    </w:p>
    <w:p w:rsidR="00342903" w:rsidRDefault="00342903" w:rsidP="00342903">
      <w:pPr>
        <w:pStyle w:val="BodyText"/>
        <w:widowControl w:val="0"/>
        <w:tabs>
          <w:tab w:val="left" w:pos="0"/>
          <w:tab w:val="left" w:pos="6990"/>
        </w:tabs>
        <w:spacing w:before="120" w:line="276" w:lineRule="auto"/>
        <w:jc w:val="both"/>
        <w:rPr>
          <w:rFonts w:ascii="Verdana" w:eastAsia="Malgun Gothic" w:hAnsi="Verdana"/>
          <w:bCs/>
          <w:color w:val="000000"/>
          <w:sz w:val="20"/>
          <w:szCs w:val="20"/>
          <w:lang w:eastAsia="ko-KR"/>
        </w:rPr>
      </w:pPr>
      <w:r>
        <w:rPr>
          <w:rFonts w:ascii="Verdana" w:eastAsia="MS Mincho" w:hAnsi="Verdana"/>
          <w:sz w:val="20"/>
          <w:szCs w:val="20"/>
          <w:lang w:eastAsia="ja-JP"/>
        </w:rPr>
        <w:t xml:space="preserve">Отговорите на двете групи - служителите на ГДСФМОП и потенциални бенефициенти на програмата относно капацитета на бенефициентите </w:t>
      </w:r>
      <w:r>
        <w:rPr>
          <w:rFonts w:ascii="Verdana" w:eastAsia="Malgun Gothic" w:hAnsi="Verdana"/>
          <w:bCs/>
          <w:color w:val="000000"/>
          <w:sz w:val="20"/>
          <w:szCs w:val="20"/>
          <w:lang w:eastAsia="ko-KR"/>
        </w:rPr>
        <w:t>се разминават по отношение на нуждите – докато служителите на бъдещият УО смятат, че обученията на бенефициентите ще повишат административния капацитет, бенефициентите добавят и необходимост от по-ясни указания и предоставяне на непосредствена помощ от страна на УО.</w:t>
      </w:r>
    </w:p>
    <w:p w:rsidR="00342903" w:rsidRPr="00C306A4" w:rsidRDefault="00342903" w:rsidP="00342903">
      <w:pPr>
        <w:pStyle w:val="BodyText"/>
        <w:widowControl w:val="0"/>
        <w:tabs>
          <w:tab w:val="left" w:pos="0"/>
          <w:tab w:val="left" w:pos="6990"/>
        </w:tabs>
        <w:spacing w:before="120" w:line="276" w:lineRule="auto"/>
        <w:jc w:val="both"/>
        <w:rPr>
          <w:rFonts w:ascii="Verdana" w:eastAsia="MS Mincho" w:hAnsi="Verdana"/>
          <w:sz w:val="20"/>
          <w:szCs w:val="20"/>
          <w:lang w:eastAsia="ja-JP"/>
        </w:rPr>
      </w:pPr>
      <w:r>
        <w:rPr>
          <w:rFonts w:ascii="Verdana" w:eastAsia="MS Mincho" w:hAnsi="Verdana"/>
          <w:sz w:val="20"/>
          <w:szCs w:val="20"/>
          <w:lang w:eastAsia="ja-JP"/>
        </w:rPr>
        <w:t xml:space="preserve">Мерките, които </w:t>
      </w:r>
      <w:r w:rsidRPr="00C306A4">
        <w:rPr>
          <w:rFonts w:ascii="Verdana" w:eastAsia="MS Mincho" w:hAnsi="Verdana"/>
          <w:sz w:val="20"/>
          <w:szCs w:val="20"/>
          <w:lang w:eastAsia="ja-JP"/>
        </w:rPr>
        <w:t>УО на ОПНОИР подкрепя за намаляване на админист</w:t>
      </w:r>
      <w:r>
        <w:rPr>
          <w:rFonts w:ascii="Verdana" w:eastAsia="MS Mincho" w:hAnsi="Verdana"/>
          <w:sz w:val="20"/>
          <w:szCs w:val="20"/>
          <w:lang w:eastAsia="ja-JP"/>
        </w:rPr>
        <w:t>рат</w:t>
      </w:r>
      <w:r w:rsidRPr="00C306A4">
        <w:rPr>
          <w:rFonts w:ascii="Verdana" w:eastAsia="MS Mincho" w:hAnsi="Verdana"/>
          <w:sz w:val="20"/>
          <w:szCs w:val="20"/>
          <w:lang w:eastAsia="ja-JP"/>
        </w:rPr>
        <w:t xml:space="preserve">ивната тежест </w:t>
      </w:r>
      <w:r>
        <w:rPr>
          <w:rFonts w:ascii="Verdana" w:eastAsia="MS Mincho" w:hAnsi="Verdana"/>
          <w:sz w:val="20"/>
          <w:szCs w:val="20"/>
          <w:lang w:eastAsia="ja-JP"/>
        </w:rPr>
        <w:t>з</w:t>
      </w:r>
      <w:r w:rsidRPr="00C306A4">
        <w:rPr>
          <w:rFonts w:ascii="Verdana" w:eastAsia="MS Mincho" w:hAnsi="Verdana"/>
          <w:sz w:val="20"/>
          <w:szCs w:val="20"/>
          <w:lang w:eastAsia="ja-JP"/>
        </w:rPr>
        <w:t>а бенефициентите</w:t>
      </w:r>
      <w:r>
        <w:rPr>
          <w:rFonts w:ascii="Verdana" w:eastAsia="MS Mincho" w:hAnsi="Verdana"/>
          <w:sz w:val="20"/>
          <w:szCs w:val="20"/>
          <w:lang w:eastAsia="ja-JP"/>
        </w:rPr>
        <w:t xml:space="preserve"> също се припокриват с исканията и предложенията на бенефициентите, а именно</w:t>
      </w:r>
      <w:r w:rsidRPr="00C306A4">
        <w:rPr>
          <w:rFonts w:ascii="Verdana" w:eastAsia="MS Mincho" w:hAnsi="Verdana"/>
          <w:sz w:val="20"/>
          <w:szCs w:val="20"/>
          <w:lang w:eastAsia="ja-JP"/>
        </w:rPr>
        <w:t>: електронно отчитане на изпълнението на проектите (80%), електронно подаване на проектни предложения (</w:t>
      </w:r>
      <w:r>
        <w:rPr>
          <w:rFonts w:ascii="Verdana" w:eastAsia="MS Mincho" w:hAnsi="Verdana"/>
          <w:sz w:val="20"/>
          <w:szCs w:val="20"/>
          <w:lang w:eastAsia="ja-JP"/>
        </w:rPr>
        <w:t>73</w:t>
      </w:r>
      <w:r w:rsidRPr="00C306A4">
        <w:rPr>
          <w:rFonts w:ascii="Verdana" w:eastAsia="MS Mincho" w:hAnsi="Verdana"/>
          <w:sz w:val="20"/>
          <w:szCs w:val="20"/>
          <w:lang w:eastAsia="ja-JP"/>
        </w:rPr>
        <w:t>%), унифициране на правилата за изпълнение на проекти (</w:t>
      </w:r>
      <w:r>
        <w:rPr>
          <w:rFonts w:ascii="Verdana" w:eastAsia="MS Mincho" w:hAnsi="Verdana"/>
          <w:sz w:val="20"/>
          <w:szCs w:val="20"/>
          <w:lang w:eastAsia="ja-JP"/>
        </w:rPr>
        <w:t>69</w:t>
      </w:r>
      <w:r w:rsidRPr="00C306A4">
        <w:rPr>
          <w:rFonts w:ascii="Verdana" w:eastAsia="MS Mincho" w:hAnsi="Verdana"/>
          <w:sz w:val="20"/>
          <w:szCs w:val="20"/>
          <w:lang w:eastAsia="ja-JP"/>
        </w:rPr>
        <w:t>%), разработване на национална методология за опростените разходи (5</w:t>
      </w:r>
      <w:r>
        <w:rPr>
          <w:rFonts w:ascii="Verdana" w:eastAsia="MS Mincho" w:hAnsi="Verdana"/>
          <w:sz w:val="20"/>
          <w:szCs w:val="20"/>
          <w:lang w:eastAsia="ja-JP"/>
        </w:rPr>
        <w:t>6</w:t>
      </w:r>
      <w:r w:rsidRPr="00C306A4">
        <w:rPr>
          <w:rFonts w:ascii="Verdana" w:eastAsia="MS Mincho" w:hAnsi="Verdana"/>
          <w:sz w:val="20"/>
          <w:szCs w:val="20"/>
          <w:lang w:eastAsia="ja-JP"/>
        </w:rPr>
        <w:t>%).</w:t>
      </w:r>
    </w:p>
    <w:p w:rsidR="00342903" w:rsidRPr="00173D95" w:rsidRDefault="00342903" w:rsidP="00342903">
      <w:pPr>
        <w:pStyle w:val="BodyText"/>
        <w:widowControl w:val="0"/>
        <w:tabs>
          <w:tab w:val="left" w:pos="0"/>
          <w:tab w:val="left" w:pos="6990"/>
        </w:tabs>
        <w:spacing w:before="120" w:line="276" w:lineRule="auto"/>
        <w:jc w:val="both"/>
        <w:rPr>
          <w:rFonts w:ascii="Verdana" w:eastAsia="Malgun Gothic" w:hAnsi="Verdana"/>
          <w:bCs/>
          <w:color w:val="000000"/>
          <w:sz w:val="20"/>
          <w:szCs w:val="20"/>
          <w:lang w:eastAsia="ko-KR"/>
        </w:rPr>
      </w:pPr>
      <w:r>
        <w:rPr>
          <w:rFonts w:ascii="Verdana" w:eastAsia="Malgun Gothic" w:hAnsi="Verdana"/>
          <w:bCs/>
          <w:color w:val="000000"/>
          <w:sz w:val="20"/>
          <w:szCs w:val="20"/>
          <w:lang w:eastAsia="ko-KR"/>
        </w:rPr>
        <w:t xml:space="preserve">На базата на горното, </w:t>
      </w:r>
      <w:r w:rsidRPr="00173D95">
        <w:rPr>
          <w:rFonts w:ascii="Verdana" w:eastAsia="Malgun Gothic" w:hAnsi="Verdana"/>
          <w:bCs/>
          <w:color w:val="000000"/>
          <w:sz w:val="20"/>
          <w:szCs w:val="20"/>
          <w:lang w:eastAsia="ko-KR"/>
        </w:rPr>
        <w:t>за следващия програмен период</w:t>
      </w:r>
      <w:r>
        <w:rPr>
          <w:rFonts w:ascii="Verdana" w:eastAsia="Malgun Gothic" w:hAnsi="Verdana"/>
          <w:bCs/>
          <w:color w:val="000000"/>
          <w:sz w:val="20"/>
          <w:szCs w:val="20"/>
          <w:lang w:eastAsia="ko-KR"/>
        </w:rPr>
        <w:t>, могат да бъдат обобщени с</w:t>
      </w:r>
      <w:r w:rsidRPr="00173D95">
        <w:rPr>
          <w:rFonts w:ascii="Verdana" w:eastAsia="Malgun Gothic" w:hAnsi="Verdana"/>
          <w:bCs/>
          <w:color w:val="000000"/>
          <w:sz w:val="20"/>
          <w:szCs w:val="20"/>
          <w:lang w:eastAsia="ko-KR"/>
        </w:rPr>
        <w:t xml:space="preserve">ледните мерки и дейности за повишаване на капацитета на бенефициентите </w:t>
      </w:r>
      <w:r>
        <w:rPr>
          <w:rFonts w:ascii="Verdana" w:eastAsia="Malgun Gothic" w:hAnsi="Verdana"/>
          <w:bCs/>
          <w:color w:val="000000"/>
          <w:sz w:val="20"/>
          <w:szCs w:val="20"/>
          <w:lang w:eastAsia="ko-KR"/>
        </w:rPr>
        <w:t>и намаляване на административната тежест</w:t>
      </w:r>
      <w:r w:rsidRPr="00173D95">
        <w:rPr>
          <w:rFonts w:ascii="Verdana" w:eastAsia="Malgun Gothic" w:hAnsi="Verdana"/>
          <w:bCs/>
          <w:color w:val="000000"/>
          <w:sz w:val="20"/>
          <w:szCs w:val="20"/>
          <w:lang w:eastAsia="ko-KR"/>
        </w:rPr>
        <w:t>:</w:t>
      </w:r>
    </w:p>
    <w:p w:rsidR="00342903" w:rsidRDefault="00342903" w:rsidP="006861B0">
      <w:pPr>
        <w:pStyle w:val="BodyText"/>
        <w:widowControl w:val="0"/>
        <w:numPr>
          <w:ilvl w:val="0"/>
          <w:numId w:val="78"/>
        </w:numPr>
        <w:tabs>
          <w:tab w:val="left" w:pos="0"/>
          <w:tab w:val="left" w:pos="6990"/>
        </w:tabs>
        <w:spacing w:before="120" w:line="276" w:lineRule="auto"/>
        <w:jc w:val="both"/>
        <w:rPr>
          <w:rFonts w:ascii="Verdana" w:eastAsia="Malgun Gothic" w:hAnsi="Verdana"/>
          <w:bCs/>
          <w:color w:val="000000"/>
          <w:sz w:val="20"/>
          <w:szCs w:val="20"/>
          <w:lang w:eastAsia="ko-KR"/>
        </w:rPr>
      </w:pPr>
      <w:r>
        <w:rPr>
          <w:rFonts w:ascii="Verdana" w:eastAsia="Malgun Gothic" w:hAnsi="Verdana"/>
          <w:bCs/>
          <w:color w:val="000000"/>
          <w:sz w:val="20"/>
          <w:szCs w:val="20"/>
          <w:lang w:eastAsia="ko-KR"/>
        </w:rPr>
        <w:t xml:space="preserve">Публикуване на индикативни програми за стартиране на схемите за предоставяне на финансиране поне </w:t>
      </w:r>
      <w:r w:rsidRPr="00A608E7">
        <w:rPr>
          <w:rFonts w:ascii="Verdana" w:eastAsia="Malgun Gothic" w:hAnsi="Verdana"/>
          <w:bCs/>
          <w:color w:val="000000"/>
          <w:sz w:val="20"/>
          <w:szCs w:val="20"/>
          <w:lang w:eastAsia="ko-KR"/>
        </w:rPr>
        <w:t>1 година предварително</w:t>
      </w:r>
      <w:r>
        <w:rPr>
          <w:rFonts w:ascii="Verdana" w:eastAsia="Malgun Gothic" w:hAnsi="Verdana"/>
          <w:bCs/>
          <w:color w:val="000000"/>
          <w:sz w:val="20"/>
          <w:szCs w:val="20"/>
          <w:lang w:eastAsia="ko-KR"/>
        </w:rPr>
        <w:t>;</w:t>
      </w:r>
    </w:p>
    <w:p w:rsidR="00342903" w:rsidRDefault="00342903" w:rsidP="006861B0">
      <w:pPr>
        <w:pStyle w:val="BodyText"/>
        <w:widowControl w:val="0"/>
        <w:numPr>
          <w:ilvl w:val="0"/>
          <w:numId w:val="78"/>
        </w:numPr>
        <w:tabs>
          <w:tab w:val="left" w:pos="0"/>
          <w:tab w:val="left" w:pos="6990"/>
        </w:tabs>
        <w:spacing w:before="120" w:line="276" w:lineRule="auto"/>
        <w:jc w:val="both"/>
        <w:rPr>
          <w:rFonts w:ascii="Verdana" w:eastAsia="Malgun Gothic" w:hAnsi="Verdana"/>
          <w:bCs/>
          <w:color w:val="000000"/>
          <w:sz w:val="20"/>
          <w:szCs w:val="20"/>
          <w:lang w:eastAsia="ko-KR"/>
        </w:rPr>
      </w:pPr>
      <w:r>
        <w:rPr>
          <w:rFonts w:ascii="Verdana" w:eastAsia="Malgun Gothic" w:hAnsi="Verdana"/>
          <w:bCs/>
          <w:color w:val="000000"/>
          <w:sz w:val="20"/>
          <w:szCs w:val="20"/>
          <w:lang w:eastAsia="ko-KR"/>
        </w:rPr>
        <w:t xml:space="preserve">Въвеждане на </w:t>
      </w:r>
      <w:r w:rsidRPr="00173D95">
        <w:rPr>
          <w:rFonts w:ascii="Verdana" w:eastAsia="Malgun Gothic" w:hAnsi="Verdana"/>
          <w:bCs/>
          <w:color w:val="000000"/>
          <w:sz w:val="20"/>
          <w:szCs w:val="20"/>
          <w:lang w:eastAsia="ko-KR"/>
        </w:rPr>
        <w:t xml:space="preserve">кандидатстването по </w:t>
      </w:r>
      <w:r>
        <w:rPr>
          <w:rFonts w:ascii="Verdana" w:eastAsia="Malgun Gothic" w:hAnsi="Verdana"/>
          <w:bCs/>
          <w:color w:val="000000"/>
          <w:sz w:val="20"/>
          <w:szCs w:val="20"/>
          <w:lang w:eastAsia="ko-KR"/>
        </w:rPr>
        <w:t>електронен път;</w:t>
      </w:r>
    </w:p>
    <w:p w:rsidR="00342903" w:rsidRPr="00173D95" w:rsidRDefault="00342903" w:rsidP="006861B0">
      <w:pPr>
        <w:pStyle w:val="BodyText"/>
        <w:widowControl w:val="0"/>
        <w:numPr>
          <w:ilvl w:val="0"/>
          <w:numId w:val="78"/>
        </w:numPr>
        <w:tabs>
          <w:tab w:val="left" w:pos="0"/>
          <w:tab w:val="left" w:pos="6990"/>
        </w:tabs>
        <w:spacing w:before="120" w:line="276" w:lineRule="auto"/>
        <w:jc w:val="both"/>
        <w:rPr>
          <w:rFonts w:ascii="Verdana" w:eastAsia="Malgun Gothic" w:hAnsi="Verdana"/>
          <w:bCs/>
          <w:color w:val="000000"/>
          <w:sz w:val="20"/>
          <w:szCs w:val="20"/>
          <w:lang w:eastAsia="ko-KR"/>
        </w:rPr>
      </w:pPr>
      <w:r w:rsidRPr="00173D95">
        <w:rPr>
          <w:rFonts w:ascii="Verdana" w:eastAsia="Malgun Gothic" w:hAnsi="Verdana"/>
          <w:bCs/>
          <w:color w:val="000000"/>
          <w:sz w:val="20"/>
          <w:szCs w:val="20"/>
          <w:lang w:eastAsia="ko-KR"/>
        </w:rPr>
        <w:t>Максимално използване на ИСУН в комуникацията с бенефициентите – при отчитане на резултати и индикатори, при представяне на доклади, при искания за плащане, при верифициране на разходи и т.н.;</w:t>
      </w:r>
    </w:p>
    <w:p w:rsidR="00342903" w:rsidRPr="00173D95" w:rsidRDefault="00342903" w:rsidP="006861B0">
      <w:pPr>
        <w:pStyle w:val="BodyText"/>
        <w:widowControl w:val="0"/>
        <w:numPr>
          <w:ilvl w:val="0"/>
          <w:numId w:val="78"/>
        </w:numPr>
        <w:tabs>
          <w:tab w:val="left" w:pos="0"/>
          <w:tab w:val="left" w:pos="6990"/>
        </w:tabs>
        <w:spacing w:before="120" w:line="276" w:lineRule="auto"/>
        <w:jc w:val="both"/>
        <w:rPr>
          <w:rFonts w:ascii="Verdana" w:eastAsia="Malgun Gothic" w:hAnsi="Verdana"/>
          <w:bCs/>
          <w:color w:val="000000"/>
          <w:sz w:val="20"/>
          <w:szCs w:val="20"/>
          <w:lang w:eastAsia="ko-KR"/>
        </w:rPr>
      </w:pPr>
      <w:r w:rsidRPr="00173D95">
        <w:rPr>
          <w:rFonts w:ascii="Verdana" w:eastAsia="Malgun Gothic" w:hAnsi="Verdana"/>
          <w:bCs/>
          <w:color w:val="000000"/>
          <w:sz w:val="20"/>
          <w:szCs w:val="20"/>
          <w:lang w:eastAsia="ko-KR"/>
        </w:rPr>
        <w:t>Продължаване на практиката за провеждане на информационни дни и разяснителни кампании по схемите за подкрепа;</w:t>
      </w:r>
    </w:p>
    <w:p w:rsidR="00342903" w:rsidRDefault="00342903" w:rsidP="006861B0">
      <w:pPr>
        <w:pStyle w:val="BodyText"/>
        <w:widowControl w:val="0"/>
        <w:numPr>
          <w:ilvl w:val="0"/>
          <w:numId w:val="78"/>
        </w:numPr>
        <w:tabs>
          <w:tab w:val="left" w:pos="0"/>
          <w:tab w:val="left" w:pos="6990"/>
        </w:tabs>
        <w:spacing w:before="120" w:line="276" w:lineRule="auto"/>
        <w:jc w:val="both"/>
        <w:rPr>
          <w:rFonts w:ascii="Verdana" w:eastAsia="Malgun Gothic" w:hAnsi="Verdana"/>
          <w:bCs/>
          <w:color w:val="000000"/>
          <w:sz w:val="20"/>
          <w:szCs w:val="20"/>
          <w:lang w:eastAsia="ko-KR"/>
        </w:rPr>
      </w:pPr>
      <w:r w:rsidRPr="00173D95">
        <w:rPr>
          <w:rFonts w:ascii="Verdana" w:eastAsia="Malgun Gothic" w:hAnsi="Verdana"/>
          <w:bCs/>
          <w:color w:val="000000"/>
          <w:sz w:val="20"/>
          <w:szCs w:val="20"/>
          <w:lang w:eastAsia="ko-KR"/>
        </w:rPr>
        <w:t>Да се избягва честата смяна на правила и указания в процеса на изпълнени</w:t>
      </w:r>
      <w:r>
        <w:rPr>
          <w:rFonts w:ascii="Verdana" w:eastAsia="Malgun Gothic" w:hAnsi="Verdana"/>
          <w:bCs/>
          <w:color w:val="000000"/>
          <w:sz w:val="20"/>
          <w:szCs w:val="20"/>
          <w:lang w:eastAsia="ko-KR"/>
        </w:rPr>
        <w:t>е</w:t>
      </w:r>
      <w:r w:rsidRPr="00173D95">
        <w:rPr>
          <w:rFonts w:ascii="Verdana" w:eastAsia="Malgun Gothic" w:hAnsi="Verdana"/>
          <w:bCs/>
          <w:color w:val="000000"/>
          <w:sz w:val="20"/>
          <w:szCs w:val="20"/>
          <w:lang w:eastAsia="ko-KR"/>
        </w:rPr>
        <w:t xml:space="preserve"> на проектите и ако това се налага</w:t>
      </w:r>
      <w:r>
        <w:rPr>
          <w:rFonts w:ascii="Verdana" w:eastAsia="Malgun Gothic" w:hAnsi="Verdana"/>
          <w:bCs/>
          <w:color w:val="000000"/>
          <w:sz w:val="20"/>
          <w:szCs w:val="20"/>
          <w:lang w:eastAsia="ko-KR"/>
        </w:rPr>
        <w:t>,</w:t>
      </w:r>
      <w:r w:rsidRPr="00173D95">
        <w:rPr>
          <w:rFonts w:ascii="Verdana" w:eastAsia="Malgun Gothic" w:hAnsi="Verdana"/>
          <w:bCs/>
          <w:color w:val="000000"/>
          <w:sz w:val="20"/>
          <w:szCs w:val="20"/>
          <w:lang w:eastAsia="ko-KR"/>
        </w:rPr>
        <w:t xml:space="preserve"> бенефициентите да бъдат увед</w:t>
      </w:r>
      <w:r>
        <w:rPr>
          <w:rFonts w:ascii="Verdana" w:eastAsia="Malgun Gothic" w:hAnsi="Verdana"/>
          <w:bCs/>
          <w:color w:val="000000"/>
          <w:sz w:val="20"/>
          <w:szCs w:val="20"/>
          <w:lang w:eastAsia="ko-KR"/>
        </w:rPr>
        <w:t>омявани по подходящ начин (по и</w:t>
      </w:r>
      <w:r w:rsidRPr="00173D95">
        <w:rPr>
          <w:rFonts w:ascii="Verdana" w:eastAsia="Malgun Gothic" w:hAnsi="Verdana"/>
          <w:bCs/>
          <w:color w:val="000000"/>
          <w:sz w:val="20"/>
          <w:szCs w:val="20"/>
          <w:lang w:eastAsia="ko-KR"/>
        </w:rPr>
        <w:t>мейл) за настъпилите промени</w:t>
      </w:r>
      <w:r>
        <w:rPr>
          <w:rFonts w:ascii="Verdana" w:eastAsia="Malgun Gothic" w:hAnsi="Verdana"/>
          <w:bCs/>
          <w:color w:val="000000"/>
          <w:sz w:val="20"/>
          <w:szCs w:val="20"/>
          <w:lang w:eastAsia="ko-KR"/>
        </w:rPr>
        <w:t xml:space="preserve">,  да им се дават </w:t>
      </w:r>
      <w:r>
        <w:rPr>
          <w:rFonts w:ascii="Verdana" w:eastAsia="Malgun Gothic" w:hAnsi="Verdana"/>
          <w:bCs/>
          <w:color w:val="000000"/>
          <w:sz w:val="20"/>
          <w:szCs w:val="20"/>
          <w:lang w:eastAsia="ko-KR"/>
        </w:rPr>
        <w:lastRenderedPageBreak/>
        <w:t>допълнителни разяснения при необходимост</w:t>
      </w:r>
      <w:r w:rsidRPr="00173D95">
        <w:rPr>
          <w:rFonts w:ascii="Verdana" w:eastAsia="Malgun Gothic" w:hAnsi="Verdana"/>
          <w:bCs/>
          <w:color w:val="000000"/>
          <w:sz w:val="20"/>
          <w:szCs w:val="20"/>
          <w:lang w:eastAsia="ko-KR"/>
        </w:rPr>
        <w:t>;</w:t>
      </w:r>
    </w:p>
    <w:p w:rsidR="00342903" w:rsidRPr="00A943FB" w:rsidRDefault="00342903" w:rsidP="006861B0">
      <w:pPr>
        <w:pStyle w:val="BodyText"/>
        <w:widowControl w:val="0"/>
        <w:numPr>
          <w:ilvl w:val="0"/>
          <w:numId w:val="78"/>
        </w:numPr>
        <w:tabs>
          <w:tab w:val="left" w:pos="0"/>
          <w:tab w:val="left" w:pos="6990"/>
        </w:tabs>
        <w:spacing w:before="120" w:line="276" w:lineRule="auto"/>
        <w:jc w:val="both"/>
        <w:rPr>
          <w:rFonts w:ascii="Verdana" w:eastAsia="Malgun Gothic" w:hAnsi="Verdana"/>
          <w:bCs/>
          <w:color w:val="000000"/>
          <w:sz w:val="20"/>
          <w:szCs w:val="20"/>
          <w:lang w:eastAsia="ko-KR"/>
        </w:rPr>
      </w:pPr>
      <w:r>
        <w:rPr>
          <w:rFonts w:ascii="Verdana" w:eastAsia="Malgun Gothic" w:hAnsi="Verdana"/>
          <w:bCs/>
          <w:color w:val="000000"/>
          <w:sz w:val="20"/>
          <w:szCs w:val="20"/>
          <w:lang w:eastAsia="ko-KR"/>
        </w:rPr>
        <w:t>Организиране на обучения по изпълнение на проекти и правилно разходване на средства;</w:t>
      </w:r>
    </w:p>
    <w:p w:rsidR="00342903" w:rsidRPr="00392F7F" w:rsidRDefault="00342903" w:rsidP="006861B0">
      <w:pPr>
        <w:pStyle w:val="BodyText"/>
        <w:widowControl w:val="0"/>
        <w:numPr>
          <w:ilvl w:val="0"/>
          <w:numId w:val="78"/>
        </w:numPr>
        <w:tabs>
          <w:tab w:val="left" w:pos="0"/>
          <w:tab w:val="left" w:pos="6990"/>
        </w:tabs>
        <w:spacing w:before="120" w:line="276" w:lineRule="auto"/>
        <w:jc w:val="both"/>
        <w:rPr>
          <w:rFonts w:ascii="Verdana" w:eastAsia="Malgun Gothic" w:hAnsi="Verdana"/>
          <w:bCs/>
          <w:color w:val="000000"/>
          <w:sz w:val="20"/>
          <w:szCs w:val="20"/>
          <w:lang w:eastAsia="ko-KR"/>
        </w:rPr>
      </w:pPr>
      <w:r w:rsidRPr="000F437D">
        <w:rPr>
          <w:rFonts w:ascii="Verdana" w:hAnsi="Verdana" w:cs="Arial"/>
          <w:color w:val="000000"/>
          <w:sz w:val="20"/>
          <w:szCs w:val="20"/>
        </w:rPr>
        <w:t>Въвеждане на „контактна точка“ з</w:t>
      </w:r>
      <w:r w:rsidRPr="000F437D">
        <w:rPr>
          <w:rFonts w:ascii="Verdana" w:eastAsia="Malgun Gothic" w:hAnsi="Verdana" w:cs="Arial"/>
          <w:color w:val="000000"/>
          <w:sz w:val="20"/>
          <w:szCs w:val="20"/>
          <w:lang w:eastAsia="ko-KR"/>
        </w:rPr>
        <w:t>а бенефициенти в Наръчника за изпълнение на проекта, с ясно определени лица, отговорности  и срокове  за отговор на въпроси.</w:t>
      </w:r>
    </w:p>
    <w:tbl>
      <w:tblPr>
        <w:tblW w:w="9072" w:type="dxa"/>
        <w:tblInd w:w="108" w:type="dxa"/>
        <w:tblBorders>
          <w:top w:val="single" w:sz="4" w:space="0" w:color="auto"/>
          <w:bottom w:val="single" w:sz="4" w:space="0" w:color="auto"/>
        </w:tblBorders>
        <w:tblLook w:val="04A0" w:firstRow="1" w:lastRow="0" w:firstColumn="1" w:lastColumn="0" w:noHBand="0" w:noVBand="1"/>
      </w:tblPr>
      <w:tblGrid>
        <w:gridCol w:w="531"/>
        <w:gridCol w:w="8541"/>
      </w:tblGrid>
      <w:tr w:rsidR="0026362F" w:rsidRPr="0073781E" w:rsidTr="0026362F">
        <w:tc>
          <w:tcPr>
            <w:tcW w:w="531" w:type="dxa"/>
            <w:vAlign w:val="center"/>
          </w:tcPr>
          <w:p w:rsidR="0026362F" w:rsidRPr="005757F7" w:rsidRDefault="0026362F" w:rsidP="00A22EA5">
            <w:pPr>
              <w:pStyle w:val="BodyText"/>
              <w:keepNext/>
              <w:spacing w:before="120" w:line="276" w:lineRule="auto"/>
              <w:jc w:val="center"/>
              <w:rPr>
                <w:rFonts w:ascii="Verdana" w:hAnsi="Verdana"/>
                <w:color w:val="548DD4"/>
                <w:sz w:val="36"/>
                <w:szCs w:val="36"/>
              </w:rPr>
            </w:pPr>
            <w:r w:rsidRPr="005757F7">
              <w:rPr>
                <w:rFonts w:ascii="Verdana" w:hAnsi="Verdana"/>
                <w:color w:val="548DD4"/>
                <w:sz w:val="36"/>
                <w:szCs w:val="36"/>
              </w:rPr>
              <w:t>?</w:t>
            </w:r>
          </w:p>
        </w:tc>
        <w:tc>
          <w:tcPr>
            <w:tcW w:w="8541" w:type="dxa"/>
            <w:shd w:val="clear" w:color="auto" w:fill="B8CCE4"/>
          </w:tcPr>
          <w:p w:rsidR="0026362F" w:rsidRPr="005757F7" w:rsidRDefault="0026362F" w:rsidP="00A22EA5">
            <w:pPr>
              <w:keepNext/>
              <w:autoSpaceDE w:val="0"/>
              <w:autoSpaceDN w:val="0"/>
              <w:adjustRightInd w:val="0"/>
              <w:spacing w:before="120" w:after="120"/>
              <w:rPr>
                <w:rFonts w:ascii="Verdana" w:hAnsi="Verdana"/>
                <w:sz w:val="20"/>
                <w:szCs w:val="20"/>
                <w:lang w:val="bg-BG"/>
              </w:rPr>
            </w:pPr>
            <w:r w:rsidRPr="005757F7">
              <w:rPr>
                <w:rFonts w:ascii="Verdana" w:hAnsi="Verdana"/>
                <w:sz w:val="20"/>
                <w:szCs w:val="20"/>
                <w:lang w:val="bg-BG"/>
              </w:rPr>
              <w:t>Пригодност на етапните цели от гледна точка на адм. капацитет   (като се направи връзка с анализа на заложените етапни цели)</w:t>
            </w:r>
          </w:p>
        </w:tc>
      </w:tr>
    </w:tbl>
    <w:p w:rsidR="0026362F" w:rsidRDefault="0026362F" w:rsidP="0026362F">
      <w:pPr>
        <w:pStyle w:val="BodyText"/>
        <w:widowControl w:val="0"/>
        <w:tabs>
          <w:tab w:val="left" w:pos="0"/>
          <w:tab w:val="right" w:pos="9214"/>
        </w:tabs>
        <w:spacing w:before="120" w:line="276" w:lineRule="auto"/>
        <w:jc w:val="both"/>
        <w:rPr>
          <w:rFonts w:ascii="Verdana" w:hAnsi="Verdana"/>
          <w:bCs/>
          <w:color w:val="000000"/>
          <w:sz w:val="20"/>
          <w:szCs w:val="20"/>
        </w:rPr>
      </w:pPr>
      <w:r>
        <w:rPr>
          <w:rFonts w:ascii="Verdana" w:hAnsi="Verdana"/>
          <w:bCs/>
          <w:color w:val="000000"/>
          <w:sz w:val="20"/>
          <w:szCs w:val="20"/>
        </w:rPr>
        <w:t>Към момента етапните цели на програмата са в процес на разработване. За да бъдат постигнати етапните цели на програмата следва да бъде осигурено:</w:t>
      </w:r>
    </w:p>
    <w:p w:rsidR="0026362F" w:rsidRDefault="0026362F" w:rsidP="006861B0">
      <w:pPr>
        <w:pStyle w:val="BodyText"/>
        <w:widowControl w:val="0"/>
        <w:numPr>
          <w:ilvl w:val="0"/>
          <w:numId w:val="88"/>
        </w:numPr>
        <w:tabs>
          <w:tab w:val="left" w:pos="0"/>
          <w:tab w:val="right" w:pos="9214"/>
        </w:tabs>
        <w:spacing w:before="120" w:line="276" w:lineRule="auto"/>
        <w:jc w:val="both"/>
        <w:rPr>
          <w:rFonts w:ascii="Verdana" w:hAnsi="Verdana"/>
          <w:bCs/>
          <w:color w:val="000000"/>
          <w:sz w:val="20"/>
          <w:szCs w:val="20"/>
        </w:rPr>
      </w:pPr>
      <w:r>
        <w:rPr>
          <w:rFonts w:ascii="Verdana" w:hAnsi="Verdana"/>
          <w:bCs/>
          <w:color w:val="000000"/>
          <w:sz w:val="20"/>
          <w:szCs w:val="20"/>
        </w:rPr>
        <w:t>Навременно стартиране на схемите по програмата;</w:t>
      </w:r>
    </w:p>
    <w:p w:rsidR="0026362F" w:rsidRDefault="0026362F" w:rsidP="006861B0">
      <w:pPr>
        <w:pStyle w:val="BodyText"/>
        <w:widowControl w:val="0"/>
        <w:numPr>
          <w:ilvl w:val="0"/>
          <w:numId w:val="88"/>
        </w:numPr>
        <w:tabs>
          <w:tab w:val="left" w:pos="0"/>
          <w:tab w:val="right" w:pos="9214"/>
        </w:tabs>
        <w:spacing w:before="120" w:line="276" w:lineRule="auto"/>
        <w:jc w:val="both"/>
        <w:rPr>
          <w:rFonts w:ascii="Verdana" w:hAnsi="Verdana"/>
          <w:bCs/>
          <w:color w:val="000000"/>
          <w:sz w:val="20"/>
          <w:szCs w:val="20"/>
        </w:rPr>
      </w:pPr>
      <w:r>
        <w:rPr>
          <w:rFonts w:ascii="Verdana" w:hAnsi="Verdana"/>
          <w:bCs/>
          <w:color w:val="000000"/>
          <w:sz w:val="20"/>
          <w:szCs w:val="20"/>
        </w:rPr>
        <w:t>Спазване на сроковете при оценката, изпълнение, отчитане и верифициране на проектите;</w:t>
      </w:r>
    </w:p>
    <w:p w:rsidR="0026362F" w:rsidRDefault="0026362F" w:rsidP="006861B0">
      <w:pPr>
        <w:pStyle w:val="BodyText"/>
        <w:widowControl w:val="0"/>
        <w:numPr>
          <w:ilvl w:val="0"/>
          <w:numId w:val="88"/>
        </w:numPr>
        <w:tabs>
          <w:tab w:val="left" w:pos="0"/>
          <w:tab w:val="right" w:pos="9214"/>
        </w:tabs>
        <w:spacing w:before="120" w:line="276" w:lineRule="auto"/>
        <w:jc w:val="both"/>
        <w:rPr>
          <w:rFonts w:ascii="Verdana" w:hAnsi="Verdana"/>
          <w:bCs/>
          <w:color w:val="000000"/>
          <w:sz w:val="20"/>
          <w:szCs w:val="20"/>
        </w:rPr>
      </w:pPr>
      <w:r>
        <w:rPr>
          <w:rFonts w:ascii="Verdana" w:hAnsi="Verdana"/>
          <w:bCs/>
          <w:color w:val="000000"/>
          <w:sz w:val="20"/>
          <w:szCs w:val="20"/>
        </w:rPr>
        <w:t>Ясно определени индикатори на проектно и програмно ниво;</w:t>
      </w:r>
    </w:p>
    <w:p w:rsidR="0026362F" w:rsidRDefault="0026362F" w:rsidP="006861B0">
      <w:pPr>
        <w:pStyle w:val="BodyText"/>
        <w:widowControl w:val="0"/>
        <w:numPr>
          <w:ilvl w:val="0"/>
          <w:numId w:val="88"/>
        </w:numPr>
        <w:tabs>
          <w:tab w:val="left" w:pos="0"/>
          <w:tab w:val="right" w:pos="9214"/>
        </w:tabs>
        <w:spacing w:before="120" w:line="276" w:lineRule="auto"/>
        <w:jc w:val="both"/>
        <w:rPr>
          <w:rFonts w:ascii="Verdana" w:hAnsi="Verdana"/>
          <w:bCs/>
          <w:color w:val="000000"/>
          <w:sz w:val="20"/>
          <w:szCs w:val="20"/>
        </w:rPr>
      </w:pPr>
      <w:r>
        <w:rPr>
          <w:rFonts w:ascii="Verdana" w:hAnsi="Verdana"/>
          <w:bCs/>
          <w:color w:val="000000"/>
          <w:sz w:val="20"/>
          <w:szCs w:val="20"/>
        </w:rPr>
        <w:t xml:space="preserve">Наличие на ефективна </w:t>
      </w:r>
      <w:proofErr w:type="spellStart"/>
      <w:r>
        <w:rPr>
          <w:rFonts w:ascii="Verdana" w:hAnsi="Verdana"/>
          <w:bCs/>
          <w:color w:val="000000"/>
          <w:sz w:val="20"/>
          <w:szCs w:val="20"/>
        </w:rPr>
        <w:t>мониторингова</w:t>
      </w:r>
      <w:proofErr w:type="spellEnd"/>
      <w:r>
        <w:rPr>
          <w:rFonts w:ascii="Verdana" w:hAnsi="Verdana"/>
          <w:bCs/>
          <w:color w:val="000000"/>
          <w:sz w:val="20"/>
          <w:szCs w:val="20"/>
        </w:rPr>
        <w:t xml:space="preserve"> система, която да следи и анализира постигането на заложените индикатори.</w:t>
      </w:r>
    </w:p>
    <w:p w:rsidR="00A22EA5" w:rsidRDefault="0026362F" w:rsidP="0026362F">
      <w:pPr>
        <w:pStyle w:val="BodyText"/>
        <w:widowControl w:val="0"/>
        <w:tabs>
          <w:tab w:val="left" w:pos="0"/>
          <w:tab w:val="right" w:pos="9214"/>
        </w:tabs>
        <w:spacing w:before="120" w:line="276" w:lineRule="auto"/>
        <w:jc w:val="both"/>
        <w:rPr>
          <w:rFonts w:ascii="Verdana" w:hAnsi="Verdana"/>
          <w:bCs/>
          <w:color w:val="000000"/>
          <w:sz w:val="20"/>
          <w:szCs w:val="20"/>
        </w:rPr>
      </w:pPr>
      <w:r>
        <w:rPr>
          <w:rFonts w:ascii="Verdana" w:hAnsi="Verdana"/>
          <w:bCs/>
          <w:color w:val="000000"/>
          <w:sz w:val="20"/>
          <w:szCs w:val="20"/>
        </w:rPr>
        <w:t>Всички тези условия са свързани както с административния капацитет на УО, така и с капацитета на потенциалните бенефициенти на програмата</w:t>
      </w:r>
      <w:r w:rsidR="00A22EA5">
        <w:rPr>
          <w:rFonts w:ascii="Verdana" w:hAnsi="Verdana"/>
          <w:bCs/>
          <w:color w:val="000000"/>
          <w:sz w:val="20"/>
          <w:szCs w:val="20"/>
        </w:rPr>
        <w:t>. По долу са разгледани рисковете, свързани с административния капацитет</w:t>
      </w:r>
      <w:r w:rsidR="00A22EA5">
        <w:rPr>
          <w:rStyle w:val="FootnoteReference"/>
          <w:rFonts w:ascii="Verdana" w:hAnsi="Verdana"/>
          <w:bCs/>
          <w:color w:val="000000"/>
          <w:sz w:val="20"/>
          <w:szCs w:val="20"/>
        </w:rPr>
        <w:footnoteReference w:id="12"/>
      </w:r>
      <w:r w:rsidR="00A22EA5">
        <w:rPr>
          <w:rFonts w:ascii="Verdana" w:hAnsi="Verdana"/>
          <w:bCs/>
          <w:color w:val="000000"/>
          <w:sz w:val="20"/>
          <w:szCs w:val="20"/>
        </w:rPr>
        <w:t>.</w:t>
      </w:r>
    </w:p>
    <w:p w:rsidR="00A22EA5" w:rsidRDefault="00A22EA5" w:rsidP="00A22EA5">
      <w:pPr>
        <w:pStyle w:val="BodyText"/>
        <w:widowControl w:val="0"/>
        <w:tabs>
          <w:tab w:val="left" w:pos="0"/>
          <w:tab w:val="right" w:pos="9214"/>
        </w:tabs>
        <w:spacing w:before="120" w:line="276" w:lineRule="auto"/>
        <w:jc w:val="both"/>
        <w:rPr>
          <w:rFonts w:ascii="Verdana" w:hAnsi="Verdana"/>
          <w:bCs/>
          <w:color w:val="000000"/>
          <w:sz w:val="20"/>
          <w:szCs w:val="20"/>
        </w:rPr>
      </w:pPr>
      <w:r>
        <w:rPr>
          <w:rFonts w:ascii="Verdana" w:hAnsi="Verdana"/>
          <w:bCs/>
          <w:color w:val="000000"/>
          <w:sz w:val="20"/>
          <w:szCs w:val="20"/>
        </w:rPr>
        <w:t xml:space="preserve">При оценката на риска </w:t>
      </w:r>
      <w:r>
        <w:rPr>
          <w:rFonts w:ascii="Verdana" w:eastAsia="Malgun Gothic" w:hAnsi="Verdana"/>
          <w:bCs/>
          <w:color w:val="000000"/>
          <w:sz w:val="20"/>
          <w:szCs w:val="20"/>
          <w:lang w:eastAsia="ko-KR"/>
        </w:rPr>
        <w:t>следвахме</w:t>
      </w:r>
      <w:r>
        <w:rPr>
          <w:rFonts w:ascii="Verdana" w:hAnsi="Verdana"/>
          <w:bCs/>
          <w:color w:val="000000"/>
          <w:sz w:val="20"/>
          <w:szCs w:val="20"/>
        </w:rPr>
        <w:t xml:space="preserve"> предписанията на ISO 31000:2009 и тя е проведена в следните стъпки:</w:t>
      </w:r>
    </w:p>
    <w:p w:rsidR="00A22EA5" w:rsidRDefault="00A22EA5" w:rsidP="006861B0">
      <w:pPr>
        <w:pStyle w:val="BodyText"/>
        <w:numPr>
          <w:ilvl w:val="0"/>
          <w:numId w:val="80"/>
        </w:numPr>
        <w:spacing w:before="120" w:line="276" w:lineRule="auto"/>
        <w:jc w:val="both"/>
        <w:rPr>
          <w:rFonts w:ascii="Verdana" w:hAnsi="Verdana"/>
          <w:bCs/>
          <w:color w:val="000000"/>
          <w:sz w:val="20"/>
          <w:szCs w:val="20"/>
        </w:rPr>
      </w:pPr>
      <w:r>
        <w:rPr>
          <w:rFonts w:ascii="Verdana" w:hAnsi="Verdana"/>
          <w:bCs/>
          <w:i/>
          <w:color w:val="548DD4" w:themeColor="text2" w:themeTint="99"/>
          <w:sz w:val="20"/>
          <w:szCs w:val="20"/>
        </w:rPr>
        <w:t xml:space="preserve">Установяване на контекста </w:t>
      </w:r>
      <w:r>
        <w:rPr>
          <w:rFonts w:ascii="Verdana" w:hAnsi="Verdana"/>
          <w:bCs/>
          <w:color w:val="000000"/>
          <w:sz w:val="20"/>
          <w:szCs w:val="20"/>
        </w:rPr>
        <w:t>– установяване на контекста на външната среда е направено на базата на наличните към момента на оценката европейска нормативна рамка, националната нормативна рамка за периода 2014-2020 г. и устройствената рамка на УО за новия програмен период. Беше определен обхватът на рисковите фактори, които са разгледани;</w:t>
      </w:r>
    </w:p>
    <w:p w:rsidR="00A22EA5" w:rsidRDefault="00A22EA5" w:rsidP="006861B0">
      <w:pPr>
        <w:pStyle w:val="BodyText"/>
        <w:numPr>
          <w:ilvl w:val="0"/>
          <w:numId w:val="80"/>
        </w:numPr>
        <w:spacing w:before="120" w:line="276" w:lineRule="auto"/>
        <w:jc w:val="both"/>
        <w:rPr>
          <w:rFonts w:ascii="Verdana" w:hAnsi="Verdana"/>
          <w:bCs/>
          <w:color w:val="000000"/>
          <w:sz w:val="20"/>
          <w:szCs w:val="20"/>
        </w:rPr>
      </w:pPr>
      <w:r>
        <w:rPr>
          <w:rFonts w:ascii="Verdana" w:hAnsi="Verdana"/>
          <w:bCs/>
          <w:i/>
          <w:color w:val="548DD4" w:themeColor="text2" w:themeTint="99"/>
          <w:sz w:val="20"/>
          <w:szCs w:val="20"/>
        </w:rPr>
        <w:t>Идентифициране на рисковете по отношение на административния капацитет</w:t>
      </w:r>
      <w:r>
        <w:rPr>
          <w:rFonts w:ascii="Verdana" w:hAnsi="Verdana"/>
          <w:bCs/>
          <w:color w:val="000000"/>
          <w:sz w:val="20"/>
          <w:szCs w:val="20"/>
        </w:rPr>
        <w:t xml:space="preserve"> – След като в първата стъпка от анализа на рисковете бе определен контекстът, във втората стъпка бяха установени причините и източниците на риск и сферите на въздействие. </w:t>
      </w:r>
    </w:p>
    <w:p w:rsidR="00A22EA5" w:rsidRDefault="00A22EA5" w:rsidP="006861B0">
      <w:pPr>
        <w:pStyle w:val="BodyText"/>
        <w:numPr>
          <w:ilvl w:val="0"/>
          <w:numId w:val="80"/>
        </w:numPr>
        <w:spacing w:before="120" w:line="276" w:lineRule="auto"/>
        <w:jc w:val="both"/>
        <w:rPr>
          <w:rFonts w:ascii="Verdana" w:hAnsi="Verdana"/>
          <w:bCs/>
          <w:color w:val="000000"/>
          <w:sz w:val="20"/>
          <w:szCs w:val="20"/>
        </w:rPr>
      </w:pPr>
      <w:r>
        <w:rPr>
          <w:rFonts w:ascii="Verdana" w:hAnsi="Verdana"/>
          <w:bCs/>
          <w:i/>
          <w:color w:val="548DD4" w:themeColor="text2" w:themeTint="99"/>
          <w:sz w:val="20"/>
          <w:szCs w:val="20"/>
        </w:rPr>
        <w:t>Анализ и оценка на рисковете</w:t>
      </w:r>
      <w:r>
        <w:rPr>
          <w:rFonts w:ascii="Verdana" w:hAnsi="Verdana"/>
          <w:bCs/>
          <w:color w:val="000000"/>
          <w:sz w:val="20"/>
          <w:szCs w:val="20"/>
        </w:rPr>
        <w:t>– третата стъпка от оценката на риска включва анализ и оценка на идентифицираните рискове и техните параметри. Повече информация за типовете рискове и начина за оценка е включена по-долу.</w:t>
      </w:r>
    </w:p>
    <w:p w:rsidR="00A22EA5" w:rsidRDefault="00A22EA5" w:rsidP="00A22EA5">
      <w:pPr>
        <w:pStyle w:val="BodyText"/>
        <w:tabs>
          <w:tab w:val="left" w:pos="0"/>
          <w:tab w:val="right" w:pos="9214"/>
        </w:tabs>
        <w:spacing w:before="120" w:line="276" w:lineRule="auto"/>
        <w:jc w:val="both"/>
        <w:rPr>
          <w:rFonts w:ascii="Verdana" w:hAnsi="Verdana"/>
          <w:bCs/>
          <w:color w:val="000000"/>
          <w:sz w:val="20"/>
          <w:szCs w:val="20"/>
        </w:rPr>
      </w:pPr>
      <w:r>
        <w:rPr>
          <w:rFonts w:ascii="Verdana" w:hAnsi="Verdana"/>
          <w:bCs/>
          <w:color w:val="000000"/>
          <w:sz w:val="20"/>
          <w:szCs w:val="20"/>
        </w:rPr>
        <w:lastRenderedPageBreak/>
        <w:t>Категоризирането на рисковете подпомага анализирането им и насочва вниманието към конкретни мерки.</w:t>
      </w:r>
    </w:p>
    <w:p w:rsidR="00A22EA5" w:rsidRDefault="00A22EA5" w:rsidP="00A22EA5">
      <w:pPr>
        <w:suppressAutoHyphens/>
        <w:spacing w:before="120" w:after="120"/>
        <w:jc w:val="both"/>
        <w:rPr>
          <w:rFonts w:ascii="Verdana" w:hAnsi="Verdana"/>
          <w:sz w:val="20"/>
          <w:szCs w:val="20"/>
          <w:lang w:val="bg-BG"/>
        </w:rPr>
      </w:pPr>
      <w:r>
        <w:rPr>
          <w:rFonts w:ascii="Verdana" w:hAnsi="Verdana"/>
          <w:sz w:val="20"/>
          <w:szCs w:val="20"/>
          <w:lang w:val="bg-BG"/>
        </w:rPr>
        <w:t xml:space="preserve">Според </w:t>
      </w:r>
      <w:r>
        <w:rPr>
          <w:rFonts w:ascii="Verdana" w:hAnsi="Verdana"/>
          <w:b/>
          <w:sz w:val="20"/>
          <w:szCs w:val="20"/>
          <w:lang w:val="bg-BG"/>
        </w:rPr>
        <w:t xml:space="preserve">източника </w:t>
      </w:r>
      <w:r>
        <w:rPr>
          <w:rFonts w:ascii="Verdana" w:hAnsi="Verdana"/>
          <w:sz w:val="20"/>
          <w:szCs w:val="20"/>
          <w:lang w:val="bg-BG"/>
        </w:rPr>
        <w:t>рисковете са разделени на следните групи:</w:t>
      </w:r>
    </w:p>
    <w:p w:rsidR="00A22EA5" w:rsidRDefault="00A22EA5" w:rsidP="006861B0">
      <w:pPr>
        <w:widowControl w:val="0"/>
        <w:numPr>
          <w:ilvl w:val="0"/>
          <w:numId w:val="81"/>
        </w:numPr>
        <w:tabs>
          <w:tab w:val="clear" w:pos="720"/>
          <w:tab w:val="num" w:pos="1200"/>
        </w:tabs>
        <w:suppressAutoHyphens/>
        <w:spacing w:before="120" w:after="120"/>
        <w:ind w:left="1200" w:hanging="240"/>
        <w:jc w:val="both"/>
        <w:rPr>
          <w:rFonts w:ascii="Verdana" w:hAnsi="Verdana"/>
          <w:sz w:val="20"/>
          <w:szCs w:val="20"/>
          <w:lang w:val="bg-BG"/>
        </w:rPr>
      </w:pPr>
      <w:r>
        <w:rPr>
          <w:rFonts w:ascii="Verdana" w:hAnsi="Verdana"/>
          <w:b/>
          <w:sz w:val="20"/>
          <w:szCs w:val="20"/>
          <w:lang w:val="bg-BG"/>
        </w:rPr>
        <w:t xml:space="preserve">Външни рискове </w:t>
      </w:r>
      <w:r>
        <w:rPr>
          <w:rFonts w:ascii="Verdana" w:hAnsi="Verdana"/>
          <w:sz w:val="20"/>
          <w:szCs w:val="20"/>
          <w:lang w:val="bg-BG"/>
        </w:rPr>
        <w:t>– това са рискове, свързани с външни за УО обстоятелства, които са извън сферата на контрол на УО и съответно УО може да предприема единствено реактивни мерки;</w:t>
      </w:r>
    </w:p>
    <w:p w:rsidR="00A22EA5" w:rsidRDefault="00A22EA5" w:rsidP="006861B0">
      <w:pPr>
        <w:widowControl w:val="0"/>
        <w:numPr>
          <w:ilvl w:val="0"/>
          <w:numId w:val="81"/>
        </w:numPr>
        <w:tabs>
          <w:tab w:val="clear" w:pos="720"/>
          <w:tab w:val="num" w:pos="1200"/>
        </w:tabs>
        <w:suppressAutoHyphens/>
        <w:spacing w:before="120" w:after="120"/>
        <w:ind w:left="1200" w:hanging="240"/>
        <w:jc w:val="both"/>
        <w:rPr>
          <w:rFonts w:ascii="Verdana" w:hAnsi="Verdana"/>
          <w:sz w:val="20"/>
          <w:szCs w:val="20"/>
          <w:lang w:val="bg-BG"/>
        </w:rPr>
      </w:pPr>
      <w:r>
        <w:rPr>
          <w:rFonts w:ascii="Verdana" w:hAnsi="Verdana"/>
          <w:b/>
          <w:sz w:val="20"/>
          <w:szCs w:val="20"/>
          <w:lang w:val="bg-BG"/>
        </w:rPr>
        <w:t xml:space="preserve">Вътрешни рискове </w:t>
      </w:r>
      <w:r>
        <w:rPr>
          <w:rFonts w:ascii="Verdana" w:hAnsi="Verdana"/>
          <w:sz w:val="20"/>
          <w:szCs w:val="20"/>
          <w:lang w:val="bg-BG"/>
        </w:rPr>
        <w:t>–това са рискове, пряко свързани с дейността и функциите на УО, върху които УО може да въздейства и съответно може да предприема проактивни и реактивни мерки.</w:t>
      </w:r>
    </w:p>
    <w:p w:rsidR="00A22EA5" w:rsidRDefault="00A22EA5" w:rsidP="00A22EA5">
      <w:pPr>
        <w:spacing w:before="120" w:after="120"/>
        <w:jc w:val="both"/>
        <w:rPr>
          <w:rFonts w:ascii="Verdana" w:hAnsi="Verdana"/>
          <w:sz w:val="20"/>
          <w:szCs w:val="20"/>
          <w:lang w:val="bg-BG"/>
        </w:rPr>
      </w:pPr>
      <w:r>
        <w:rPr>
          <w:rFonts w:ascii="Verdana" w:hAnsi="Verdana"/>
          <w:sz w:val="20"/>
          <w:szCs w:val="20"/>
          <w:lang w:val="bg-BG"/>
        </w:rPr>
        <w:t xml:space="preserve">Според </w:t>
      </w:r>
      <w:r>
        <w:rPr>
          <w:rFonts w:ascii="Verdana" w:hAnsi="Verdana"/>
          <w:b/>
          <w:sz w:val="20"/>
          <w:szCs w:val="20"/>
          <w:lang w:val="bg-BG"/>
        </w:rPr>
        <w:t xml:space="preserve">проявлението </w:t>
      </w:r>
      <w:r>
        <w:rPr>
          <w:rFonts w:ascii="Verdana" w:hAnsi="Verdana"/>
          <w:sz w:val="20"/>
          <w:szCs w:val="20"/>
          <w:lang w:val="bg-BG"/>
        </w:rPr>
        <w:t>си, рисковете са  разделени по следния начин:</w:t>
      </w:r>
    </w:p>
    <w:p w:rsidR="00A22EA5" w:rsidRDefault="00A22EA5" w:rsidP="006861B0">
      <w:pPr>
        <w:widowControl w:val="0"/>
        <w:numPr>
          <w:ilvl w:val="0"/>
          <w:numId w:val="81"/>
        </w:numPr>
        <w:tabs>
          <w:tab w:val="clear" w:pos="720"/>
          <w:tab w:val="num" w:pos="1200"/>
        </w:tabs>
        <w:suppressAutoHyphens/>
        <w:spacing w:before="120" w:after="120"/>
        <w:ind w:left="1200" w:hanging="240"/>
        <w:jc w:val="both"/>
        <w:rPr>
          <w:rFonts w:ascii="Verdana" w:hAnsi="Verdana"/>
          <w:sz w:val="20"/>
          <w:szCs w:val="20"/>
          <w:lang w:val="bg-BG"/>
        </w:rPr>
      </w:pPr>
      <w:r>
        <w:rPr>
          <w:rFonts w:ascii="Verdana" w:hAnsi="Verdana"/>
          <w:sz w:val="20"/>
          <w:szCs w:val="20"/>
          <w:lang w:val="bg-BG"/>
        </w:rPr>
        <w:t>Рискове на проектно ниво – влияят се от дейността на УО на проектно ниво и упражняват кумулативно въздействие на програмно ниво;</w:t>
      </w:r>
    </w:p>
    <w:p w:rsidR="00A22EA5" w:rsidRDefault="00A22EA5" w:rsidP="006861B0">
      <w:pPr>
        <w:widowControl w:val="0"/>
        <w:numPr>
          <w:ilvl w:val="0"/>
          <w:numId w:val="81"/>
        </w:numPr>
        <w:tabs>
          <w:tab w:val="clear" w:pos="720"/>
          <w:tab w:val="num" w:pos="1200"/>
        </w:tabs>
        <w:suppressAutoHyphens/>
        <w:spacing w:before="120" w:after="120"/>
        <w:ind w:left="1200" w:hanging="240"/>
        <w:jc w:val="both"/>
        <w:rPr>
          <w:rFonts w:ascii="Verdana" w:hAnsi="Verdana"/>
          <w:sz w:val="20"/>
          <w:szCs w:val="20"/>
          <w:lang w:val="bg-BG"/>
        </w:rPr>
      </w:pPr>
      <w:r>
        <w:rPr>
          <w:rFonts w:ascii="Verdana" w:hAnsi="Verdana"/>
          <w:sz w:val="20"/>
          <w:szCs w:val="20"/>
          <w:lang w:val="bg-BG"/>
        </w:rPr>
        <w:t>Рискове на програмно ниво – свързани са с дейността на УО на програмно ниво и не водят непременно до последствия на проектно ниво.</w:t>
      </w:r>
    </w:p>
    <w:p w:rsidR="00A22EA5" w:rsidRDefault="00A22EA5" w:rsidP="00A22EA5">
      <w:pPr>
        <w:pStyle w:val="BodyText"/>
        <w:tabs>
          <w:tab w:val="left" w:pos="0"/>
          <w:tab w:val="right" w:pos="9214"/>
        </w:tabs>
        <w:spacing w:before="120" w:line="276" w:lineRule="auto"/>
        <w:jc w:val="both"/>
        <w:rPr>
          <w:rFonts w:ascii="Verdana" w:hAnsi="Verdana"/>
          <w:bCs/>
          <w:color w:val="000000"/>
          <w:sz w:val="20"/>
          <w:szCs w:val="20"/>
        </w:rPr>
      </w:pPr>
      <w:r>
        <w:rPr>
          <w:rFonts w:ascii="Verdana" w:hAnsi="Verdana"/>
          <w:bCs/>
          <w:color w:val="000000"/>
          <w:sz w:val="20"/>
          <w:szCs w:val="20"/>
        </w:rPr>
        <w:t>Определянето на обхвата на риска отчита рисковите фактори спрямо елементите на проектния/програмния цикъл: а) Програмиране; б) Разработване на проектни предложения/програмата; в) Подбор на проекти/Предварителна оценка на програмата; г) Сключване на договор/Одобрение на програмата; д) Изпълнение и мониторинг на проекта/програмата; е) Оценка на изпълнението на проекта/програмата, включително и оценка на устойчивостта.</w:t>
      </w:r>
    </w:p>
    <w:p w:rsidR="00A22EA5" w:rsidRDefault="00A22EA5" w:rsidP="00A22EA5">
      <w:pPr>
        <w:pStyle w:val="BodyText"/>
        <w:tabs>
          <w:tab w:val="left" w:pos="0"/>
          <w:tab w:val="right" w:pos="9214"/>
        </w:tabs>
        <w:spacing w:before="120" w:line="276" w:lineRule="auto"/>
        <w:rPr>
          <w:rFonts w:ascii="Verdana" w:hAnsi="Verdana"/>
          <w:bCs/>
          <w:color w:val="000000"/>
          <w:sz w:val="20"/>
          <w:szCs w:val="20"/>
        </w:rPr>
      </w:pPr>
      <w:r>
        <w:rPr>
          <w:rFonts w:ascii="Verdana" w:hAnsi="Verdana"/>
          <w:bCs/>
          <w:color w:val="000000"/>
          <w:sz w:val="20"/>
          <w:szCs w:val="20"/>
        </w:rPr>
        <w:t>Спрямо обхвата си рисковете се категоризират като:</w:t>
      </w:r>
    </w:p>
    <w:p w:rsidR="00A22EA5" w:rsidRDefault="00A22EA5" w:rsidP="006861B0">
      <w:pPr>
        <w:pStyle w:val="BodyText"/>
        <w:numPr>
          <w:ilvl w:val="0"/>
          <w:numId w:val="81"/>
        </w:numPr>
        <w:tabs>
          <w:tab w:val="left" w:pos="0"/>
          <w:tab w:val="right" w:pos="9214"/>
        </w:tabs>
        <w:spacing w:before="120" w:line="276" w:lineRule="auto"/>
        <w:rPr>
          <w:rFonts w:ascii="Verdana" w:hAnsi="Verdana"/>
          <w:bCs/>
          <w:color w:val="000000"/>
          <w:sz w:val="20"/>
          <w:szCs w:val="20"/>
        </w:rPr>
      </w:pPr>
      <w:r>
        <w:rPr>
          <w:rFonts w:ascii="Verdana" w:hAnsi="Verdana"/>
          <w:bCs/>
          <w:color w:val="000000"/>
          <w:sz w:val="20"/>
          <w:szCs w:val="20"/>
        </w:rPr>
        <w:t>Частични рискове – имащи отношение към един или повече от елементите на проектния/програмен цикъл;</w:t>
      </w:r>
    </w:p>
    <w:p w:rsidR="00A22EA5" w:rsidRDefault="00A22EA5" w:rsidP="006861B0">
      <w:pPr>
        <w:pStyle w:val="BodyText"/>
        <w:numPr>
          <w:ilvl w:val="0"/>
          <w:numId w:val="81"/>
        </w:numPr>
        <w:tabs>
          <w:tab w:val="left" w:pos="0"/>
          <w:tab w:val="right" w:pos="9214"/>
        </w:tabs>
        <w:spacing w:before="120" w:line="276" w:lineRule="auto"/>
        <w:rPr>
          <w:rFonts w:ascii="Verdana" w:hAnsi="Verdana"/>
          <w:bCs/>
          <w:color w:val="000000"/>
          <w:sz w:val="20"/>
          <w:szCs w:val="20"/>
        </w:rPr>
      </w:pPr>
      <w:r>
        <w:rPr>
          <w:rFonts w:ascii="Verdana" w:hAnsi="Verdana"/>
          <w:bCs/>
          <w:color w:val="000000"/>
          <w:sz w:val="20"/>
          <w:szCs w:val="20"/>
        </w:rPr>
        <w:t>Цялостни рискове – имащи отношение към целия проектен/програмен цикъл.</w:t>
      </w:r>
    </w:p>
    <w:p w:rsidR="00A22EA5" w:rsidRDefault="00A22EA5" w:rsidP="00A22EA5">
      <w:pPr>
        <w:pStyle w:val="BodyText"/>
        <w:tabs>
          <w:tab w:val="left" w:pos="0"/>
          <w:tab w:val="right" w:pos="9214"/>
        </w:tabs>
        <w:spacing w:before="120" w:line="276" w:lineRule="auto"/>
        <w:jc w:val="both"/>
        <w:rPr>
          <w:rFonts w:ascii="Verdana" w:hAnsi="Verdana"/>
          <w:bCs/>
          <w:color w:val="000000"/>
          <w:sz w:val="20"/>
          <w:szCs w:val="20"/>
        </w:rPr>
      </w:pPr>
      <w:r>
        <w:rPr>
          <w:rFonts w:ascii="Verdana" w:hAnsi="Verdana"/>
          <w:bCs/>
          <w:color w:val="000000"/>
          <w:sz w:val="20"/>
          <w:szCs w:val="20"/>
        </w:rPr>
        <w:t>Една от основните цели на анализа на риска е да се определи интензитетът на рисковете по отношение на административния капацитет. Методът, който е приложен за анализ на идентифицираните рисковете, е експертно оценяване на рисковете чрез два фактора:</w:t>
      </w:r>
    </w:p>
    <w:p w:rsidR="00A22EA5" w:rsidRDefault="00A22EA5" w:rsidP="006861B0">
      <w:pPr>
        <w:pStyle w:val="BodyText"/>
        <w:numPr>
          <w:ilvl w:val="0"/>
          <w:numId w:val="82"/>
        </w:numPr>
        <w:tabs>
          <w:tab w:val="left" w:pos="0"/>
          <w:tab w:val="right" w:pos="9214"/>
        </w:tabs>
        <w:spacing w:before="120" w:line="276" w:lineRule="auto"/>
        <w:rPr>
          <w:rFonts w:ascii="Verdana" w:hAnsi="Verdana"/>
          <w:bCs/>
          <w:color w:val="000000"/>
          <w:sz w:val="20"/>
          <w:szCs w:val="20"/>
        </w:rPr>
      </w:pPr>
      <w:r>
        <w:rPr>
          <w:rFonts w:ascii="Verdana" w:hAnsi="Verdana"/>
          <w:b/>
          <w:bCs/>
          <w:color w:val="000000"/>
          <w:sz w:val="20"/>
          <w:szCs w:val="20"/>
        </w:rPr>
        <w:t xml:space="preserve">Вероятност </w:t>
      </w:r>
      <w:r>
        <w:rPr>
          <w:rFonts w:ascii="Verdana" w:hAnsi="Verdana"/>
          <w:bCs/>
          <w:color w:val="000000"/>
          <w:sz w:val="20"/>
          <w:szCs w:val="20"/>
        </w:rPr>
        <w:t>от настъпването на риска;</w:t>
      </w:r>
    </w:p>
    <w:p w:rsidR="00A22EA5" w:rsidRDefault="00A22EA5" w:rsidP="006861B0">
      <w:pPr>
        <w:pStyle w:val="BodyText"/>
        <w:numPr>
          <w:ilvl w:val="0"/>
          <w:numId w:val="82"/>
        </w:numPr>
        <w:tabs>
          <w:tab w:val="left" w:pos="0"/>
          <w:tab w:val="right" w:pos="9214"/>
        </w:tabs>
        <w:spacing w:before="120" w:line="276" w:lineRule="auto"/>
        <w:rPr>
          <w:rFonts w:ascii="Verdana" w:hAnsi="Verdana"/>
          <w:bCs/>
          <w:color w:val="000000"/>
          <w:sz w:val="20"/>
          <w:szCs w:val="20"/>
        </w:rPr>
      </w:pPr>
      <w:r>
        <w:rPr>
          <w:rFonts w:ascii="Verdana" w:hAnsi="Verdana"/>
          <w:b/>
          <w:bCs/>
          <w:color w:val="000000"/>
          <w:sz w:val="20"/>
          <w:szCs w:val="20"/>
        </w:rPr>
        <w:t>Въздействие</w:t>
      </w:r>
      <w:r>
        <w:rPr>
          <w:rFonts w:ascii="Verdana" w:hAnsi="Verdana"/>
          <w:bCs/>
          <w:color w:val="000000"/>
          <w:sz w:val="20"/>
          <w:szCs w:val="20"/>
        </w:rPr>
        <w:t>, което рискът ще окаже при възникване.</w:t>
      </w:r>
    </w:p>
    <w:p w:rsidR="00A22EA5" w:rsidRDefault="00A22EA5" w:rsidP="00A22EA5">
      <w:pPr>
        <w:pStyle w:val="BodyText"/>
        <w:tabs>
          <w:tab w:val="left" w:pos="0"/>
          <w:tab w:val="right" w:pos="9214"/>
        </w:tabs>
        <w:spacing w:before="120" w:line="276" w:lineRule="auto"/>
        <w:jc w:val="both"/>
        <w:rPr>
          <w:rFonts w:ascii="Verdana" w:hAnsi="Verdana"/>
          <w:bCs/>
          <w:color w:val="000000"/>
          <w:sz w:val="20"/>
          <w:szCs w:val="20"/>
        </w:rPr>
      </w:pPr>
      <w:r>
        <w:rPr>
          <w:rFonts w:ascii="Verdana" w:hAnsi="Verdana"/>
          <w:bCs/>
          <w:color w:val="000000"/>
          <w:sz w:val="20"/>
          <w:szCs w:val="20"/>
        </w:rPr>
        <w:t>Това става по следната таблица, като вероятността и въздействието за всеки отделен риск се оценява по скала от 1(малко) до 5 (много голямо):</w:t>
      </w:r>
    </w:p>
    <w:tbl>
      <w:tblPr>
        <w:tblW w:w="8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4"/>
        <w:gridCol w:w="3022"/>
        <w:gridCol w:w="1472"/>
      </w:tblGrid>
      <w:tr w:rsidR="00A22EA5" w:rsidTr="00E054C6">
        <w:trPr>
          <w:jc w:val="center"/>
        </w:trPr>
        <w:tc>
          <w:tcPr>
            <w:tcW w:w="3784" w:type="dxa"/>
            <w:tcBorders>
              <w:top w:val="single" w:sz="4" w:space="0" w:color="auto"/>
              <w:left w:val="single" w:sz="4" w:space="0" w:color="auto"/>
              <w:bottom w:val="single" w:sz="4" w:space="0" w:color="auto"/>
              <w:right w:val="single" w:sz="4" w:space="0" w:color="auto"/>
            </w:tcBorders>
            <w:shd w:val="clear" w:color="auto" w:fill="17365D" w:themeFill="text2" w:themeFillShade="BF"/>
            <w:hideMark/>
          </w:tcPr>
          <w:p w:rsidR="00A22EA5" w:rsidRDefault="00A22EA5" w:rsidP="00E054C6">
            <w:pPr>
              <w:pStyle w:val="BodyText"/>
              <w:tabs>
                <w:tab w:val="left" w:pos="0"/>
                <w:tab w:val="right" w:pos="9214"/>
              </w:tabs>
              <w:spacing w:before="120" w:line="276" w:lineRule="auto"/>
              <w:jc w:val="both"/>
              <w:rPr>
                <w:rFonts w:ascii="Verdana" w:hAnsi="Verdana"/>
                <w:b/>
                <w:bCs/>
                <w:color w:val="FFFFFF" w:themeColor="background1"/>
                <w:sz w:val="16"/>
                <w:szCs w:val="16"/>
              </w:rPr>
            </w:pPr>
            <w:r>
              <w:rPr>
                <w:rFonts w:ascii="Verdana" w:hAnsi="Verdana"/>
                <w:b/>
                <w:bCs/>
                <w:color w:val="FFFFFF" w:themeColor="background1"/>
                <w:sz w:val="16"/>
                <w:szCs w:val="16"/>
              </w:rPr>
              <w:t>Вероятност</w:t>
            </w:r>
          </w:p>
        </w:tc>
        <w:tc>
          <w:tcPr>
            <w:tcW w:w="3022" w:type="dxa"/>
            <w:tcBorders>
              <w:top w:val="single" w:sz="4" w:space="0" w:color="auto"/>
              <w:left w:val="single" w:sz="4" w:space="0" w:color="auto"/>
              <w:bottom w:val="single" w:sz="4" w:space="0" w:color="auto"/>
              <w:right w:val="single" w:sz="4" w:space="0" w:color="auto"/>
            </w:tcBorders>
            <w:shd w:val="clear" w:color="auto" w:fill="17365D" w:themeFill="text2" w:themeFillShade="BF"/>
            <w:hideMark/>
          </w:tcPr>
          <w:p w:rsidR="00A22EA5" w:rsidRDefault="00A22EA5" w:rsidP="00E054C6">
            <w:pPr>
              <w:pStyle w:val="BodyText"/>
              <w:tabs>
                <w:tab w:val="left" w:pos="0"/>
                <w:tab w:val="right" w:pos="9214"/>
              </w:tabs>
              <w:spacing w:before="120" w:line="276" w:lineRule="auto"/>
              <w:jc w:val="both"/>
              <w:rPr>
                <w:rFonts w:ascii="Verdana" w:hAnsi="Verdana"/>
                <w:b/>
                <w:bCs/>
                <w:color w:val="FFFFFF" w:themeColor="background1"/>
                <w:sz w:val="16"/>
                <w:szCs w:val="16"/>
              </w:rPr>
            </w:pPr>
            <w:r>
              <w:rPr>
                <w:rFonts w:ascii="Verdana" w:hAnsi="Verdana"/>
                <w:b/>
                <w:bCs/>
                <w:color w:val="FFFFFF" w:themeColor="background1"/>
                <w:sz w:val="16"/>
                <w:szCs w:val="16"/>
              </w:rPr>
              <w:t>Въздействие</w:t>
            </w:r>
          </w:p>
        </w:tc>
        <w:tc>
          <w:tcPr>
            <w:tcW w:w="1472" w:type="dxa"/>
            <w:tcBorders>
              <w:top w:val="single" w:sz="4" w:space="0" w:color="auto"/>
              <w:left w:val="single" w:sz="4" w:space="0" w:color="auto"/>
              <w:bottom w:val="single" w:sz="4" w:space="0" w:color="auto"/>
              <w:right w:val="single" w:sz="4" w:space="0" w:color="auto"/>
            </w:tcBorders>
            <w:shd w:val="clear" w:color="auto" w:fill="17365D" w:themeFill="text2" w:themeFillShade="BF"/>
            <w:hideMark/>
          </w:tcPr>
          <w:p w:rsidR="00A22EA5" w:rsidRDefault="00A22EA5" w:rsidP="00E054C6">
            <w:pPr>
              <w:pStyle w:val="BodyText"/>
              <w:tabs>
                <w:tab w:val="left" w:pos="0"/>
                <w:tab w:val="right" w:pos="9214"/>
              </w:tabs>
              <w:spacing w:before="120" w:line="276" w:lineRule="auto"/>
              <w:jc w:val="both"/>
              <w:rPr>
                <w:rFonts w:ascii="Verdana" w:hAnsi="Verdana"/>
                <w:b/>
                <w:bCs/>
                <w:color w:val="FFFFFF" w:themeColor="background1"/>
                <w:sz w:val="16"/>
                <w:szCs w:val="16"/>
              </w:rPr>
            </w:pPr>
            <w:r>
              <w:rPr>
                <w:rFonts w:ascii="Verdana" w:hAnsi="Verdana"/>
                <w:b/>
                <w:bCs/>
                <w:color w:val="FFFFFF" w:themeColor="background1"/>
                <w:sz w:val="16"/>
                <w:szCs w:val="16"/>
              </w:rPr>
              <w:t>Оценка</w:t>
            </w:r>
          </w:p>
        </w:tc>
      </w:tr>
      <w:tr w:rsidR="00A22EA5" w:rsidTr="00E054C6">
        <w:trPr>
          <w:trHeight w:val="77"/>
          <w:jc w:val="center"/>
        </w:trPr>
        <w:tc>
          <w:tcPr>
            <w:tcW w:w="3784" w:type="dxa"/>
            <w:tcBorders>
              <w:top w:val="single" w:sz="4" w:space="0" w:color="auto"/>
              <w:left w:val="single" w:sz="4" w:space="0" w:color="auto"/>
              <w:bottom w:val="single" w:sz="4" w:space="0" w:color="auto"/>
              <w:right w:val="single" w:sz="4" w:space="0" w:color="auto"/>
            </w:tcBorders>
            <w:shd w:val="clear" w:color="auto" w:fill="D99594" w:themeFill="accent2" w:themeFillTint="99"/>
            <w:hideMark/>
          </w:tcPr>
          <w:p w:rsidR="00A22EA5" w:rsidRDefault="00A22EA5" w:rsidP="00E054C6">
            <w:pPr>
              <w:pStyle w:val="BodyText"/>
              <w:tabs>
                <w:tab w:val="left" w:pos="0"/>
                <w:tab w:val="right" w:pos="9214"/>
              </w:tabs>
              <w:spacing w:before="120" w:line="276" w:lineRule="auto"/>
              <w:jc w:val="both"/>
              <w:rPr>
                <w:rFonts w:ascii="Verdana" w:hAnsi="Verdana"/>
                <w:bCs/>
                <w:color w:val="000000"/>
                <w:sz w:val="16"/>
                <w:szCs w:val="16"/>
              </w:rPr>
            </w:pPr>
            <w:r>
              <w:rPr>
                <w:rFonts w:ascii="Verdana" w:hAnsi="Verdana"/>
                <w:bCs/>
                <w:color w:val="000000"/>
                <w:sz w:val="16"/>
                <w:szCs w:val="16"/>
              </w:rPr>
              <w:t>Много голяма вероятност</w:t>
            </w:r>
          </w:p>
        </w:tc>
        <w:tc>
          <w:tcPr>
            <w:tcW w:w="3022" w:type="dxa"/>
            <w:tcBorders>
              <w:top w:val="single" w:sz="4" w:space="0" w:color="auto"/>
              <w:left w:val="single" w:sz="4" w:space="0" w:color="auto"/>
              <w:bottom w:val="single" w:sz="4" w:space="0" w:color="auto"/>
              <w:right w:val="single" w:sz="4" w:space="0" w:color="auto"/>
            </w:tcBorders>
            <w:shd w:val="clear" w:color="auto" w:fill="D99594" w:themeFill="accent2" w:themeFillTint="99"/>
            <w:hideMark/>
          </w:tcPr>
          <w:p w:rsidR="00A22EA5" w:rsidRDefault="00A22EA5" w:rsidP="00E054C6">
            <w:pPr>
              <w:pStyle w:val="BodyText"/>
              <w:tabs>
                <w:tab w:val="left" w:pos="0"/>
                <w:tab w:val="right" w:pos="9214"/>
              </w:tabs>
              <w:spacing w:before="120" w:line="276" w:lineRule="auto"/>
              <w:jc w:val="both"/>
              <w:rPr>
                <w:rFonts w:ascii="Verdana" w:hAnsi="Verdana"/>
                <w:bCs/>
                <w:color w:val="000000"/>
                <w:sz w:val="16"/>
                <w:szCs w:val="16"/>
              </w:rPr>
            </w:pPr>
            <w:r>
              <w:rPr>
                <w:rFonts w:ascii="Verdana" w:hAnsi="Verdana"/>
                <w:bCs/>
                <w:color w:val="000000"/>
                <w:sz w:val="16"/>
                <w:szCs w:val="16"/>
              </w:rPr>
              <w:t>Много голямо въздействие</w:t>
            </w:r>
          </w:p>
        </w:tc>
        <w:tc>
          <w:tcPr>
            <w:tcW w:w="1472" w:type="dxa"/>
            <w:tcBorders>
              <w:top w:val="single" w:sz="4" w:space="0" w:color="auto"/>
              <w:left w:val="single" w:sz="4" w:space="0" w:color="auto"/>
              <w:bottom w:val="single" w:sz="4" w:space="0" w:color="auto"/>
              <w:right w:val="single" w:sz="4" w:space="0" w:color="auto"/>
            </w:tcBorders>
            <w:shd w:val="clear" w:color="auto" w:fill="D99594" w:themeFill="accent2" w:themeFillTint="99"/>
            <w:hideMark/>
          </w:tcPr>
          <w:p w:rsidR="00A22EA5" w:rsidRDefault="00A22EA5" w:rsidP="00E054C6">
            <w:pPr>
              <w:pStyle w:val="BodyText"/>
              <w:tabs>
                <w:tab w:val="left" w:pos="0"/>
                <w:tab w:val="right" w:pos="9214"/>
              </w:tabs>
              <w:spacing w:before="120" w:line="276" w:lineRule="auto"/>
              <w:jc w:val="both"/>
              <w:rPr>
                <w:rFonts w:ascii="Verdana" w:hAnsi="Verdana"/>
                <w:bCs/>
                <w:color w:val="000000"/>
                <w:sz w:val="16"/>
                <w:szCs w:val="16"/>
              </w:rPr>
            </w:pPr>
            <w:r>
              <w:rPr>
                <w:rFonts w:ascii="Verdana" w:hAnsi="Verdana"/>
                <w:bCs/>
                <w:color w:val="000000"/>
                <w:sz w:val="16"/>
                <w:szCs w:val="16"/>
              </w:rPr>
              <w:t>5</w:t>
            </w:r>
          </w:p>
        </w:tc>
      </w:tr>
      <w:tr w:rsidR="00A22EA5" w:rsidTr="00E054C6">
        <w:trPr>
          <w:trHeight w:val="89"/>
          <w:jc w:val="center"/>
        </w:trPr>
        <w:tc>
          <w:tcPr>
            <w:tcW w:w="3784" w:type="dxa"/>
            <w:tcBorders>
              <w:top w:val="single" w:sz="4" w:space="0" w:color="auto"/>
              <w:left w:val="single" w:sz="4" w:space="0" w:color="auto"/>
              <w:bottom w:val="single" w:sz="4" w:space="0" w:color="auto"/>
              <w:right w:val="single" w:sz="4" w:space="0" w:color="auto"/>
            </w:tcBorders>
            <w:shd w:val="clear" w:color="auto" w:fill="FABF8F" w:themeFill="accent6" w:themeFillTint="99"/>
            <w:hideMark/>
          </w:tcPr>
          <w:p w:rsidR="00A22EA5" w:rsidRDefault="00A22EA5" w:rsidP="00E054C6">
            <w:pPr>
              <w:pStyle w:val="BodyText"/>
              <w:tabs>
                <w:tab w:val="left" w:pos="0"/>
                <w:tab w:val="right" w:pos="9214"/>
              </w:tabs>
              <w:spacing w:before="120" w:line="276" w:lineRule="auto"/>
              <w:jc w:val="both"/>
              <w:rPr>
                <w:rFonts w:ascii="Verdana" w:hAnsi="Verdana"/>
                <w:bCs/>
                <w:color w:val="000000"/>
                <w:sz w:val="16"/>
                <w:szCs w:val="16"/>
              </w:rPr>
            </w:pPr>
            <w:r>
              <w:rPr>
                <w:rFonts w:ascii="Verdana" w:hAnsi="Verdana"/>
                <w:bCs/>
                <w:color w:val="000000"/>
                <w:sz w:val="16"/>
                <w:szCs w:val="16"/>
              </w:rPr>
              <w:t>Вероятността е над средното равнище</w:t>
            </w:r>
          </w:p>
        </w:tc>
        <w:tc>
          <w:tcPr>
            <w:tcW w:w="3022" w:type="dxa"/>
            <w:tcBorders>
              <w:top w:val="single" w:sz="4" w:space="0" w:color="auto"/>
              <w:left w:val="single" w:sz="4" w:space="0" w:color="auto"/>
              <w:bottom w:val="single" w:sz="4" w:space="0" w:color="auto"/>
              <w:right w:val="single" w:sz="4" w:space="0" w:color="auto"/>
            </w:tcBorders>
            <w:shd w:val="clear" w:color="auto" w:fill="FABF8F" w:themeFill="accent6" w:themeFillTint="99"/>
            <w:hideMark/>
          </w:tcPr>
          <w:p w:rsidR="00A22EA5" w:rsidRDefault="00A22EA5" w:rsidP="00E054C6">
            <w:pPr>
              <w:pStyle w:val="BodyText"/>
              <w:tabs>
                <w:tab w:val="left" w:pos="0"/>
                <w:tab w:val="right" w:pos="9214"/>
              </w:tabs>
              <w:spacing w:before="120" w:line="276" w:lineRule="auto"/>
              <w:jc w:val="both"/>
              <w:rPr>
                <w:rFonts w:ascii="Verdana" w:hAnsi="Verdana"/>
                <w:bCs/>
                <w:color w:val="000000"/>
                <w:sz w:val="16"/>
                <w:szCs w:val="16"/>
              </w:rPr>
            </w:pPr>
            <w:r>
              <w:rPr>
                <w:rFonts w:ascii="Verdana" w:hAnsi="Verdana"/>
                <w:bCs/>
                <w:color w:val="000000"/>
                <w:sz w:val="16"/>
                <w:szCs w:val="16"/>
              </w:rPr>
              <w:t>Въздействието е над средното равнище</w:t>
            </w:r>
          </w:p>
        </w:tc>
        <w:tc>
          <w:tcPr>
            <w:tcW w:w="1472" w:type="dxa"/>
            <w:tcBorders>
              <w:top w:val="single" w:sz="4" w:space="0" w:color="auto"/>
              <w:left w:val="single" w:sz="4" w:space="0" w:color="auto"/>
              <w:bottom w:val="single" w:sz="4" w:space="0" w:color="auto"/>
              <w:right w:val="single" w:sz="4" w:space="0" w:color="auto"/>
            </w:tcBorders>
            <w:shd w:val="clear" w:color="auto" w:fill="FABF8F" w:themeFill="accent6" w:themeFillTint="99"/>
            <w:hideMark/>
          </w:tcPr>
          <w:p w:rsidR="00A22EA5" w:rsidRDefault="00A22EA5" w:rsidP="00E054C6">
            <w:pPr>
              <w:pStyle w:val="BodyText"/>
              <w:tabs>
                <w:tab w:val="left" w:pos="0"/>
                <w:tab w:val="right" w:pos="9214"/>
              </w:tabs>
              <w:spacing w:before="120" w:line="276" w:lineRule="auto"/>
              <w:jc w:val="both"/>
              <w:rPr>
                <w:rFonts w:ascii="Verdana" w:hAnsi="Verdana"/>
                <w:bCs/>
                <w:color w:val="000000"/>
                <w:sz w:val="16"/>
                <w:szCs w:val="16"/>
              </w:rPr>
            </w:pPr>
            <w:r>
              <w:rPr>
                <w:rFonts w:ascii="Verdana" w:hAnsi="Verdana"/>
                <w:bCs/>
                <w:color w:val="000000"/>
                <w:sz w:val="16"/>
                <w:szCs w:val="16"/>
              </w:rPr>
              <w:t>4</w:t>
            </w:r>
          </w:p>
        </w:tc>
      </w:tr>
      <w:tr w:rsidR="00A22EA5" w:rsidTr="00E054C6">
        <w:trPr>
          <w:trHeight w:val="77"/>
          <w:jc w:val="center"/>
        </w:trPr>
        <w:tc>
          <w:tcPr>
            <w:tcW w:w="3784" w:type="dxa"/>
            <w:tcBorders>
              <w:top w:val="single" w:sz="4" w:space="0" w:color="auto"/>
              <w:left w:val="single" w:sz="4" w:space="0" w:color="auto"/>
              <w:bottom w:val="single" w:sz="4" w:space="0" w:color="auto"/>
              <w:right w:val="single" w:sz="4" w:space="0" w:color="auto"/>
            </w:tcBorders>
            <w:shd w:val="clear" w:color="auto" w:fill="FFC000"/>
            <w:hideMark/>
          </w:tcPr>
          <w:p w:rsidR="00A22EA5" w:rsidRDefault="00A22EA5" w:rsidP="00E054C6">
            <w:pPr>
              <w:pStyle w:val="BodyText"/>
              <w:tabs>
                <w:tab w:val="left" w:pos="0"/>
                <w:tab w:val="right" w:pos="9214"/>
              </w:tabs>
              <w:spacing w:before="120" w:line="276" w:lineRule="auto"/>
              <w:jc w:val="both"/>
              <w:rPr>
                <w:rFonts w:ascii="Verdana" w:hAnsi="Verdana"/>
                <w:bCs/>
                <w:color w:val="000000"/>
                <w:sz w:val="16"/>
                <w:szCs w:val="16"/>
              </w:rPr>
            </w:pPr>
            <w:r>
              <w:rPr>
                <w:rFonts w:ascii="Verdana" w:hAnsi="Verdana"/>
                <w:bCs/>
                <w:color w:val="000000"/>
                <w:sz w:val="16"/>
                <w:szCs w:val="16"/>
              </w:rPr>
              <w:t xml:space="preserve">Средна вероятност </w:t>
            </w:r>
          </w:p>
        </w:tc>
        <w:tc>
          <w:tcPr>
            <w:tcW w:w="3022" w:type="dxa"/>
            <w:tcBorders>
              <w:top w:val="single" w:sz="4" w:space="0" w:color="auto"/>
              <w:left w:val="single" w:sz="4" w:space="0" w:color="auto"/>
              <w:bottom w:val="single" w:sz="4" w:space="0" w:color="auto"/>
              <w:right w:val="single" w:sz="4" w:space="0" w:color="auto"/>
            </w:tcBorders>
            <w:shd w:val="clear" w:color="auto" w:fill="FFC000"/>
            <w:hideMark/>
          </w:tcPr>
          <w:p w:rsidR="00A22EA5" w:rsidRDefault="00A22EA5" w:rsidP="00E054C6">
            <w:pPr>
              <w:pStyle w:val="BodyText"/>
              <w:tabs>
                <w:tab w:val="left" w:pos="0"/>
                <w:tab w:val="right" w:pos="9214"/>
              </w:tabs>
              <w:spacing w:before="120" w:line="276" w:lineRule="auto"/>
              <w:jc w:val="both"/>
              <w:rPr>
                <w:rFonts w:ascii="Verdana" w:hAnsi="Verdana"/>
                <w:bCs/>
                <w:color w:val="000000"/>
                <w:sz w:val="16"/>
                <w:szCs w:val="16"/>
              </w:rPr>
            </w:pPr>
            <w:r>
              <w:rPr>
                <w:rFonts w:ascii="Verdana" w:hAnsi="Verdana"/>
                <w:bCs/>
                <w:color w:val="000000"/>
                <w:sz w:val="16"/>
                <w:szCs w:val="16"/>
              </w:rPr>
              <w:t>Средно въздействие</w:t>
            </w:r>
          </w:p>
        </w:tc>
        <w:tc>
          <w:tcPr>
            <w:tcW w:w="1472" w:type="dxa"/>
            <w:tcBorders>
              <w:top w:val="single" w:sz="4" w:space="0" w:color="auto"/>
              <w:left w:val="single" w:sz="4" w:space="0" w:color="auto"/>
              <w:bottom w:val="single" w:sz="4" w:space="0" w:color="auto"/>
              <w:right w:val="single" w:sz="4" w:space="0" w:color="auto"/>
            </w:tcBorders>
            <w:shd w:val="clear" w:color="auto" w:fill="FFC000"/>
            <w:hideMark/>
          </w:tcPr>
          <w:p w:rsidR="00A22EA5" w:rsidRDefault="00A22EA5" w:rsidP="00E054C6">
            <w:pPr>
              <w:pStyle w:val="BodyText"/>
              <w:tabs>
                <w:tab w:val="left" w:pos="0"/>
                <w:tab w:val="right" w:pos="9214"/>
              </w:tabs>
              <w:spacing w:before="120" w:line="276" w:lineRule="auto"/>
              <w:jc w:val="both"/>
              <w:rPr>
                <w:rFonts w:ascii="Verdana" w:hAnsi="Verdana"/>
                <w:bCs/>
                <w:color w:val="000000"/>
                <w:sz w:val="16"/>
                <w:szCs w:val="16"/>
              </w:rPr>
            </w:pPr>
            <w:r>
              <w:rPr>
                <w:rFonts w:ascii="Verdana" w:hAnsi="Verdana"/>
                <w:bCs/>
                <w:color w:val="000000"/>
                <w:sz w:val="16"/>
                <w:szCs w:val="16"/>
              </w:rPr>
              <w:t>3</w:t>
            </w:r>
          </w:p>
        </w:tc>
      </w:tr>
      <w:tr w:rsidR="00A22EA5" w:rsidTr="00E054C6">
        <w:trPr>
          <w:trHeight w:val="223"/>
          <w:jc w:val="center"/>
        </w:trPr>
        <w:tc>
          <w:tcPr>
            <w:tcW w:w="3784" w:type="dxa"/>
            <w:tcBorders>
              <w:top w:val="single" w:sz="4" w:space="0" w:color="auto"/>
              <w:left w:val="single" w:sz="4" w:space="0" w:color="auto"/>
              <w:bottom w:val="single" w:sz="4" w:space="0" w:color="auto"/>
              <w:right w:val="single" w:sz="4" w:space="0" w:color="auto"/>
            </w:tcBorders>
            <w:shd w:val="clear" w:color="auto" w:fill="FFFF00"/>
            <w:hideMark/>
          </w:tcPr>
          <w:p w:rsidR="00A22EA5" w:rsidRDefault="00A22EA5" w:rsidP="00E054C6">
            <w:pPr>
              <w:pStyle w:val="BodyText"/>
              <w:tabs>
                <w:tab w:val="left" w:pos="0"/>
                <w:tab w:val="right" w:pos="9214"/>
              </w:tabs>
              <w:spacing w:before="120" w:line="276" w:lineRule="auto"/>
              <w:jc w:val="both"/>
              <w:rPr>
                <w:rFonts w:ascii="Verdana" w:hAnsi="Verdana"/>
                <w:bCs/>
                <w:color w:val="000000"/>
                <w:sz w:val="16"/>
                <w:szCs w:val="16"/>
              </w:rPr>
            </w:pPr>
            <w:r>
              <w:rPr>
                <w:rFonts w:ascii="Verdana" w:hAnsi="Verdana"/>
                <w:bCs/>
                <w:color w:val="000000"/>
                <w:sz w:val="16"/>
                <w:szCs w:val="16"/>
              </w:rPr>
              <w:lastRenderedPageBreak/>
              <w:t>Вероятността е под средното равнище</w:t>
            </w:r>
          </w:p>
        </w:tc>
        <w:tc>
          <w:tcPr>
            <w:tcW w:w="3022" w:type="dxa"/>
            <w:tcBorders>
              <w:top w:val="single" w:sz="4" w:space="0" w:color="auto"/>
              <w:left w:val="single" w:sz="4" w:space="0" w:color="auto"/>
              <w:bottom w:val="single" w:sz="4" w:space="0" w:color="auto"/>
              <w:right w:val="single" w:sz="4" w:space="0" w:color="auto"/>
            </w:tcBorders>
            <w:shd w:val="clear" w:color="auto" w:fill="FFFF00"/>
            <w:hideMark/>
          </w:tcPr>
          <w:p w:rsidR="00A22EA5" w:rsidRDefault="00A22EA5" w:rsidP="00E054C6">
            <w:pPr>
              <w:pStyle w:val="BodyText"/>
              <w:tabs>
                <w:tab w:val="left" w:pos="0"/>
                <w:tab w:val="right" w:pos="9214"/>
              </w:tabs>
              <w:spacing w:before="120" w:line="276" w:lineRule="auto"/>
              <w:jc w:val="both"/>
              <w:rPr>
                <w:rFonts w:ascii="Verdana" w:hAnsi="Verdana"/>
                <w:bCs/>
                <w:color w:val="000000"/>
                <w:sz w:val="16"/>
                <w:szCs w:val="16"/>
              </w:rPr>
            </w:pPr>
            <w:r>
              <w:rPr>
                <w:rFonts w:ascii="Verdana" w:hAnsi="Verdana"/>
                <w:bCs/>
                <w:color w:val="000000"/>
                <w:sz w:val="16"/>
                <w:szCs w:val="16"/>
              </w:rPr>
              <w:t>Въздействието е под средното равнище</w:t>
            </w:r>
          </w:p>
        </w:tc>
        <w:tc>
          <w:tcPr>
            <w:tcW w:w="1472" w:type="dxa"/>
            <w:tcBorders>
              <w:top w:val="single" w:sz="4" w:space="0" w:color="auto"/>
              <w:left w:val="single" w:sz="4" w:space="0" w:color="auto"/>
              <w:bottom w:val="single" w:sz="4" w:space="0" w:color="auto"/>
              <w:right w:val="single" w:sz="4" w:space="0" w:color="auto"/>
            </w:tcBorders>
            <w:shd w:val="clear" w:color="auto" w:fill="FFFF00"/>
            <w:hideMark/>
          </w:tcPr>
          <w:p w:rsidR="00A22EA5" w:rsidRDefault="00A22EA5" w:rsidP="00E054C6">
            <w:pPr>
              <w:pStyle w:val="BodyText"/>
              <w:tabs>
                <w:tab w:val="left" w:pos="0"/>
                <w:tab w:val="right" w:pos="9214"/>
              </w:tabs>
              <w:spacing w:before="120" w:line="276" w:lineRule="auto"/>
              <w:jc w:val="both"/>
              <w:rPr>
                <w:rFonts w:ascii="Verdana" w:hAnsi="Verdana"/>
                <w:bCs/>
                <w:color w:val="000000"/>
                <w:sz w:val="16"/>
                <w:szCs w:val="16"/>
              </w:rPr>
            </w:pPr>
            <w:r>
              <w:rPr>
                <w:rFonts w:ascii="Verdana" w:hAnsi="Verdana"/>
                <w:bCs/>
                <w:color w:val="000000"/>
                <w:sz w:val="16"/>
                <w:szCs w:val="16"/>
              </w:rPr>
              <w:t>2</w:t>
            </w:r>
          </w:p>
        </w:tc>
      </w:tr>
      <w:tr w:rsidR="00A22EA5" w:rsidTr="001B40F2">
        <w:trPr>
          <w:trHeight w:val="77"/>
          <w:jc w:val="center"/>
        </w:trPr>
        <w:tc>
          <w:tcPr>
            <w:tcW w:w="3784" w:type="dxa"/>
            <w:tcBorders>
              <w:top w:val="single" w:sz="4" w:space="0" w:color="auto"/>
              <w:left w:val="single" w:sz="4" w:space="0" w:color="auto"/>
              <w:bottom w:val="single" w:sz="4" w:space="0" w:color="auto"/>
              <w:right w:val="single" w:sz="4" w:space="0" w:color="auto"/>
            </w:tcBorders>
            <w:shd w:val="clear" w:color="auto" w:fill="C2D69B" w:themeFill="accent3" w:themeFillTint="99"/>
            <w:hideMark/>
          </w:tcPr>
          <w:p w:rsidR="00A22EA5" w:rsidRDefault="00A22EA5" w:rsidP="00E054C6">
            <w:pPr>
              <w:pStyle w:val="BodyText"/>
              <w:tabs>
                <w:tab w:val="left" w:pos="0"/>
                <w:tab w:val="right" w:pos="9214"/>
              </w:tabs>
              <w:spacing w:before="120" w:line="276" w:lineRule="auto"/>
              <w:jc w:val="both"/>
              <w:rPr>
                <w:rFonts w:ascii="Verdana" w:hAnsi="Verdana"/>
                <w:bCs/>
                <w:color w:val="000000"/>
                <w:sz w:val="16"/>
                <w:szCs w:val="16"/>
              </w:rPr>
            </w:pPr>
            <w:r>
              <w:rPr>
                <w:rFonts w:ascii="Verdana" w:hAnsi="Verdana"/>
                <w:bCs/>
                <w:color w:val="000000"/>
                <w:sz w:val="16"/>
                <w:szCs w:val="16"/>
              </w:rPr>
              <w:t>Малка вероятност</w:t>
            </w:r>
          </w:p>
        </w:tc>
        <w:tc>
          <w:tcPr>
            <w:tcW w:w="3022" w:type="dxa"/>
            <w:tcBorders>
              <w:top w:val="single" w:sz="4" w:space="0" w:color="auto"/>
              <w:left w:val="single" w:sz="4" w:space="0" w:color="auto"/>
              <w:bottom w:val="single" w:sz="4" w:space="0" w:color="auto"/>
              <w:right w:val="single" w:sz="4" w:space="0" w:color="auto"/>
            </w:tcBorders>
            <w:shd w:val="clear" w:color="auto" w:fill="C2D69B" w:themeFill="accent3" w:themeFillTint="99"/>
            <w:hideMark/>
          </w:tcPr>
          <w:p w:rsidR="00A22EA5" w:rsidRDefault="00A22EA5" w:rsidP="00E054C6">
            <w:pPr>
              <w:pStyle w:val="BodyText"/>
              <w:tabs>
                <w:tab w:val="left" w:pos="0"/>
                <w:tab w:val="right" w:pos="9214"/>
              </w:tabs>
              <w:spacing w:before="120" w:line="276" w:lineRule="auto"/>
              <w:jc w:val="both"/>
              <w:rPr>
                <w:rFonts w:ascii="Verdana" w:hAnsi="Verdana"/>
                <w:bCs/>
                <w:color w:val="000000"/>
                <w:sz w:val="16"/>
                <w:szCs w:val="16"/>
              </w:rPr>
            </w:pPr>
            <w:r>
              <w:rPr>
                <w:rFonts w:ascii="Verdana" w:hAnsi="Verdana"/>
                <w:bCs/>
                <w:color w:val="000000"/>
                <w:sz w:val="16"/>
                <w:szCs w:val="16"/>
              </w:rPr>
              <w:t>Незначително въздействие</w:t>
            </w:r>
          </w:p>
        </w:tc>
        <w:tc>
          <w:tcPr>
            <w:tcW w:w="1472" w:type="dxa"/>
            <w:tcBorders>
              <w:top w:val="single" w:sz="4" w:space="0" w:color="auto"/>
              <w:left w:val="single" w:sz="4" w:space="0" w:color="auto"/>
              <w:bottom w:val="single" w:sz="4" w:space="0" w:color="auto"/>
              <w:right w:val="single" w:sz="4" w:space="0" w:color="auto"/>
            </w:tcBorders>
            <w:shd w:val="clear" w:color="auto" w:fill="C2D69B" w:themeFill="accent3" w:themeFillTint="99"/>
            <w:hideMark/>
          </w:tcPr>
          <w:p w:rsidR="00A22EA5" w:rsidRDefault="00A22EA5" w:rsidP="00E054C6">
            <w:pPr>
              <w:pStyle w:val="BodyText"/>
              <w:tabs>
                <w:tab w:val="left" w:pos="0"/>
                <w:tab w:val="right" w:pos="9214"/>
              </w:tabs>
              <w:spacing w:before="120" w:line="276" w:lineRule="auto"/>
              <w:jc w:val="both"/>
              <w:rPr>
                <w:rFonts w:ascii="Verdana" w:hAnsi="Verdana"/>
                <w:bCs/>
                <w:color w:val="000000"/>
                <w:sz w:val="16"/>
                <w:szCs w:val="16"/>
              </w:rPr>
            </w:pPr>
            <w:r>
              <w:rPr>
                <w:rFonts w:ascii="Verdana" w:hAnsi="Verdana"/>
                <w:bCs/>
                <w:color w:val="000000"/>
                <w:sz w:val="16"/>
                <w:szCs w:val="16"/>
              </w:rPr>
              <w:t>1</w:t>
            </w:r>
          </w:p>
        </w:tc>
      </w:tr>
    </w:tbl>
    <w:p w:rsidR="00A22EA5" w:rsidRDefault="00A22EA5" w:rsidP="00A22EA5">
      <w:pPr>
        <w:pStyle w:val="BodyText"/>
        <w:tabs>
          <w:tab w:val="left" w:pos="0"/>
          <w:tab w:val="right" w:pos="9214"/>
        </w:tabs>
        <w:spacing w:before="120" w:line="276" w:lineRule="auto"/>
        <w:jc w:val="both"/>
        <w:rPr>
          <w:rFonts w:ascii="Verdana" w:hAnsi="Verdana"/>
          <w:bCs/>
          <w:color w:val="000000"/>
          <w:sz w:val="20"/>
          <w:szCs w:val="20"/>
        </w:rPr>
      </w:pPr>
    </w:p>
    <w:p w:rsidR="00A22EA5" w:rsidRDefault="00A22EA5" w:rsidP="00A22EA5">
      <w:pPr>
        <w:pStyle w:val="BodyText"/>
        <w:tabs>
          <w:tab w:val="left" w:pos="0"/>
          <w:tab w:val="right" w:pos="9214"/>
        </w:tabs>
        <w:spacing w:before="120" w:line="276" w:lineRule="auto"/>
        <w:jc w:val="both"/>
        <w:rPr>
          <w:rFonts w:ascii="Verdana" w:eastAsiaTheme="minorEastAsia" w:hAnsi="Verdana"/>
          <w:bCs/>
          <w:color w:val="000000"/>
          <w:sz w:val="20"/>
          <w:szCs w:val="20"/>
          <w:lang w:eastAsia="ja-JP"/>
        </w:rPr>
      </w:pPr>
      <w:r>
        <w:rPr>
          <w:rFonts w:ascii="Verdana" w:hAnsi="Verdana"/>
          <w:bCs/>
          <w:color w:val="000000"/>
          <w:sz w:val="20"/>
          <w:szCs w:val="20"/>
        </w:rPr>
        <w:t>Стойностите на „въздействие” и „вероятност” за всички рискове се умножават и се получава интензитетът на риска. Рисковете се подреждат в низходящ ред въз основа на техния интензитет. В резултат на извършването на тази дейност е изготвена таблицата по-долу с оценени рискове.</w:t>
      </w:r>
    </w:p>
    <w:p w:rsidR="00A22EA5" w:rsidRDefault="00A22EA5" w:rsidP="00A22EA5">
      <w:pPr>
        <w:pStyle w:val="Caption"/>
        <w:keepNext/>
        <w:rPr>
          <w:rFonts w:ascii="Verdana" w:hAnsi="Verdana"/>
          <w:color w:val="548DD4" w:themeColor="text2" w:themeTint="99"/>
        </w:rPr>
      </w:pPr>
      <w:bookmarkStart w:id="161" w:name="_Toc381712222"/>
      <w:bookmarkStart w:id="162" w:name="_Toc373747283"/>
      <w:bookmarkStart w:id="163" w:name="_Toc395612596"/>
      <w:r w:rsidRPr="0026362F">
        <w:rPr>
          <w:rFonts w:ascii="Verdana" w:hAnsi="Verdana"/>
          <w:color w:val="548DD4" w:themeColor="text2" w:themeTint="99"/>
        </w:rPr>
        <w:t xml:space="preserve">Таблица </w:t>
      </w:r>
      <w:r w:rsidRPr="0026362F">
        <w:fldChar w:fldCharType="begin"/>
      </w:r>
      <w:r w:rsidRPr="0026362F">
        <w:rPr>
          <w:rFonts w:ascii="Verdana" w:hAnsi="Verdana"/>
          <w:color w:val="548DD4" w:themeColor="text2" w:themeTint="99"/>
        </w:rPr>
        <w:instrText xml:space="preserve"> SEQ таблица \* ARABIC </w:instrText>
      </w:r>
      <w:r w:rsidRPr="0026362F">
        <w:fldChar w:fldCharType="separate"/>
      </w:r>
      <w:r w:rsidR="001361E0">
        <w:rPr>
          <w:rFonts w:ascii="Verdana" w:hAnsi="Verdana"/>
          <w:noProof/>
          <w:color w:val="548DD4" w:themeColor="text2" w:themeTint="99"/>
        </w:rPr>
        <w:t>40</w:t>
      </w:r>
      <w:r w:rsidRPr="0026362F">
        <w:fldChar w:fldCharType="end"/>
      </w:r>
      <w:r w:rsidRPr="0026362F">
        <w:rPr>
          <w:rFonts w:ascii="Verdana" w:hAnsi="Verdana"/>
          <w:color w:val="548DD4" w:themeColor="text2" w:themeTint="99"/>
        </w:rPr>
        <w:t>. Рискове, свързани с административния капацитет за ОПНОИР 2014-2020 г.</w:t>
      </w:r>
      <w:bookmarkEnd w:id="161"/>
      <w:bookmarkEnd w:id="162"/>
      <w:bookmarkEnd w:id="163"/>
    </w:p>
    <w:tbl>
      <w:tblPr>
        <w:tblStyle w:val="TableGrid"/>
        <w:tblW w:w="10770" w:type="dxa"/>
        <w:tblInd w:w="-601" w:type="dxa"/>
        <w:tblLayout w:type="fixed"/>
        <w:tblLook w:val="04A0" w:firstRow="1" w:lastRow="0" w:firstColumn="1" w:lastColumn="0" w:noHBand="0" w:noVBand="1"/>
      </w:tblPr>
      <w:tblGrid>
        <w:gridCol w:w="1870"/>
        <w:gridCol w:w="2833"/>
        <w:gridCol w:w="1134"/>
        <w:gridCol w:w="1276"/>
        <w:gridCol w:w="1105"/>
        <w:gridCol w:w="851"/>
        <w:gridCol w:w="850"/>
        <w:gridCol w:w="851"/>
      </w:tblGrid>
      <w:tr w:rsidR="00A22EA5" w:rsidRPr="00B8326E" w:rsidTr="00E054C6">
        <w:trPr>
          <w:tblHeader/>
        </w:trPr>
        <w:tc>
          <w:tcPr>
            <w:tcW w:w="1870" w:type="dxa"/>
            <w:tcBorders>
              <w:top w:val="single" w:sz="4" w:space="0" w:color="auto"/>
              <w:left w:val="single" w:sz="4" w:space="0" w:color="auto"/>
              <w:bottom w:val="single" w:sz="4" w:space="0" w:color="auto"/>
              <w:right w:val="single" w:sz="4" w:space="0" w:color="auto"/>
            </w:tcBorders>
            <w:shd w:val="clear" w:color="auto" w:fill="17365D" w:themeFill="text2" w:themeFillShade="BF"/>
            <w:hideMark/>
          </w:tcPr>
          <w:p w:rsidR="00A22EA5" w:rsidRPr="00B8326E" w:rsidRDefault="00A22EA5" w:rsidP="00E054C6">
            <w:pPr>
              <w:spacing w:before="60" w:after="60"/>
              <w:jc w:val="both"/>
              <w:rPr>
                <w:rFonts w:ascii="Verdana" w:eastAsia="Malgun Gothic" w:hAnsi="Verdana"/>
                <w:bCs/>
                <w:color w:val="FFFFFF" w:themeColor="background1"/>
                <w:sz w:val="16"/>
                <w:szCs w:val="16"/>
                <w:lang w:val="bg-BG" w:eastAsia="ko-KR"/>
              </w:rPr>
            </w:pPr>
            <w:r w:rsidRPr="00B8326E">
              <w:rPr>
                <w:rFonts w:ascii="Verdana" w:eastAsia="Malgun Gothic" w:hAnsi="Verdana"/>
                <w:bCs/>
                <w:color w:val="FFFFFF" w:themeColor="background1"/>
                <w:sz w:val="16"/>
                <w:szCs w:val="16"/>
                <w:lang w:val="bg-BG" w:eastAsia="ko-KR"/>
              </w:rPr>
              <w:t>Цели</w:t>
            </w:r>
          </w:p>
        </w:tc>
        <w:tc>
          <w:tcPr>
            <w:tcW w:w="2833" w:type="dxa"/>
            <w:tcBorders>
              <w:top w:val="single" w:sz="4" w:space="0" w:color="auto"/>
              <w:left w:val="single" w:sz="4" w:space="0" w:color="auto"/>
              <w:bottom w:val="single" w:sz="4" w:space="0" w:color="auto"/>
              <w:right w:val="single" w:sz="4" w:space="0" w:color="auto"/>
            </w:tcBorders>
            <w:shd w:val="clear" w:color="auto" w:fill="17365D" w:themeFill="text2" w:themeFillShade="BF"/>
            <w:hideMark/>
          </w:tcPr>
          <w:p w:rsidR="00A22EA5" w:rsidRPr="00B8326E" w:rsidRDefault="00A22EA5" w:rsidP="00E054C6">
            <w:pPr>
              <w:spacing w:before="60" w:after="60"/>
              <w:jc w:val="both"/>
              <w:rPr>
                <w:rFonts w:ascii="Verdana" w:eastAsia="Malgun Gothic" w:hAnsi="Verdana"/>
                <w:bCs/>
                <w:color w:val="FFFFFF" w:themeColor="background1"/>
                <w:sz w:val="16"/>
                <w:szCs w:val="16"/>
                <w:lang w:val="bg-BG" w:eastAsia="ko-KR"/>
              </w:rPr>
            </w:pPr>
            <w:r w:rsidRPr="00B8326E">
              <w:rPr>
                <w:rFonts w:ascii="Verdana" w:eastAsia="Malgun Gothic" w:hAnsi="Verdana"/>
                <w:bCs/>
                <w:color w:val="FFFFFF" w:themeColor="background1"/>
                <w:sz w:val="16"/>
                <w:szCs w:val="16"/>
                <w:lang w:val="bg-BG" w:eastAsia="ko-KR"/>
              </w:rPr>
              <w:t>Рискове</w:t>
            </w:r>
          </w:p>
        </w:tc>
        <w:tc>
          <w:tcPr>
            <w:tcW w:w="1134" w:type="dxa"/>
            <w:tcBorders>
              <w:top w:val="single" w:sz="4" w:space="0" w:color="auto"/>
              <w:left w:val="single" w:sz="4" w:space="0" w:color="auto"/>
              <w:bottom w:val="single" w:sz="4" w:space="0" w:color="auto"/>
              <w:right w:val="single" w:sz="4" w:space="0" w:color="auto"/>
            </w:tcBorders>
            <w:shd w:val="clear" w:color="auto" w:fill="17365D" w:themeFill="text2" w:themeFillShade="BF"/>
            <w:hideMark/>
          </w:tcPr>
          <w:p w:rsidR="00A22EA5" w:rsidRPr="00B8326E" w:rsidRDefault="00A22EA5" w:rsidP="00E054C6">
            <w:pPr>
              <w:spacing w:before="60" w:after="60"/>
              <w:jc w:val="both"/>
              <w:rPr>
                <w:rFonts w:ascii="Verdana" w:eastAsia="Malgun Gothic" w:hAnsi="Verdana"/>
                <w:bCs/>
                <w:color w:val="FFFFFF" w:themeColor="background1"/>
                <w:sz w:val="16"/>
                <w:szCs w:val="16"/>
                <w:lang w:val="bg-BG" w:eastAsia="ko-KR"/>
              </w:rPr>
            </w:pPr>
            <w:r w:rsidRPr="00B8326E">
              <w:rPr>
                <w:rFonts w:ascii="Verdana" w:eastAsia="Malgun Gothic" w:hAnsi="Verdana"/>
                <w:bCs/>
                <w:color w:val="FFFFFF" w:themeColor="background1"/>
                <w:sz w:val="16"/>
                <w:szCs w:val="16"/>
                <w:lang w:val="bg-BG" w:eastAsia="ko-KR"/>
              </w:rPr>
              <w:t>Източник</w:t>
            </w:r>
          </w:p>
        </w:tc>
        <w:tc>
          <w:tcPr>
            <w:tcW w:w="1276" w:type="dxa"/>
            <w:tcBorders>
              <w:top w:val="single" w:sz="4" w:space="0" w:color="auto"/>
              <w:left w:val="single" w:sz="4" w:space="0" w:color="auto"/>
              <w:bottom w:val="single" w:sz="4" w:space="0" w:color="auto"/>
              <w:right w:val="single" w:sz="4" w:space="0" w:color="auto"/>
            </w:tcBorders>
            <w:shd w:val="clear" w:color="auto" w:fill="17365D" w:themeFill="text2" w:themeFillShade="BF"/>
            <w:hideMark/>
          </w:tcPr>
          <w:p w:rsidR="00A22EA5" w:rsidRPr="00B8326E" w:rsidRDefault="00A22EA5" w:rsidP="00E054C6">
            <w:pPr>
              <w:spacing w:before="60" w:after="60"/>
              <w:jc w:val="both"/>
              <w:rPr>
                <w:rFonts w:ascii="Verdana" w:eastAsia="Malgun Gothic" w:hAnsi="Verdana"/>
                <w:bCs/>
                <w:color w:val="FFFFFF" w:themeColor="background1"/>
                <w:sz w:val="16"/>
                <w:szCs w:val="16"/>
                <w:lang w:val="bg-BG" w:eastAsia="ko-KR"/>
              </w:rPr>
            </w:pPr>
            <w:r w:rsidRPr="00B8326E">
              <w:rPr>
                <w:rFonts w:ascii="Verdana" w:eastAsia="Malgun Gothic" w:hAnsi="Verdana"/>
                <w:bCs/>
                <w:color w:val="FFFFFF" w:themeColor="background1"/>
                <w:sz w:val="16"/>
                <w:szCs w:val="16"/>
                <w:lang w:val="bg-BG" w:eastAsia="ko-KR"/>
              </w:rPr>
              <w:t>Проявление</w:t>
            </w:r>
          </w:p>
        </w:tc>
        <w:tc>
          <w:tcPr>
            <w:tcW w:w="1105" w:type="dxa"/>
            <w:tcBorders>
              <w:top w:val="single" w:sz="4" w:space="0" w:color="auto"/>
              <w:left w:val="single" w:sz="4" w:space="0" w:color="auto"/>
              <w:bottom w:val="single" w:sz="4" w:space="0" w:color="auto"/>
              <w:right w:val="single" w:sz="4" w:space="0" w:color="auto"/>
            </w:tcBorders>
            <w:shd w:val="clear" w:color="auto" w:fill="17365D" w:themeFill="text2" w:themeFillShade="BF"/>
            <w:hideMark/>
          </w:tcPr>
          <w:p w:rsidR="00A22EA5" w:rsidRPr="00B8326E" w:rsidRDefault="00A22EA5" w:rsidP="00E054C6">
            <w:pPr>
              <w:spacing w:before="60" w:after="60"/>
              <w:jc w:val="both"/>
              <w:rPr>
                <w:rFonts w:ascii="Verdana" w:eastAsia="Malgun Gothic" w:hAnsi="Verdana"/>
                <w:bCs/>
                <w:color w:val="FFFFFF" w:themeColor="background1"/>
                <w:sz w:val="16"/>
                <w:szCs w:val="16"/>
                <w:lang w:val="bg-BG" w:eastAsia="ko-KR"/>
              </w:rPr>
            </w:pPr>
            <w:r w:rsidRPr="00B8326E">
              <w:rPr>
                <w:rFonts w:ascii="Verdana" w:eastAsia="Malgun Gothic" w:hAnsi="Verdana"/>
                <w:bCs/>
                <w:color w:val="FFFFFF" w:themeColor="background1"/>
                <w:sz w:val="16"/>
                <w:szCs w:val="16"/>
                <w:lang w:val="bg-BG" w:eastAsia="ko-KR"/>
              </w:rPr>
              <w:t>Обхват</w:t>
            </w:r>
          </w:p>
        </w:tc>
        <w:tc>
          <w:tcPr>
            <w:tcW w:w="851" w:type="dxa"/>
            <w:tcBorders>
              <w:top w:val="single" w:sz="4" w:space="0" w:color="auto"/>
              <w:left w:val="single" w:sz="4" w:space="0" w:color="auto"/>
              <w:bottom w:val="single" w:sz="4" w:space="0" w:color="auto"/>
              <w:right w:val="single" w:sz="4" w:space="0" w:color="auto"/>
            </w:tcBorders>
            <w:shd w:val="clear" w:color="auto" w:fill="17365D" w:themeFill="text2" w:themeFillShade="BF"/>
            <w:hideMark/>
          </w:tcPr>
          <w:p w:rsidR="00A22EA5" w:rsidRPr="00B8326E" w:rsidRDefault="00A22EA5" w:rsidP="00E054C6">
            <w:pPr>
              <w:spacing w:before="60" w:after="60"/>
              <w:jc w:val="both"/>
              <w:rPr>
                <w:rFonts w:ascii="Verdana" w:eastAsia="Malgun Gothic" w:hAnsi="Verdana"/>
                <w:bCs/>
                <w:color w:val="FFFFFF" w:themeColor="background1"/>
                <w:sz w:val="16"/>
                <w:szCs w:val="16"/>
                <w:lang w:val="bg-BG" w:eastAsia="ko-KR"/>
              </w:rPr>
            </w:pPr>
            <w:r w:rsidRPr="00B8326E">
              <w:rPr>
                <w:rFonts w:ascii="Verdana" w:eastAsia="Malgun Gothic" w:hAnsi="Verdana"/>
                <w:bCs/>
                <w:color w:val="FFFFFF" w:themeColor="background1"/>
                <w:sz w:val="16"/>
                <w:szCs w:val="16"/>
                <w:lang w:val="bg-BG" w:eastAsia="ko-KR"/>
              </w:rPr>
              <w:t>Вероятност</w:t>
            </w:r>
          </w:p>
        </w:tc>
        <w:tc>
          <w:tcPr>
            <w:tcW w:w="850" w:type="dxa"/>
            <w:tcBorders>
              <w:top w:val="single" w:sz="4" w:space="0" w:color="auto"/>
              <w:left w:val="single" w:sz="4" w:space="0" w:color="auto"/>
              <w:bottom w:val="single" w:sz="4" w:space="0" w:color="auto"/>
              <w:right w:val="single" w:sz="4" w:space="0" w:color="auto"/>
            </w:tcBorders>
            <w:shd w:val="clear" w:color="auto" w:fill="17365D" w:themeFill="text2" w:themeFillShade="BF"/>
            <w:hideMark/>
          </w:tcPr>
          <w:p w:rsidR="00A22EA5" w:rsidRPr="00B8326E" w:rsidRDefault="00A22EA5" w:rsidP="00E054C6">
            <w:pPr>
              <w:spacing w:before="60" w:after="60"/>
              <w:jc w:val="both"/>
              <w:rPr>
                <w:rFonts w:ascii="Verdana" w:eastAsia="Malgun Gothic" w:hAnsi="Verdana"/>
                <w:bCs/>
                <w:color w:val="FFFFFF" w:themeColor="background1"/>
                <w:sz w:val="16"/>
                <w:szCs w:val="16"/>
                <w:lang w:val="bg-BG" w:eastAsia="ko-KR"/>
              </w:rPr>
            </w:pPr>
            <w:r w:rsidRPr="00B8326E">
              <w:rPr>
                <w:rFonts w:ascii="Verdana" w:eastAsia="Malgun Gothic" w:hAnsi="Verdana"/>
                <w:bCs/>
                <w:color w:val="FFFFFF" w:themeColor="background1"/>
                <w:sz w:val="16"/>
                <w:szCs w:val="16"/>
                <w:lang w:val="bg-BG" w:eastAsia="ko-KR"/>
              </w:rPr>
              <w:t>Въздействие</w:t>
            </w:r>
          </w:p>
        </w:tc>
        <w:tc>
          <w:tcPr>
            <w:tcW w:w="851" w:type="dxa"/>
            <w:tcBorders>
              <w:top w:val="single" w:sz="4" w:space="0" w:color="auto"/>
              <w:left w:val="single" w:sz="4" w:space="0" w:color="auto"/>
              <w:bottom w:val="single" w:sz="4" w:space="0" w:color="auto"/>
              <w:right w:val="single" w:sz="4" w:space="0" w:color="auto"/>
            </w:tcBorders>
            <w:shd w:val="clear" w:color="auto" w:fill="17365D" w:themeFill="text2" w:themeFillShade="BF"/>
            <w:hideMark/>
          </w:tcPr>
          <w:p w:rsidR="00A22EA5" w:rsidRPr="00B8326E" w:rsidRDefault="00A22EA5" w:rsidP="00E054C6">
            <w:pPr>
              <w:spacing w:before="60" w:after="60"/>
              <w:jc w:val="both"/>
              <w:rPr>
                <w:rFonts w:ascii="Verdana" w:eastAsia="Malgun Gothic" w:hAnsi="Verdana"/>
                <w:bCs/>
                <w:color w:val="FFFFFF" w:themeColor="background1"/>
                <w:sz w:val="16"/>
                <w:szCs w:val="16"/>
                <w:lang w:val="bg-BG" w:eastAsia="ko-KR"/>
              </w:rPr>
            </w:pPr>
            <w:r w:rsidRPr="00B8326E">
              <w:rPr>
                <w:rFonts w:ascii="Verdana" w:eastAsia="Malgun Gothic" w:hAnsi="Verdana"/>
                <w:bCs/>
                <w:color w:val="FFFFFF" w:themeColor="background1"/>
                <w:sz w:val="16"/>
                <w:szCs w:val="16"/>
                <w:lang w:val="bg-BG" w:eastAsia="ko-KR"/>
              </w:rPr>
              <w:t>Интензитет</w:t>
            </w:r>
          </w:p>
        </w:tc>
      </w:tr>
      <w:tr w:rsidR="00A22EA5" w:rsidRPr="00B8326E" w:rsidTr="00E054C6">
        <w:tc>
          <w:tcPr>
            <w:tcW w:w="1870" w:type="dxa"/>
            <w:vMerge w:val="restart"/>
            <w:tcBorders>
              <w:top w:val="single" w:sz="4" w:space="0" w:color="auto"/>
              <w:left w:val="single" w:sz="4" w:space="0" w:color="auto"/>
              <w:bottom w:val="single" w:sz="4" w:space="0" w:color="auto"/>
              <w:right w:val="single" w:sz="4" w:space="0" w:color="auto"/>
            </w:tcBorders>
            <w:vAlign w:val="center"/>
            <w:hideMark/>
          </w:tcPr>
          <w:p w:rsidR="00A22EA5" w:rsidRPr="00B8326E" w:rsidRDefault="00A22EA5" w:rsidP="006861B0">
            <w:pPr>
              <w:pStyle w:val="ListParagraph"/>
              <w:numPr>
                <w:ilvl w:val="0"/>
                <w:numId w:val="83"/>
              </w:numPr>
              <w:spacing w:before="60" w:after="60" w:line="240" w:lineRule="auto"/>
              <w:ind w:left="170" w:hanging="170"/>
              <w:rPr>
                <w:rFonts w:ascii="Verdana" w:hAnsi="Verdana"/>
                <w:bCs/>
                <w:color w:val="000000"/>
                <w:sz w:val="16"/>
                <w:szCs w:val="16"/>
                <w:lang w:val="bg-BG" w:eastAsia="bg-BG"/>
              </w:rPr>
            </w:pPr>
            <w:r w:rsidRPr="00B8326E">
              <w:rPr>
                <w:rFonts w:ascii="Verdana" w:hAnsi="Verdana"/>
                <w:bCs/>
                <w:color w:val="000000"/>
                <w:sz w:val="16"/>
                <w:szCs w:val="16"/>
                <w:lang w:val="bg-BG" w:eastAsia="bg-BG"/>
              </w:rPr>
              <w:t>Навременно стартиране на изпълнението на ОПНОИР 2014-2020 г.</w:t>
            </w:r>
          </w:p>
          <w:p w:rsidR="00A22EA5" w:rsidRPr="00B8326E" w:rsidRDefault="00A22EA5" w:rsidP="00E054C6">
            <w:pPr>
              <w:spacing w:before="60" w:after="60"/>
              <w:rPr>
                <w:rFonts w:ascii="Verdana" w:hAnsi="Verdana"/>
                <w:bCs/>
                <w:color w:val="000000"/>
                <w:sz w:val="16"/>
                <w:szCs w:val="16"/>
                <w:lang w:val="bg-BG"/>
              </w:rPr>
            </w:pPr>
          </w:p>
          <w:p w:rsidR="00A22EA5" w:rsidRPr="00B8326E" w:rsidRDefault="00A22EA5" w:rsidP="00E054C6">
            <w:pPr>
              <w:rPr>
                <w:rFonts w:ascii="Verdana" w:eastAsia="Malgun Gothic" w:hAnsi="Verdana"/>
                <w:bCs/>
                <w:color w:val="000000"/>
                <w:sz w:val="16"/>
                <w:szCs w:val="16"/>
                <w:lang w:val="bg-BG" w:eastAsia="ko-KR"/>
              </w:rPr>
            </w:pPr>
          </w:p>
        </w:tc>
        <w:tc>
          <w:tcPr>
            <w:tcW w:w="2833" w:type="dxa"/>
            <w:tcBorders>
              <w:top w:val="single" w:sz="4" w:space="0" w:color="auto"/>
              <w:left w:val="single" w:sz="4" w:space="0" w:color="auto"/>
              <w:bottom w:val="single" w:sz="4" w:space="0" w:color="auto"/>
              <w:right w:val="single" w:sz="4" w:space="0" w:color="auto"/>
            </w:tcBorders>
            <w:hideMark/>
          </w:tcPr>
          <w:p w:rsidR="00A22EA5" w:rsidRPr="00B8326E" w:rsidRDefault="00A22EA5" w:rsidP="006861B0">
            <w:pPr>
              <w:pStyle w:val="ListParagraph"/>
              <w:numPr>
                <w:ilvl w:val="1"/>
                <w:numId w:val="85"/>
              </w:numPr>
              <w:spacing w:before="60" w:after="60" w:line="240" w:lineRule="auto"/>
              <w:ind w:left="0" w:firstLine="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Забавяне при одобрението на програмата от ЕК</w:t>
            </w:r>
          </w:p>
        </w:tc>
        <w:tc>
          <w:tcPr>
            <w:tcW w:w="1134"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Външен/ Вътрешен</w:t>
            </w:r>
          </w:p>
        </w:tc>
        <w:tc>
          <w:tcPr>
            <w:tcW w:w="1276"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Програма</w:t>
            </w:r>
          </w:p>
        </w:tc>
        <w:tc>
          <w:tcPr>
            <w:tcW w:w="1105"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Цялостен</w:t>
            </w:r>
          </w:p>
        </w:tc>
        <w:tc>
          <w:tcPr>
            <w:tcW w:w="851"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3</w:t>
            </w:r>
          </w:p>
        </w:tc>
        <w:tc>
          <w:tcPr>
            <w:tcW w:w="850"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spacing w:before="60" w:after="6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4</w:t>
            </w:r>
          </w:p>
        </w:tc>
        <w:tc>
          <w:tcPr>
            <w:tcW w:w="851"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spacing w:before="60" w:after="6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12</w:t>
            </w:r>
          </w:p>
        </w:tc>
      </w:tr>
      <w:tr w:rsidR="00A22EA5" w:rsidRPr="00B8326E" w:rsidTr="00E054C6">
        <w:tc>
          <w:tcPr>
            <w:tcW w:w="1870" w:type="dxa"/>
            <w:vMerge/>
            <w:tcBorders>
              <w:top w:val="single" w:sz="4" w:space="0" w:color="auto"/>
              <w:left w:val="single" w:sz="4" w:space="0" w:color="auto"/>
              <w:bottom w:val="single" w:sz="4" w:space="0" w:color="auto"/>
              <w:right w:val="single" w:sz="4" w:space="0" w:color="auto"/>
            </w:tcBorders>
            <w:vAlign w:val="center"/>
            <w:hideMark/>
          </w:tcPr>
          <w:p w:rsidR="00A22EA5" w:rsidRPr="00B8326E" w:rsidRDefault="00A22EA5" w:rsidP="00E054C6">
            <w:pPr>
              <w:rPr>
                <w:rFonts w:ascii="Verdana" w:eastAsia="Malgun Gothic" w:hAnsi="Verdana"/>
                <w:bCs/>
                <w:color w:val="000000"/>
                <w:sz w:val="16"/>
                <w:szCs w:val="16"/>
                <w:lang w:val="bg-BG" w:eastAsia="ko-KR"/>
              </w:rPr>
            </w:pPr>
          </w:p>
        </w:tc>
        <w:tc>
          <w:tcPr>
            <w:tcW w:w="2833" w:type="dxa"/>
            <w:tcBorders>
              <w:top w:val="single" w:sz="4" w:space="0" w:color="auto"/>
              <w:left w:val="single" w:sz="4" w:space="0" w:color="auto"/>
              <w:bottom w:val="single" w:sz="4" w:space="0" w:color="auto"/>
              <w:right w:val="single" w:sz="4" w:space="0" w:color="auto"/>
            </w:tcBorders>
            <w:hideMark/>
          </w:tcPr>
          <w:p w:rsidR="00A22EA5" w:rsidRPr="00B8326E" w:rsidRDefault="00A22EA5" w:rsidP="006861B0">
            <w:pPr>
              <w:pStyle w:val="ListParagraph"/>
              <w:numPr>
                <w:ilvl w:val="1"/>
                <w:numId w:val="85"/>
              </w:numPr>
              <w:spacing w:before="60" w:after="60" w:line="240" w:lineRule="auto"/>
              <w:ind w:left="0" w:firstLine="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Забавяне при акредитирането на системите за управление и контрол</w:t>
            </w:r>
          </w:p>
        </w:tc>
        <w:tc>
          <w:tcPr>
            <w:tcW w:w="1134"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Външен/ Вътрешен</w:t>
            </w:r>
          </w:p>
        </w:tc>
        <w:tc>
          <w:tcPr>
            <w:tcW w:w="1276"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Програма</w:t>
            </w:r>
          </w:p>
        </w:tc>
        <w:tc>
          <w:tcPr>
            <w:tcW w:w="1105"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Цялостен</w:t>
            </w:r>
          </w:p>
        </w:tc>
        <w:tc>
          <w:tcPr>
            <w:tcW w:w="851"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2</w:t>
            </w:r>
          </w:p>
        </w:tc>
        <w:tc>
          <w:tcPr>
            <w:tcW w:w="850"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spacing w:before="60" w:after="6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4</w:t>
            </w:r>
          </w:p>
        </w:tc>
        <w:tc>
          <w:tcPr>
            <w:tcW w:w="851"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spacing w:before="60" w:after="6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8</w:t>
            </w:r>
          </w:p>
        </w:tc>
      </w:tr>
      <w:tr w:rsidR="00A22EA5" w:rsidRPr="00B8326E" w:rsidTr="00E054C6">
        <w:tc>
          <w:tcPr>
            <w:tcW w:w="1870" w:type="dxa"/>
            <w:vMerge w:val="restart"/>
            <w:tcBorders>
              <w:top w:val="single" w:sz="4" w:space="0" w:color="auto"/>
              <w:left w:val="single" w:sz="4" w:space="0" w:color="auto"/>
              <w:bottom w:val="single" w:sz="4" w:space="0" w:color="auto"/>
              <w:right w:val="single" w:sz="4" w:space="0" w:color="auto"/>
            </w:tcBorders>
          </w:tcPr>
          <w:p w:rsidR="00A22EA5" w:rsidRPr="00B8326E" w:rsidRDefault="00A22EA5" w:rsidP="006861B0">
            <w:pPr>
              <w:pStyle w:val="ListParagraph"/>
              <w:numPr>
                <w:ilvl w:val="0"/>
                <w:numId w:val="85"/>
              </w:numPr>
              <w:spacing w:before="60" w:after="60" w:line="240" w:lineRule="auto"/>
              <w:ind w:left="170" w:hanging="170"/>
              <w:rPr>
                <w:rFonts w:ascii="Verdana" w:hAnsi="Verdana"/>
                <w:bCs/>
                <w:color w:val="000000"/>
                <w:sz w:val="16"/>
                <w:szCs w:val="16"/>
                <w:lang w:val="bg-BG" w:eastAsia="bg-BG"/>
              </w:rPr>
            </w:pPr>
            <w:r w:rsidRPr="00B8326E">
              <w:rPr>
                <w:rFonts w:ascii="Verdana" w:hAnsi="Verdana"/>
                <w:bCs/>
                <w:color w:val="000000"/>
                <w:sz w:val="16"/>
                <w:szCs w:val="16"/>
                <w:lang w:val="bg-BG" w:eastAsia="bg-BG"/>
              </w:rPr>
              <w:t>Осигуряване на интерес към програмата и наличие на достатъчен брой качествени проектни предложения</w:t>
            </w:r>
          </w:p>
          <w:p w:rsidR="00A22EA5" w:rsidRPr="00B8326E" w:rsidRDefault="00A22EA5" w:rsidP="00E054C6">
            <w:pPr>
              <w:spacing w:before="60" w:after="60"/>
              <w:ind w:left="170" w:hanging="170"/>
              <w:jc w:val="both"/>
              <w:rPr>
                <w:rFonts w:ascii="Verdana" w:hAnsi="Verdana"/>
                <w:bCs/>
                <w:color w:val="000000"/>
                <w:sz w:val="16"/>
                <w:szCs w:val="16"/>
                <w:lang w:val="bg-BG"/>
              </w:rPr>
            </w:pPr>
          </w:p>
        </w:tc>
        <w:tc>
          <w:tcPr>
            <w:tcW w:w="2833" w:type="dxa"/>
            <w:tcBorders>
              <w:top w:val="single" w:sz="4" w:space="0" w:color="auto"/>
              <w:left w:val="single" w:sz="4" w:space="0" w:color="auto"/>
              <w:bottom w:val="single" w:sz="4" w:space="0" w:color="auto"/>
              <w:right w:val="single" w:sz="4" w:space="0" w:color="auto"/>
            </w:tcBorders>
            <w:hideMark/>
          </w:tcPr>
          <w:p w:rsidR="00A22EA5" w:rsidRPr="00B8326E" w:rsidRDefault="00A22EA5" w:rsidP="006861B0">
            <w:pPr>
              <w:pStyle w:val="ListParagraph"/>
              <w:numPr>
                <w:ilvl w:val="1"/>
                <w:numId w:val="85"/>
              </w:numPr>
              <w:spacing w:before="60" w:after="60" w:line="240" w:lineRule="auto"/>
              <w:ind w:left="0" w:firstLine="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Некачествена информационна кампания за старта на програмата</w:t>
            </w:r>
          </w:p>
        </w:tc>
        <w:tc>
          <w:tcPr>
            <w:tcW w:w="1134"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spacing w:before="60" w:after="6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Вътрешен</w:t>
            </w:r>
          </w:p>
        </w:tc>
        <w:tc>
          <w:tcPr>
            <w:tcW w:w="1276"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spacing w:before="60" w:after="6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Проект</w:t>
            </w:r>
          </w:p>
        </w:tc>
        <w:tc>
          <w:tcPr>
            <w:tcW w:w="1105"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spacing w:before="60" w:after="6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Частичен</w:t>
            </w:r>
          </w:p>
        </w:tc>
        <w:tc>
          <w:tcPr>
            <w:tcW w:w="851"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spacing w:before="60" w:after="6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1</w:t>
            </w:r>
          </w:p>
        </w:tc>
        <w:tc>
          <w:tcPr>
            <w:tcW w:w="850"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spacing w:before="60" w:after="6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3</w:t>
            </w:r>
          </w:p>
        </w:tc>
        <w:tc>
          <w:tcPr>
            <w:tcW w:w="851"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spacing w:before="60" w:after="6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3</w:t>
            </w:r>
          </w:p>
        </w:tc>
      </w:tr>
      <w:tr w:rsidR="00A22EA5" w:rsidRPr="00B8326E" w:rsidTr="00E054C6">
        <w:tc>
          <w:tcPr>
            <w:tcW w:w="1870" w:type="dxa"/>
            <w:vMerge/>
            <w:tcBorders>
              <w:top w:val="single" w:sz="4" w:space="0" w:color="auto"/>
              <w:left w:val="single" w:sz="4" w:space="0" w:color="auto"/>
              <w:bottom w:val="single" w:sz="4" w:space="0" w:color="auto"/>
              <w:right w:val="single" w:sz="4" w:space="0" w:color="auto"/>
            </w:tcBorders>
            <w:vAlign w:val="center"/>
            <w:hideMark/>
          </w:tcPr>
          <w:p w:rsidR="00A22EA5" w:rsidRPr="00B8326E" w:rsidRDefault="00A22EA5" w:rsidP="00E054C6">
            <w:pPr>
              <w:rPr>
                <w:rFonts w:ascii="Verdana" w:hAnsi="Verdana"/>
                <w:bCs/>
                <w:color w:val="000000"/>
                <w:sz w:val="16"/>
                <w:szCs w:val="16"/>
                <w:lang w:val="bg-BG"/>
              </w:rPr>
            </w:pPr>
          </w:p>
        </w:tc>
        <w:tc>
          <w:tcPr>
            <w:tcW w:w="2833" w:type="dxa"/>
            <w:tcBorders>
              <w:top w:val="single" w:sz="4" w:space="0" w:color="auto"/>
              <w:left w:val="single" w:sz="4" w:space="0" w:color="auto"/>
              <w:bottom w:val="single" w:sz="4" w:space="0" w:color="auto"/>
              <w:right w:val="single" w:sz="4" w:space="0" w:color="auto"/>
            </w:tcBorders>
            <w:hideMark/>
          </w:tcPr>
          <w:p w:rsidR="00A22EA5" w:rsidRPr="00B8326E" w:rsidRDefault="00A22EA5" w:rsidP="006861B0">
            <w:pPr>
              <w:pStyle w:val="ListParagraph"/>
              <w:numPr>
                <w:ilvl w:val="1"/>
                <w:numId w:val="85"/>
              </w:numPr>
              <w:spacing w:before="60" w:after="60" w:line="240" w:lineRule="auto"/>
              <w:ind w:left="0" w:firstLine="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Липса на административен капацитет у бенефициентите за подготовка на проектни предложения</w:t>
            </w:r>
          </w:p>
        </w:tc>
        <w:tc>
          <w:tcPr>
            <w:tcW w:w="1134"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Външен/ Вътрешен</w:t>
            </w:r>
          </w:p>
        </w:tc>
        <w:tc>
          <w:tcPr>
            <w:tcW w:w="1276"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Проект</w:t>
            </w:r>
          </w:p>
        </w:tc>
        <w:tc>
          <w:tcPr>
            <w:tcW w:w="1105"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Частичен</w:t>
            </w:r>
          </w:p>
        </w:tc>
        <w:tc>
          <w:tcPr>
            <w:tcW w:w="851"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spacing w:before="60" w:after="6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3</w:t>
            </w:r>
          </w:p>
        </w:tc>
        <w:tc>
          <w:tcPr>
            <w:tcW w:w="850"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spacing w:before="60" w:after="6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5</w:t>
            </w:r>
          </w:p>
        </w:tc>
        <w:tc>
          <w:tcPr>
            <w:tcW w:w="851"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spacing w:before="60" w:after="6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15</w:t>
            </w:r>
          </w:p>
        </w:tc>
      </w:tr>
      <w:tr w:rsidR="00A22EA5" w:rsidRPr="00B8326E" w:rsidTr="00E054C6">
        <w:tc>
          <w:tcPr>
            <w:tcW w:w="1870" w:type="dxa"/>
            <w:vMerge/>
            <w:tcBorders>
              <w:top w:val="single" w:sz="4" w:space="0" w:color="auto"/>
              <w:left w:val="single" w:sz="4" w:space="0" w:color="auto"/>
              <w:bottom w:val="single" w:sz="4" w:space="0" w:color="auto"/>
              <w:right w:val="single" w:sz="4" w:space="0" w:color="auto"/>
            </w:tcBorders>
            <w:vAlign w:val="center"/>
            <w:hideMark/>
          </w:tcPr>
          <w:p w:rsidR="00A22EA5" w:rsidRPr="00B8326E" w:rsidRDefault="00A22EA5" w:rsidP="00E054C6">
            <w:pPr>
              <w:rPr>
                <w:rFonts w:ascii="Verdana" w:hAnsi="Verdana"/>
                <w:bCs/>
                <w:color w:val="000000"/>
                <w:sz w:val="16"/>
                <w:szCs w:val="16"/>
                <w:lang w:val="bg-BG"/>
              </w:rPr>
            </w:pPr>
          </w:p>
        </w:tc>
        <w:tc>
          <w:tcPr>
            <w:tcW w:w="2833" w:type="dxa"/>
            <w:tcBorders>
              <w:top w:val="single" w:sz="4" w:space="0" w:color="auto"/>
              <w:left w:val="single" w:sz="4" w:space="0" w:color="auto"/>
              <w:bottom w:val="single" w:sz="4" w:space="0" w:color="auto"/>
              <w:right w:val="single" w:sz="4" w:space="0" w:color="auto"/>
            </w:tcBorders>
            <w:hideMark/>
          </w:tcPr>
          <w:p w:rsidR="00A22EA5" w:rsidRPr="00B8326E" w:rsidRDefault="00A22EA5" w:rsidP="006861B0">
            <w:pPr>
              <w:pStyle w:val="ListParagraph"/>
              <w:numPr>
                <w:ilvl w:val="1"/>
                <w:numId w:val="85"/>
              </w:numPr>
              <w:spacing w:before="60" w:after="60" w:line="240" w:lineRule="auto"/>
              <w:ind w:left="0" w:firstLine="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Некачествено програмиране  и дизайн на схемите за подкрепа.</w:t>
            </w:r>
          </w:p>
        </w:tc>
        <w:tc>
          <w:tcPr>
            <w:tcW w:w="1134"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Вътрешен</w:t>
            </w:r>
          </w:p>
        </w:tc>
        <w:tc>
          <w:tcPr>
            <w:tcW w:w="1276"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Проект</w:t>
            </w:r>
          </w:p>
        </w:tc>
        <w:tc>
          <w:tcPr>
            <w:tcW w:w="1105"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Частичен</w:t>
            </w:r>
          </w:p>
        </w:tc>
        <w:tc>
          <w:tcPr>
            <w:tcW w:w="851"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2</w:t>
            </w:r>
          </w:p>
        </w:tc>
        <w:tc>
          <w:tcPr>
            <w:tcW w:w="850"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3</w:t>
            </w:r>
          </w:p>
        </w:tc>
        <w:tc>
          <w:tcPr>
            <w:tcW w:w="851"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6</w:t>
            </w:r>
          </w:p>
        </w:tc>
      </w:tr>
      <w:tr w:rsidR="00A22EA5" w:rsidRPr="00B8326E" w:rsidTr="00E054C6">
        <w:tc>
          <w:tcPr>
            <w:tcW w:w="1870" w:type="dxa"/>
            <w:vMerge w:val="restart"/>
            <w:tcBorders>
              <w:top w:val="single" w:sz="4" w:space="0" w:color="auto"/>
              <w:left w:val="single" w:sz="4" w:space="0" w:color="auto"/>
              <w:bottom w:val="single" w:sz="4" w:space="0" w:color="auto"/>
              <w:right w:val="single" w:sz="4" w:space="0" w:color="auto"/>
            </w:tcBorders>
          </w:tcPr>
          <w:p w:rsidR="00A22EA5" w:rsidRPr="00B8326E" w:rsidRDefault="00A22EA5" w:rsidP="006861B0">
            <w:pPr>
              <w:pStyle w:val="ListParagraph"/>
              <w:numPr>
                <w:ilvl w:val="0"/>
                <w:numId w:val="85"/>
              </w:numPr>
              <w:spacing w:before="60" w:after="60" w:line="240" w:lineRule="auto"/>
              <w:ind w:left="170" w:hanging="170"/>
              <w:rPr>
                <w:rFonts w:ascii="Verdana" w:hAnsi="Verdana"/>
                <w:bCs/>
                <w:color w:val="000000"/>
                <w:sz w:val="16"/>
                <w:szCs w:val="16"/>
                <w:lang w:val="bg-BG" w:eastAsia="bg-BG"/>
              </w:rPr>
            </w:pPr>
            <w:r w:rsidRPr="00B8326E">
              <w:rPr>
                <w:rFonts w:ascii="Verdana" w:hAnsi="Verdana"/>
                <w:bCs/>
                <w:color w:val="000000"/>
                <w:sz w:val="16"/>
                <w:szCs w:val="16"/>
                <w:lang w:val="bg-BG" w:eastAsia="bg-BG"/>
              </w:rPr>
              <w:t>Да се гарантира правилен и бърз процес на оценка на подадени проектни предложения в съответствие с националните и европейските правила.</w:t>
            </w:r>
          </w:p>
          <w:p w:rsidR="00A22EA5" w:rsidRPr="00B8326E" w:rsidRDefault="00A22EA5" w:rsidP="00E054C6">
            <w:pPr>
              <w:spacing w:before="60" w:after="60"/>
              <w:ind w:left="170" w:hanging="170"/>
              <w:jc w:val="both"/>
              <w:rPr>
                <w:rFonts w:ascii="Verdana" w:hAnsi="Verdana"/>
                <w:bCs/>
                <w:color w:val="000000"/>
                <w:sz w:val="16"/>
                <w:szCs w:val="16"/>
                <w:lang w:val="bg-BG"/>
              </w:rPr>
            </w:pPr>
          </w:p>
        </w:tc>
        <w:tc>
          <w:tcPr>
            <w:tcW w:w="2833" w:type="dxa"/>
            <w:tcBorders>
              <w:top w:val="single" w:sz="4" w:space="0" w:color="auto"/>
              <w:left w:val="single" w:sz="4" w:space="0" w:color="auto"/>
              <w:bottom w:val="single" w:sz="4" w:space="0" w:color="auto"/>
              <w:right w:val="single" w:sz="4" w:space="0" w:color="auto"/>
            </w:tcBorders>
            <w:hideMark/>
          </w:tcPr>
          <w:p w:rsidR="00A22EA5" w:rsidRPr="00B8326E" w:rsidRDefault="00A22EA5" w:rsidP="006861B0">
            <w:pPr>
              <w:pStyle w:val="ListParagraph"/>
              <w:numPr>
                <w:ilvl w:val="1"/>
                <w:numId w:val="85"/>
              </w:numPr>
              <w:spacing w:before="60" w:after="60" w:line="240" w:lineRule="auto"/>
              <w:ind w:left="0" w:firstLine="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Некачествена оценка от страна на оценителните комисии</w:t>
            </w:r>
          </w:p>
        </w:tc>
        <w:tc>
          <w:tcPr>
            <w:tcW w:w="1134"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Вътрешен</w:t>
            </w:r>
          </w:p>
        </w:tc>
        <w:tc>
          <w:tcPr>
            <w:tcW w:w="1276"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Проект</w:t>
            </w:r>
          </w:p>
        </w:tc>
        <w:tc>
          <w:tcPr>
            <w:tcW w:w="1105"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Частичен</w:t>
            </w:r>
          </w:p>
        </w:tc>
        <w:tc>
          <w:tcPr>
            <w:tcW w:w="851"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3</w:t>
            </w:r>
          </w:p>
        </w:tc>
        <w:tc>
          <w:tcPr>
            <w:tcW w:w="850"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3</w:t>
            </w:r>
          </w:p>
        </w:tc>
        <w:tc>
          <w:tcPr>
            <w:tcW w:w="851"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9</w:t>
            </w:r>
          </w:p>
        </w:tc>
      </w:tr>
      <w:tr w:rsidR="00A22EA5" w:rsidRPr="00B8326E" w:rsidTr="00E054C6">
        <w:tc>
          <w:tcPr>
            <w:tcW w:w="1870" w:type="dxa"/>
            <w:vMerge/>
            <w:tcBorders>
              <w:top w:val="single" w:sz="4" w:space="0" w:color="auto"/>
              <w:left w:val="single" w:sz="4" w:space="0" w:color="auto"/>
              <w:bottom w:val="single" w:sz="4" w:space="0" w:color="auto"/>
              <w:right w:val="single" w:sz="4" w:space="0" w:color="auto"/>
            </w:tcBorders>
            <w:vAlign w:val="center"/>
            <w:hideMark/>
          </w:tcPr>
          <w:p w:rsidR="00A22EA5" w:rsidRPr="00B8326E" w:rsidRDefault="00A22EA5" w:rsidP="00E054C6">
            <w:pPr>
              <w:rPr>
                <w:rFonts w:ascii="Verdana" w:hAnsi="Verdana"/>
                <w:bCs/>
                <w:color w:val="000000"/>
                <w:sz w:val="16"/>
                <w:szCs w:val="16"/>
                <w:lang w:val="bg-BG"/>
              </w:rPr>
            </w:pPr>
          </w:p>
        </w:tc>
        <w:tc>
          <w:tcPr>
            <w:tcW w:w="2833" w:type="dxa"/>
            <w:tcBorders>
              <w:top w:val="single" w:sz="4" w:space="0" w:color="auto"/>
              <w:left w:val="single" w:sz="4" w:space="0" w:color="auto"/>
              <w:bottom w:val="single" w:sz="4" w:space="0" w:color="auto"/>
              <w:right w:val="single" w:sz="4" w:space="0" w:color="auto"/>
            </w:tcBorders>
            <w:hideMark/>
          </w:tcPr>
          <w:p w:rsidR="00A22EA5" w:rsidRPr="00B8326E" w:rsidRDefault="00A22EA5" w:rsidP="006861B0">
            <w:pPr>
              <w:pStyle w:val="ListParagraph"/>
              <w:numPr>
                <w:ilvl w:val="1"/>
                <w:numId w:val="85"/>
              </w:numPr>
              <w:spacing w:before="60" w:after="60" w:line="240" w:lineRule="auto"/>
              <w:ind w:left="0" w:firstLine="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Липса на квалифицирани оценители</w:t>
            </w:r>
          </w:p>
        </w:tc>
        <w:tc>
          <w:tcPr>
            <w:tcW w:w="1134"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Външен</w:t>
            </w:r>
          </w:p>
        </w:tc>
        <w:tc>
          <w:tcPr>
            <w:tcW w:w="1276"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Проект</w:t>
            </w:r>
          </w:p>
        </w:tc>
        <w:tc>
          <w:tcPr>
            <w:tcW w:w="1105"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Частичен</w:t>
            </w:r>
          </w:p>
        </w:tc>
        <w:tc>
          <w:tcPr>
            <w:tcW w:w="851"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3</w:t>
            </w:r>
          </w:p>
        </w:tc>
        <w:tc>
          <w:tcPr>
            <w:tcW w:w="850"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3</w:t>
            </w:r>
          </w:p>
        </w:tc>
        <w:tc>
          <w:tcPr>
            <w:tcW w:w="851"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9</w:t>
            </w:r>
          </w:p>
        </w:tc>
      </w:tr>
      <w:tr w:rsidR="00A22EA5" w:rsidRPr="00B8326E" w:rsidTr="00E054C6">
        <w:tc>
          <w:tcPr>
            <w:tcW w:w="1870" w:type="dxa"/>
            <w:vMerge/>
            <w:tcBorders>
              <w:top w:val="single" w:sz="4" w:space="0" w:color="auto"/>
              <w:left w:val="single" w:sz="4" w:space="0" w:color="auto"/>
              <w:bottom w:val="single" w:sz="4" w:space="0" w:color="auto"/>
              <w:right w:val="single" w:sz="4" w:space="0" w:color="auto"/>
            </w:tcBorders>
            <w:vAlign w:val="center"/>
            <w:hideMark/>
          </w:tcPr>
          <w:p w:rsidR="00A22EA5" w:rsidRPr="00B8326E" w:rsidRDefault="00A22EA5" w:rsidP="00E054C6">
            <w:pPr>
              <w:rPr>
                <w:rFonts w:ascii="Verdana" w:hAnsi="Verdana"/>
                <w:bCs/>
                <w:color w:val="000000"/>
                <w:sz w:val="16"/>
                <w:szCs w:val="16"/>
                <w:lang w:val="bg-BG"/>
              </w:rPr>
            </w:pPr>
          </w:p>
        </w:tc>
        <w:tc>
          <w:tcPr>
            <w:tcW w:w="2833" w:type="dxa"/>
            <w:tcBorders>
              <w:top w:val="single" w:sz="4" w:space="0" w:color="auto"/>
              <w:left w:val="single" w:sz="4" w:space="0" w:color="auto"/>
              <w:bottom w:val="single" w:sz="4" w:space="0" w:color="auto"/>
              <w:right w:val="single" w:sz="4" w:space="0" w:color="auto"/>
            </w:tcBorders>
            <w:hideMark/>
          </w:tcPr>
          <w:p w:rsidR="00A22EA5" w:rsidRPr="00B8326E" w:rsidRDefault="00A22EA5" w:rsidP="006861B0">
            <w:pPr>
              <w:pStyle w:val="ListParagraph"/>
              <w:numPr>
                <w:ilvl w:val="1"/>
                <w:numId w:val="85"/>
              </w:numPr>
              <w:spacing w:before="60" w:after="60" w:line="240" w:lineRule="auto"/>
              <w:ind w:left="0" w:firstLine="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Липса на средства за заплащане на външни оценители</w:t>
            </w:r>
          </w:p>
        </w:tc>
        <w:tc>
          <w:tcPr>
            <w:tcW w:w="1134"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Вътрешен</w:t>
            </w:r>
          </w:p>
        </w:tc>
        <w:tc>
          <w:tcPr>
            <w:tcW w:w="1276"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Проект</w:t>
            </w:r>
          </w:p>
        </w:tc>
        <w:tc>
          <w:tcPr>
            <w:tcW w:w="1105"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Частичен</w:t>
            </w:r>
          </w:p>
        </w:tc>
        <w:tc>
          <w:tcPr>
            <w:tcW w:w="851"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2</w:t>
            </w:r>
          </w:p>
        </w:tc>
        <w:tc>
          <w:tcPr>
            <w:tcW w:w="850"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4</w:t>
            </w:r>
          </w:p>
        </w:tc>
        <w:tc>
          <w:tcPr>
            <w:tcW w:w="851"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8</w:t>
            </w:r>
          </w:p>
        </w:tc>
      </w:tr>
      <w:tr w:rsidR="00A22EA5" w:rsidRPr="00B8326E" w:rsidTr="00E054C6">
        <w:tc>
          <w:tcPr>
            <w:tcW w:w="1870" w:type="dxa"/>
            <w:vMerge/>
            <w:tcBorders>
              <w:top w:val="single" w:sz="4" w:space="0" w:color="auto"/>
              <w:left w:val="single" w:sz="4" w:space="0" w:color="auto"/>
              <w:bottom w:val="single" w:sz="4" w:space="0" w:color="auto"/>
              <w:right w:val="single" w:sz="4" w:space="0" w:color="auto"/>
            </w:tcBorders>
            <w:vAlign w:val="center"/>
            <w:hideMark/>
          </w:tcPr>
          <w:p w:rsidR="00A22EA5" w:rsidRPr="00B8326E" w:rsidRDefault="00A22EA5" w:rsidP="00E054C6">
            <w:pPr>
              <w:rPr>
                <w:rFonts w:ascii="Verdana" w:hAnsi="Verdana"/>
                <w:bCs/>
                <w:color w:val="000000"/>
                <w:sz w:val="16"/>
                <w:szCs w:val="16"/>
                <w:lang w:val="bg-BG"/>
              </w:rPr>
            </w:pPr>
          </w:p>
        </w:tc>
        <w:tc>
          <w:tcPr>
            <w:tcW w:w="2833" w:type="dxa"/>
            <w:tcBorders>
              <w:top w:val="single" w:sz="4" w:space="0" w:color="auto"/>
              <w:left w:val="single" w:sz="4" w:space="0" w:color="auto"/>
              <w:bottom w:val="single" w:sz="4" w:space="0" w:color="auto"/>
              <w:right w:val="single" w:sz="4" w:space="0" w:color="auto"/>
            </w:tcBorders>
            <w:hideMark/>
          </w:tcPr>
          <w:p w:rsidR="00A22EA5" w:rsidRPr="00B8326E" w:rsidRDefault="00A22EA5" w:rsidP="006861B0">
            <w:pPr>
              <w:pStyle w:val="ListParagraph"/>
              <w:numPr>
                <w:ilvl w:val="1"/>
                <w:numId w:val="85"/>
              </w:numPr>
              <w:spacing w:before="60" w:after="60" w:line="240" w:lineRule="auto"/>
              <w:ind w:left="0" w:firstLine="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Липса на технически средства за осигуряване на нормалната работа на оценителните комисии (зали, компютри)</w:t>
            </w:r>
          </w:p>
        </w:tc>
        <w:tc>
          <w:tcPr>
            <w:tcW w:w="1134"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Вътрешен</w:t>
            </w:r>
          </w:p>
        </w:tc>
        <w:tc>
          <w:tcPr>
            <w:tcW w:w="1276"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Проект</w:t>
            </w:r>
          </w:p>
        </w:tc>
        <w:tc>
          <w:tcPr>
            <w:tcW w:w="1105"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Частичен</w:t>
            </w:r>
          </w:p>
        </w:tc>
        <w:tc>
          <w:tcPr>
            <w:tcW w:w="851"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3</w:t>
            </w:r>
          </w:p>
        </w:tc>
        <w:tc>
          <w:tcPr>
            <w:tcW w:w="850"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3</w:t>
            </w:r>
          </w:p>
        </w:tc>
        <w:tc>
          <w:tcPr>
            <w:tcW w:w="851"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9</w:t>
            </w:r>
          </w:p>
        </w:tc>
      </w:tr>
      <w:tr w:rsidR="00A22EA5" w:rsidRPr="00B8326E" w:rsidTr="00E054C6">
        <w:trPr>
          <w:trHeight w:val="694"/>
        </w:trPr>
        <w:tc>
          <w:tcPr>
            <w:tcW w:w="1870" w:type="dxa"/>
            <w:vMerge w:val="restart"/>
            <w:tcBorders>
              <w:top w:val="single" w:sz="4" w:space="0" w:color="auto"/>
              <w:left w:val="single" w:sz="4" w:space="0" w:color="auto"/>
              <w:bottom w:val="single" w:sz="4" w:space="0" w:color="auto"/>
              <w:right w:val="single" w:sz="4" w:space="0" w:color="auto"/>
            </w:tcBorders>
            <w:hideMark/>
          </w:tcPr>
          <w:p w:rsidR="00A22EA5" w:rsidRPr="00B8326E" w:rsidRDefault="00A22EA5" w:rsidP="006861B0">
            <w:pPr>
              <w:pStyle w:val="ListParagraph"/>
              <w:numPr>
                <w:ilvl w:val="0"/>
                <w:numId w:val="85"/>
              </w:numPr>
              <w:spacing w:before="60" w:after="60" w:line="240" w:lineRule="auto"/>
              <w:ind w:left="170" w:hanging="170"/>
              <w:rPr>
                <w:rFonts w:ascii="Verdana" w:hAnsi="Verdana"/>
                <w:bCs/>
                <w:color w:val="000000"/>
                <w:sz w:val="16"/>
                <w:szCs w:val="16"/>
                <w:lang w:val="bg-BG" w:eastAsia="bg-BG"/>
              </w:rPr>
            </w:pPr>
            <w:r w:rsidRPr="00B8326E">
              <w:rPr>
                <w:rFonts w:ascii="Verdana" w:hAnsi="Verdana"/>
                <w:bCs/>
                <w:color w:val="000000"/>
                <w:sz w:val="16"/>
                <w:szCs w:val="16"/>
                <w:lang w:val="bg-BG" w:eastAsia="bg-BG"/>
              </w:rPr>
              <w:t xml:space="preserve">Да гарантира правилното изпълнение на договорите от </w:t>
            </w:r>
            <w:r w:rsidRPr="00B8326E">
              <w:rPr>
                <w:rFonts w:ascii="Verdana" w:hAnsi="Verdana"/>
                <w:bCs/>
                <w:color w:val="000000"/>
                <w:sz w:val="16"/>
                <w:szCs w:val="16"/>
                <w:lang w:val="bg-BG" w:eastAsia="bg-BG"/>
              </w:rPr>
              <w:lastRenderedPageBreak/>
              <w:t>страна на бенефициентите в съответствие с националните и европейските правила.</w:t>
            </w:r>
          </w:p>
        </w:tc>
        <w:tc>
          <w:tcPr>
            <w:tcW w:w="2833" w:type="dxa"/>
            <w:tcBorders>
              <w:top w:val="single" w:sz="4" w:space="0" w:color="auto"/>
              <w:left w:val="single" w:sz="4" w:space="0" w:color="auto"/>
              <w:bottom w:val="single" w:sz="4" w:space="0" w:color="auto"/>
              <w:right w:val="single" w:sz="4" w:space="0" w:color="auto"/>
            </w:tcBorders>
            <w:hideMark/>
          </w:tcPr>
          <w:p w:rsidR="00A22EA5" w:rsidRPr="00B8326E" w:rsidRDefault="00A22EA5" w:rsidP="006861B0">
            <w:pPr>
              <w:pStyle w:val="ListParagraph"/>
              <w:numPr>
                <w:ilvl w:val="1"/>
                <w:numId w:val="85"/>
              </w:numPr>
              <w:spacing w:before="60" w:after="60" w:line="240" w:lineRule="auto"/>
              <w:ind w:left="0" w:firstLine="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lastRenderedPageBreak/>
              <w:t>Липса на знания и умения у бенефициентите за проектно управление и изпълнение</w:t>
            </w:r>
          </w:p>
        </w:tc>
        <w:tc>
          <w:tcPr>
            <w:tcW w:w="1134"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spacing w:before="60" w:after="6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Външен/ Вътрешен</w:t>
            </w:r>
          </w:p>
        </w:tc>
        <w:tc>
          <w:tcPr>
            <w:tcW w:w="1276"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spacing w:before="60" w:after="6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Проект</w:t>
            </w:r>
          </w:p>
        </w:tc>
        <w:tc>
          <w:tcPr>
            <w:tcW w:w="1105"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spacing w:before="60" w:after="6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Цялостен</w:t>
            </w:r>
          </w:p>
        </w:tc>
        <w:tc>
          <w:tcPr>
            <w:tcW w:w="851"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3</w:t>
            </w:r>
          </w:p>
        </w:tc>
        <w:tc>
          <w:tcPr>
            <w:tcW w:w="850"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5</w:t>
            </w:r>
          </w:p>
        </w:tc>
        <w:tc>
          <w:tcPr>
            <w:tcW w:w="851"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spacing w:before="60" w:after="6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15</w:t>
            </w:r>
          </w:p>
        </w:tc>
      </w:tr>
      <w:tr w:rsidR="00A22EA5" w:rsidRPr="00B8326E" w:rsidTr="00E054C6">
        <w:trPr>
          <w:trHeight w:val="833"/>
        </w:trPr>
        <w:tc>
          <w:tcPr>
            <w:tcW w:w="1870" w:type="dxa"/>
            <w:vMerge/>
            <w:tcBorders>
              <w:top w:val="single" w:sz="4" w:space="0" w:color="auto"/>
              <w:left w:val="single" w:sz="4" w:space="0" w:color="auto"/>
              <w:bottom w:val="single" w:sz="4" w:space="0" w:color="auto"/>
              <w:right w:val="single" w:sz="4" w:space="0" w:color="auto"/>
            </w:tcBorders>
            <w:vAlign w:val="center"/>
            <w:hideMark/>
          </w:tcPr>
          <w:p w:rsidR="00A22EA5" w:rsidRPr="00B8326E" w:rsidRDefault="00A22EA5" w:rsidP="00E054C6">
            <w:pPr>
              <w:rPr>
                <w:rFonts w:ascii="Verdana" w:hAnsi="Verdana"/>
                <w:bCs/>
                <w:color w:val="000000"/>
                <w:sz w:val="16"/>
                <w:szCs w:val="16"/>
                <w:lang w:val="bg-BG" w:eastAsia="bg-BG"/>
              </w:rPr>
            </w:pPr>
          </w:p>
        </w:tc>
        <w:tc>
          <w:tcPr>
            <w:tcW w:w="2833" w:type="dxa"/>
            <w:tcBorders>
              <w:top w:val="single" w:sz="4" w:space="0" w:color="auto"/>
              <w:left w:val="single" w:sz="4" w:space="0" w:color="auto"/>
              <w:bottom w:val="single" w:sz="4" w:space="0" w:color="auto"/>
              <w:right w:val="single" w:sz="4" w:space="0" w:color="auto"/>
            </w:tcBorders>
            <w:hideMark/>
          </w:tcPr>
          <w:p w:rsidR="00A22EA5" w:rsidRPr="00B8326E" w:rsidRDefault="00A22EA5" w:rsidP="006861B0">
            <w:pPr>
              <w:pStyle w:val="ListParagraph"/>
              <w:numPr>
                <w:ilvl w:val="1"/>
                <w:numId w:val="85"/>
              </w:numPr>
              <w:spacing w:before="60" w:after="60" w:line="240" w:lineRule="auto"/>
              <w:ind w:left="0" w:firstLine="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Прекалено тежки и тромави правила за изпълнение на проектите</w:t>
            </w:r>
          </w:p>
        </w:tc>
        <w:tc>
          <w:tcPr>
            <w:tcW w:w="1134"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Вътрешен</w:t>
            </w:r>
          </w:p>
        </w:tc>
        <w:tc>
          <w:tcPr>
            <w:tcW w:w="1276"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Проект</w:t>
            </w:r>
          </w:p>
        </w:tc>
        <w:tc>
          <w:tcPr>
            <w:tcW w:w="1105"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Частичен</w:t>
            </w:r>
          </w:p>
        </w:tc>
        <w:tc>
          <w:tcPr>
            <w:tcW w:w="851"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3</w:t>
            </w:r>
          </w:p>
        </w:tc>
        <w:tc>
          <w:tcPr>
            <w:tcW w:w="850"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5</w:t>
            </w:r>
          </w:p>
        </w:tc>
        <w:tc>
          <w:tcPr>
            <w:tcW w:w="851"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15</w:t>
            </w:r>
          </w:p>
        </w:tc>
      </w:tr>
      <w:tr w:rsidR="00A22EA5" w:rsidRPr="00B8326E" w:rsidTr="00E054C6">
        <w:trPr>
          <w:trHeight w:val="959"/>
        </w:trPr>
        <w:tc>
          <w:tcPr>
            <w:tcW w:w="1870" w:type="dxa"/>
            <w:vMerge/>
            <w:tcBorders>
              <w:top w:val="single" w:sz="4" w:space="0" w:color="auto"/>
              <w:left w:val="single" w:sz="4" w:space="0" w:color="auto"/>
              <w:bottom w:val="single" w:sz="4" w:space="0" w:color="auto"/>
              <w:right w:val="single" w:sz="4" w:space="0" w:color="auto"/>
            </w:tcBorders>
            <w:vAlign w:val="center"/>
            <w:hideMark/>
          </w:tcPr>
          <w:p w:rsidR="00A22EA5" w:rsidRPr="00B8326E" w:rsidRDefault="00A22EA5" w:rsidP="00E054C6">
            <w:pPr>
              <w:rPr>
                <w:rFonts w:ascii="Verdana" w:hAnsi="Verdana"/>
                <w:bCs/>
                <w:color w:val="000000"/>
                <w:sz w:val="16"/>
                <w:szCs w:val="16"/>
                <w:lang w:val="bg-BG" w:eastAsia="bg-BG"/>
              </w:rPr>
            </w:pPr>
          </w:p>
        </w:tc>
        <w:tc>
          <w:tcPr>
            <w:tcW w:w="2833" w:type="dxa"/>
            <w:tcBorders>
              <w:top w:val="single" w:sz="4" w:space="0" w:color="auto"/>
              <w:left w:val="single" w:sz="4" w:space="0" w:color="auto"/>
              <w:bottom w:val="single" w:sz="4" w:space="0" w:color="auto"/>
              <w:right w:val="single" w:sz="4" w:space="0" w:color="auto"/>
            </w:tcBorders>
            <w:hideMark/>
          </w:tcPr>
          <w:p w:rsidR="00A22EA5" w:rsidRPr="00B8326E" w:rsidRDefault="00A22EA5" w:rsidP="006861B0">
            <w:pPr>
              <w:pStyle w:val="ListParagraph"/>
              <w:numPr>
                <w:ilvl w:val="1"/>
                <w:numId w:val="85"/>
              </w:numPr>
              <w:spacing w:before="60" w:after="60" w:line="240" w:lineRule="auto"/>
              <w:ind w:left="0" w:firstLine="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 xml:space="preserve">Непознаване/ нарушаване на правилата и процедурите за избор на изпълнители </w:t>
            </w:r>
          </w:p>
        </w:tc>
        <w:tc>
          <w:tcPr>
            <w:tcW w:w="1134"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Външен</w:t>
            </w:r>
          </w:p>
        </w:tc>
        <w:tc>
          <w:tcPr>
            <w:tcW w:w="1276"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Проект</w:t>
            </w:r>
          </w:p>
        </w:tc>
        <w:tc>
          <w:tcPr>
            <w:tcW w:w="1105"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Частичен</w:t>
            </w:r>
          </w:p>
        </w:tc>
        <w:tc>
          <w:tcPr>
            <w:tcW w:w="851"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3</w:t>
            </w:r>
          </w:p>
        </w:tc>
        <w:tc>
          <w:tcPr>
            <w:tcW w:w="850"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5</w:t>
            </w:r>
          </w:p>
        </w:tc>
        <w:tc>
          <w:tcPr>
            <w:tcW w:w="851"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15</w:t>
            </w:r>
          </w:p>
        </w:tc>
      </w:tr>
      <w:tr w:rsidR="00A22EA5" w:rsidRPr="00B8326E" w:rsidTr="00E054C6">
        <w:trPr>
          <w:trHeight w:val="532"/>
        </w:trPr>
        <w:tc>
          <w:tcPr>
            <w:tcW w:w="1870" w:type="dxa"/>
            <w:vMerge/>
            <w:tcBorders>
              <w:top w:val="single" w:sz="4" w:space="0" w:color="auto"/>
              <w:left w:val="single" w:sz="4" w:space="0" w:color="auto"/>
              <w:bottom w:val="single" w:sz="4" w:space="0" w:color="auto"/>
              <w:right w:val="single" w:sz="4" w:space="0" w:color="auto"/>
            </w:tcBorders>
            <w:vAlign w:val="center"/>
            <w:hideMark/>
          </w:tcPr>
          <w:p w:rsidR="00A22EA5" w:rsidRPr="00B8326E" w:rsidRDefault="00A22EA5" w:rsidP="00E054C6">
            <w:pPr>
              <w:rPr>
                <w:rFonts w:ascii="Verdana" w:hAnsi="Verdana"/>
                <w:bCs/>
                <w:color w:val="000000"/>
                <w:sz w:val="16"/>
                <w:szCs w:val="16"/>
                <w:lang w:val="bg-BG" w:eastAsia="bg-BG"/>
              </w:rPr>
            </w:pPr>
          </w:p>
        </w:tc>
        <w:tc>
          <w:tcPr>
            <w:tcW w:w="2833" w:type="dxa"/>
            <w:tcBorders>
              <w:top w:val="single" w:sz="4" w:space="0" w:color="auto"/>
              <w:left w:val="single" w:sz="4" w:space="0" w:color="auto"/>
              <w:bottom w:val="single" w:sz="4" w:space="0" w:color="auto"/>
              <w:right w:val="single" w:sz="4" w:space="0" w:color="auto"/>
            </w:tcBorders>
            <w:hideMark/>
          </w:tcPr>
          <w:p w:rsidR="00A22EA5" w:rsidRPr="00B8326E" w:rsidRDefault="00A22EA5" w:rsidP="006861B0">
            <w:pPr>
              <w:pStyle w:val="ListParagraph"/>
              <w:numPr>
                <w:ilvl w:val="1"/>
                <w:numId w:val="85"/>
              </w:numPr>
              <w:spacing w:before="60" w:after="60" w:line="240" w:lineRule="auto"/>
              <w:ind w:left="0" w:firstLine="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Забавяне в процеса на изпълнение на проектите</w:t>
            </w:r>
          </w:p>
        </w:tc>
        <w:tc>
          <w:tcPr>
            <w:tcW w:w="1134"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Външен/ Вътрешен</w:t>
            </w:r>
          </w:p>
        </w:tc>
        <w:tc>
          <w:tcPr>
            <w:tcW w:w="1276"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Проект</w:t>
            </w:r>
          </w:p>
        </w:tc>
        <w:tc>
          <w:tcPr>
            <w:tcW w:w="1105"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Частичен</w:t>
            </w:r>
          </w:p>
        </w:tc>
        <w:tc>
          <w:tcPr>
            <w:tcW w:w="851"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3</w:t>
            </w:r>
          </w:p>
        </w:tc>
        <w:tc>
          <w:tcPr>
            <w:tcW w:w="850"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5</w:t>
            </w:r>
          </w:p>
        </w:tc>
        <w:tc>
          <w:tcPr>
            <w:tcW w:w="851"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15</w:t>
            </w:r>
          </w:p>
        </w:tc>
      </w:tr>
      <w:tr w:rsidR="00A22EA5" w:rsidRPr="00B8326E" w:rsidTr="00E054C6">
        <w:tc>
          <w:tcPr>
            <w:tcW w:w="1870" w:type="dxa"/>
            <w:vMerge w:val="restart"/>
            <w:tcBorders>
              <w:top w:val="single" w:sz="4" w:space="0" w:color="auto"/>
              <w:left w:val="single" w:sz="4" w:space="0" w:color="auto"/>
              <w:bottom w:val="single" w:sz="4" w:space="0" w:color="auto"/>
              <w:right w:val="single" w:sz="4" w:space="0" w:color="auto"/>
            </w:tcBorders>
            <w:hideMark/>
          </w:tcPr>
          <w:p w:rsidR="00A22EA5" w:rsidRPr="00B8326E" w:rsidRDefault="00A22EA5" w:rsidP="006861B0">
            <w:pPr>
              <w:pStyle w:val="ListParagraph"/>
              <w:numPr>
                <w:ilvl w:val="0"/>
                <w:numId w:val="85"/>
              </w:numPr>
              <w:spacing w:before="60" w:after="60" w:line="240" w:lineRule="auto"/>
              <w:ind w:left="170" w:hanging="170"/>
              <w:rPr>
                <w:rFonts w:ascii="Verdana" w:hAnsi="Verdana"/>
                <w:bCs/>
                <w:color w:val="000000"/>
                <w:sz w:val="16"/>
                <w:szCs w:val="16"/>
                <w:lang w:val="bg-BG" w:eastAsia="bg-BG"/>
              </w:rPr>
            </w:pPr>
            <w:r w:rsidRPr="00B8326E">
              <w:rPr>
                <w:rFonts w:ascii="Verdana" w:hAnsi="Verdana"/>
                <w:bCs/>
                <w:color w:val="000000"/>
                <w:sz w:val="16"/>
                <w:szCs w:val="16"/>
                <w:lang w:val="bg-BG" w:eastAsia="bg-BG"/>
              </w:rPr>
              <w:t>Да гарантира ефективно функциониране на системите за управление и контрол на ОПНОИР 2014-2020 г.</w:t>
            </w:r>
          </w:p>
        </w:tc>
        <w:tc>
          <w:tcPr>
            <w:tcW w:w="2833" w:type="dxa"/>
            <w:tcBorders>
              <w:top w:val="single" w:sz="4" w:space="0" w:color="auto"/>
              <w:left w:val="single" w:sz="4" w:space="0" w:color="auto"/>
              <w:bottom w:val="single" w:sz="4" w:space="0" w:color="auto"/>
              <w:right w:val="single" w:sz="4" w:space="0" w:color="auto"/>
            </w:tcBorders>
            <w:hideMark/>
          </w:tcPr>
          <w:p w:rsidR="00A22EA5" w:rsidRPr="00B8326E" w:rsidRDefault="00A22EA5" w:rsidP="006861B0">
            <w:pPr>
              <w:pStyle w:val="ListParagraph"/>
              <w:numPr>
                <w:ilvl w:val="1"/>
                <w:numId w:val="85"/>
              </w:numPr>
              <w:spacing w:before="60" w:after="60" w:line="240" w:lineRule="auto"/>
              <w:ind w:left="0" w:firstLine="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Липса на квалифицирани кадри</w:t>
            </w:r>
          </w:p>
        </w:tc>
        <w:tc>
          <w:tcPr>
            <w:tcW w:w="1134"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Вътрешен</w:t>
            </w:r>
          </w:p>
        </w:tc>
        <w:tc>
          <w:tcPr>
            <w:tcW w:w="1276"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Програма</w:t>
            </w:r>
          </w:p>
        </w:tc>
        <w:tc>
          <w:tcPr>
            <w:tcW w:w="1105"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Цялостен</w:t>
            </w:r>
          </w:p>
        </w:tc>
        <w:tc>
          <w:tcPr>
            <w:tcW w:w="851"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2</w:t>
            </w:r>
          </w:p>
        </w:tc>
        <w:tc>
          <w:tcPr>
            <w:tcW w:w="850"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4</w:t>
            </w:r>
          </w:p>
        </w:tc>
        <w:tc>
          <w:tcPr>
            <w:tcW w:w="851"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8</w:t>
            </w:r>
          </w:p>
        </w:tc>
      </w:tr>
      <w:tr w:rsidR="00A22EA5" w:rsidRPr="00B8326E" w:rsidTr="00E054C6">
        <w:tc>
          <w:tcPr>
            <w:tcW w:w="1870" w:type="dxa"/>
            <w:vMerge/>
            <w:tcBorders>
              <w:top w:val="single" w:sz="4" w:space="0" w:color="auto"/>
              <w:left w:val="single" w:sz="4" w:space="0" w:color="auto"/>
              <w:bottom w:val="single" w:sz="4" w:space="0" w:color="auto"/>
              <w:right w:val="single" w:sz="4" w:space="0" w:color="auto"/>
            </w:tcBorders>
            <w:vAlign w:val="center"/>
            <w:hideMark/>
          </w:tcPr>
          <w:p w:rsidR="00A22EA5" w:rsidRPr="00B8326E" w:rsidRDefault="00A22EA5" w:rsidP="00E054C6">
            <w:pPr>
              <w:rPr>
                <w:rFonts w:ascii="Verdana" w:hAnsi="Verdana"/>
                <w:bCs/>
                <w:color w:val="000000"/>
                <w:sz w:val="16"/>
                <w:szCs w:val="16"/>
                <w:lang w:val="bg-BG" w:eastAsia="bg-BG"/>
              </w:rPr>
            </w:pPr>
          </w:p>
        </w:tc>
        <w:tc>
          <w:tcPr>
            <w:tcW w:w="2833" w:type="dxa"/>
            <w:tcBorders>
              <w:top w:val="single" w:sz="4" w:space="0" w:color="auto"/>
              <w:left w:val="single" w:sz="4" w:space="0" w:color="auto"/>
              <w:bottom w:val="single" w:sz="4" w:space="0" w:color="auto"/>
              <w:right w:val="single" w:sz="4" w:space="0" w:color="auto"/>
            </w:tcBorders>
            <w:hideMark/>
          </w:tcPr>
          <w:p w:rsidR="00A22EA5" w:rsidRPr="00B8326E" w:rsidRDefault="00A22EA5" w:rsidP="006861B0">
            <w:pPr>
              <w:pStyle w:val="ListParagraph"/>
              <w:numPr>
                <w:ilvl w:val="1"/>
                <w:numId w:val="85"/>
              </w:numPr>
              <w:spacing w:before="60" w:after="60" w:line="240" w:lineRule="auto"/>
              <w:ind w:left="0" w:firstLine="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Неизпълнение на одитни препоръки</w:t>
            </w:r>
          </w:p>
        </w:tc>
        <w:tc>
          <w:tcPr>
            <w:tcW w:w="1134"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Вътрешен</w:t>
            </w:r>
          </w:p>
        </w:tc>
        <w:tc>
          <w:tcPr>
            <w:tcW w:w="1276"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Програма</w:t>
            </w:r>
          </w:p>
        </w:tc>
        <w:tc>
          <w:tcPr>
            <w:tcW w:w="1105"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Цялостен</w:t>
            </w:r>
          </w:p>
        </w:tc>
        <w:tc>
          <w:tcPr>
            <w:tcW w:w="851"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spacing w:before="60" w:after="6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1</w:t>
            </w:r>
          </w:p>
        </w:tc>
        <w:tc>
          <w:tcPr>
            <w:tcW w:w="850"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4</w:t>
            </w:r>
          </w:p>
        </w:tc>
        <w:tc>
          <w:tcPr>
            <w:tcW w:w="851"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4</w:t>
            </w:r>
          </w:p>
        </w:tc>
      </w:tr>
      <w:tr w:rsidR="00A22EA5" w:rsidRPr="00B8326E" w:rsidTr="00E054C6">
        <w:tc>
          <w:tcPr>
            <w:tcW w:w="1870" w:type="dxa"/>
            <w:vMerge/>
            <w:tcBorders>
              <w:top w:val="single" w:sz="4" w:space="0" w:color="auto"/>
              <w:left w:val="single" w:sz="4" w:space="0" w:color="auto"/>
              <w:bottom w:val="single" w:sz="4" w:space="0" w:color="auto"/>
              <w:right w:val="single" w:sz="4" w:space="0" w:color="auto"/>
            </w:tcBorders>
            <w:vAlign w:val="center"/>
            <w:hideMark/>
          </w:tcPr>
          <w:p w:rsidR="00A22EA5" w:rsidRPr="00B8326E" w:rsidRDefault="00A22EA5" w:rsidP="00E054C6">
            <w:pPr>
              <w:rPr>
                <w:rFonts w:ascii="Verdana" w:hAnsi="Verdana"/>
                <w:bCs/>
                <w:color w:val="000000"/>
                <w:sz w:val="16"/>
                <w:szCs w:val="16"/>
                <w:lang w:val="bg-BG" w:eastAsia="bg-BG"/>
              </w:rPr>
            </w:pPr>
          </w:p>
        </w:tc>
        <w:tc>
          <w:tcPr>
            <w:tcW w:w="2833" w:type="dxa"/>
            <w:tcBorders>
              <w:top w:val="single" w:sz="4" w:space="0" w:color="auto"/>
              <w:left w:val="single" w:sz="4" w:space="0" w:color="auto"/>
              <w:bottom w:val="single" w:sz="4" w:space="0" w:color="auto"/>
              <w:right w:val="single" w:sz="4" w:space="0" w:color="auto"/>
            </w:tcBorders>
            <w:hideMark/>
          </w:tcPr>
          <w:p w:rsidR="00A22EA5" w:rsidRPr="00B8326E" w:rsidRDefault="00A22EA5" w:rsidP="006861B0">
            <w:pPr>
              <w:pStyle w:val="ListParagraph"/>
              <w:numPr>
                <w:ilvl w:val="1"/>
                <w:numId w:val="85"/>
              </w:numPr>
              <w:spacing w:before="60" w:after="60" w:line="240" w:lineRule="auto"/>
              <w:ind w:left="0" w:firstLine="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Текучество на персонала</w:t>
            </w:r>
          </w:p>
        </w:tc>
        <w:tc>
          <w:tcPr>
            <w:tcW w:w="1134"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Външен/ Вътрешен</w:t>
            </w:r>
          </w:p>
        </w:tc>
        <w:tc>
          <w:tcPr>
            <w:tcW w:w="1276"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Програма</w:t>
            </w:r>
          </w:p>
        </w:tc>
        <w:tc>
          <w:tcPr>
            <w:tcW w:w="1105"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Цялостен</w:t>
            </w:r>
          </w:p>
        </w:tc>
        <w:tc>
          <w:tcPr>
            <w:tcW w:w="851"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1</w:t>
            </w:r>
          </w:p>
        </w:tc>
        <w:tc>
          <w:tcPr>
            <w:tcW w:w="850"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5</w:t>
            </w:r>
          </w:p>
        </w:tc>
        <w:tc>
          <w:tcPr>
            <w:tcW w:w="851"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5</w:t>
            </w:r>
          </w:p>
        </w:tc>
      </w:tr>
      <w:tr w:rsidR="00A22EA5" w:rsidRPr="00B8326E" w:rsidTr="00E054C6">
        <w:tc>
          <w:tcPr>
            <w:tcW w:w="1870" w:type="dxa"/>
            <w:vMerge w:val="restart"/>
            <w:tcBorders>
              <w:top w:val="single" w:sz="4" w:space="0" w:color="auto"/>
              <w:left w:val="single" w:sz="4" w:space="0" w:color="auto"/>
              <w:bottom w:val="single" w:sz="4" w:space="0" w:color="auto"/>
              <w:right w:val="single" w:sz="4" w:space="0" w:color="auto"/>
            </w:tcBorders>
            <w:hideMark/>
          </w:tcPr>
          <w:p w:rsidR="00A22EA5" w:rsidRPr="00B8326E" w:rsidRDefault="00A22EA5" w:rsidP="006861B0">
            <w:pPr>
              <w:pStyle w:val="ListParagraph"/>
              <w:numPr>
                <w:ilvl w:val="0"/>
                <w:numId w:val="85"/>
              </w:numPr>
              <w:spacing w:before="60" w:after="60" w:line="240" w:lineRule="auto"/>
              <w:ind w:left="170" w:hanging="170"/>
              <w:rPr>
                <w:rFonts w:ascii="Verdana" w:hAnsi="Verdana"/>
                <w:bCs/>
                <w:color w:val="000000"/>
                <w:sz w:val="16"/>
                <w:szCs w:val="16"/>
                <w:lang w:val="bg-BG" w:eastAsia="bg-BG"/>
              </w:rPr>
            </w:pPr>
            <w:r w:rsidRPr="00B8326E">
              <w:rPr>
                <w:rFonts w:ascii="Verdana" w:hAnsi="Verdana"/>
                <w:bCs/>
                <w:color w:val="000000"/>
                <w:sz w:val="16"/>
                <w:szCs w:val="16"/>
                <w:lang w:val="bg-BG" w:eastAsia="bg-BG"/>
              </w:rPr>
              <w:t>Да не допусне загуба на средства (</w:t>
            </w:r>
            <w:proofErr w:type="spellStart"/>
            <w:r w:rsidRPr="00B8326E">
              <w:rPr>
                <w:rFonts w:ascii="Verdana" w:hAnsi="Verdana"/>
                <w:bCs/>
                <w:color w:val="000000"/>
                <w:sz w:val="16"/>
                <w:szCs w:val="16"/>
                <w:lang w:val="bg-BG" w:eastAsia="bg-BG"/>
              </w:rPr>
              <w:t>decommitment</w:t>
            </w:r>
            <w:proofErr w:type="spellEnd"/>
            <w:r w:rsidRPr="00B8326E">
              <w:rPr>
                <w:rFonts w:ascii="Verdana" w:hAnsi="Verdana"/>
                <w:bCs/>
                <w:color w:val="000000"/>
                <w:sz w:val="16"/>
                <w:szCs w:val="16"/>
                <w:lang w:val="bg-BG" w:eastAsia="bg-BG"/>
              </w:rPr>
              <w:t>) при спазване на правилото n+3</w:t>
            </w:r>
          </w:p>
        </w:tc>
        <w:tc>
          <w:tcPr>
            <w:tcW w:w="2833" w:type="dxa"/>
            <w:tcBorders>
              <w:top w:val="single" w:sz="4" w:space="0" w:color="auto"/>
              <w:left w:val="single" w:sz="4" w:space="0" w:color="auto"/>
              <w:bottom w:val="single" w:sz="4" w:space="0" w:color="auto"/>
              <w:right w:val="single" w:sz="4" w:space="0" w:color="auto"/>
            </w:tcBorders>
            <w:hideMark/>
          </w:tcPr>
          <w:p w:rsidR="00A22EA5" w:rsidRPr="00B8326E" w:rsidRDefault="00A22EA5" w:rsidP="006861B0">
            <w:pPr>
              <w:pStyle w:val="ListParagraph"/>
              <w:numPr>
                <w:ilvl w:val="1"/>
                <w:numId w:val="85"/>
              </w:numPr>
              <w:spacing w:before="60" w:after="60" w:line="240" w:lineRule="auto"/>
              <w:ind w:left="0" w:firstLine="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Недостатъчен административен капацитет на УО като количество и качество на служителите</w:t>
            </w:r>
          </w:p>
        </w:tc>
        <w:tc>
          <w:tcPr>
            <w:tcW w:w="1134"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Външен/ Вътрешен</w:t>
            </w:r>
          </w:p>
        </w:tc>
        <w:tc>
          <w:tcPr>
            <w:tcW w:w="1276"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Проект</w:t>
            </w:r>
          </w:p>
        </w:tc>
        <w:tc>
          <w:tcPr>
            <w:tcW w:w="1105"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Цялостен</w:t>
            </w:r>
          </w:p>
        </w:tc>
        <w:tc>
          <w:tcPr>
            <w:tcW w:w="851"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spacing w:before="60" w:after="6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3</w:t>
            </w:r>
          </w:p>
        </w:tc>
        <w:tc>
          <w:tcPr>
            <w:tcW w:w="850"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5</w:t>
            </w:r>
          </w:p>
        </w:tc>
        <w:tc>
          <w:tcPr>
            <w:tcW w:w="851"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15</w:t>
            </w:r>
          </w:p>
        </w:tc>
      </w:tr>
      <w:tr w:rsidR="00A22EA5" w:rsidRPr="00B8326E" w:rsidTr="00E054C6">
        <w:tc>
          <w:tcPr>
            <w:tcW w:w="1870" w:type="dxa"/>
            <w:vMerge/>
            <w:tcBorders>
              <w:top w:val="single" w:sz="4" w:space="0" w:color="auto"/>
              <w:left w:val="single" w:sz="4" w:space="0" w:color="auto"/>
              <w:bottom w:val="single" w:sz="4" w:space="0" w:color="auto"/>
              <w:right w:val="single" w:sz="4" w:space="0" w:color="auto"/>
            </w:tcBorders>
            <w:vAlign w:val="center"/>
            <w:hideMark/>
          </w:tcPr>
          <w:p w:rsidR="00A22EA5" w:rsidRPr="00B8326E" w:rsidRDefault="00A22EA5" w:rsidP="00E054C6">
            <w:pPr>
              <w:rPr>
                <w:rFonts w:ascii="Verdana" w:hAnsi="Verdana"/>
                <w:bCs/>
                <w:color w:val="000000"/>
                <w:sz w:val="16"/>
                <w:szCs w:val="16"/>
                <w:lang w:val="bg-BG" w:eastAsia="bg-BG"/>
              </w:rPr>
            </w:pPr>
          </w:p>
        </w:tc>
        <w:tc>
          <w:tcPr>
            <w:tcW w:w="2833" w:type="dxa"/>
            <w:tcBorders>
              <w:top w:val="single" w:sz="4" w:space="0" w:color="auto"/>
              <w:left w:val="single" w:sz="4" w:space="0" w:color="auto"/>
              <w:bottom w:val="single" w:sz="4" w:space="0" w:color="auto"/>
              <w:right w:val="single" w:sz="4" w:space="0" w:color="auto"/>
            </w:tcBorders>
            <w:hideMark/>
          </w:tcPr>
          <w:p w:rsidR="00A22EA5" w:rsidRPr="00B8326E" w:rsidRDefault="00A22EA5" w:rsidP="006861B0">
            <w:pPr>
              <w:pStyle w:val="ListParagraph"/>
              <w:numPr>
                <w:ilvl w:val="1"/>
                <w:numId w:val="85"/>
              </w:numPr>
              <w:spacing w:before="60" w:after="60" w:line="240" w:lineRule="auto"/>
              <w:ind w:left="0" w:firstLine="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Налагане на финансови корекции</w:t>
            </w:r>
          </w:p>
        </w:tc>
        <w:tc>
          <w:tcPr>
            <w:tcW w:w="1134"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Външен</w:t>
            </w:r>
          </w:p>
        </w:tc>
        <w:tc>
          <w:tcPr>
            <w:tcW w:w="1276"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Програма</w:t>
            </w:r>
          </w:p>
        </w:tc>
        <w:tc>
          <w:tcPr>
            <w:tcW w:w="1105"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Частичен</w:t>
            </w:r>
          </w:p>
        </w:tc>
        <w:tc>
          <w:tcPr>
            <w:tcW w:w="851"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2</w:t>
            </w:r>
          </w:p>
        </w:tc>
        <w:tc>
          <w:tcPr>
            <w:tcW w:w="850"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5</w:t>
            </w:r>
          </w:p>
        </w:tc>
        <w:tc>
          <w:tcPr>
            <w:tcW w:w="851"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10</w:t>
            </w:r>
          </w:p>
        </w:tc>
      </w:tr>
      <w:tr w:rsidR="00A22EA5" w:rsidRPr="00B8326E" w:rsidTr="00E054C6">
        <w:tc>
          <w:tcPr>
            <w:tcW w:w="1870" w:type="dxa"/>
            <w:vMerge w:val="restart"/>
            <w:tcBorders>
              <w:top w:val="single" w:sz="4" w:space="0" w:color="auto"/>
              <w:left w:val="single" w:sz="4" w:space="0" w:color="auto"/>
              <w:right w:val="single" w:sz="4" w:space="0" w:color="auto"/>
            </w:tcBorders>
            <w:hideMark/>
          </w:tcPr>
          <w:p w:rsidR="00A22EA5" w:rsidRPr="00B8326E" w:rsidRDefault="00A22EA5" w:rsidP="006861B0">
            <w:pPr>
              <w:pStyle w:val="ListParagraph"/>
              <w:numPr>
                <w:ilvl w:val="0"/>
                <w:numId w:val="85"/>
              </w:numPr>
              <w:spacing w:before="60" w:after="60" w:line="240" w:lineRule="auto"/>
              <w:ind w:left="170" w:hanging="170"/>
              <w:rPr>
                <w:rFonts w:ascii="Verdana" w:hAnsi="Verdana"/>
                <w:bCs/>
                <w:color w:val="000000"/>
                <w:sz w:val="16"/>
                <w:szCs w:val="16"/>
                <w:lang w:val="bg-BG" w:eastAsia="bg-BG"/>
              </w:rPr>
            </w:pPr>
            <w:r w:rsidRPr="00B8326E">
              <w:rPr>
                <w:rFonts w:ascii="Verdana" w:hAnsi="Verdana"/>
                <w:bCs/>
                <w:color w:val="000000"/>
                <w:sz w:val="16"/>
                <w:szCs w:val="16"/>
                <w:lang w:val="bg-BG" w:eastAsia="bg-BG"/>
              </w:rPr>
              <w:t>Да се постигнат целите и целевите стойности на индикаторите на ОП 2014 – 2020 г.</w:t>
            </w:r>
          </w:p>
        </w:tc>
        <w:tc>
          <w:tcPr>
            <w:tcW w:w="2833" w:type="dxa"/>
            <w:tcBorders>
              <w:top w:val="single" w:sz="4" w:space="0" w:color="auto"/>
              <w:left w:val="single" w:sz="4" w:space="0" w:color="auto"/>
              <w:bottom w:val="single" w:sz="4" w:space="0" w:color="auto"/>
              <w:right w:val="single" w:sz="4" w:space="0" w:color="auto"/>
            </w:tcBorders>
            <w:hideMark/>
          </w:tcPr>
          <w:p w:rsidR="00A22EA5" w:rsidRPr="00B8326E" w:rsidRDefault="00A22EA5" w:rsidP="006861B0">
            <w:pPr>
              <w:pStyle w:val="ListParagraph"/>
              <w:numPr>
                <w:ilvl w:val="1"/>
                <w:numId w:val="85"/>
              </w:numPr>
              <w:spacing w:before="60" w:after="60" w:line="240" w:lineRule="auto"/>
              <w:ind w:left="0" w:firstLine="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Некачествени процедури за мониторинг на програмата</w:t>
            </w:r>
          </w:p>
        </w:tc>
        <w:tc>
          <w:tcPr>
            <w:tcW w:w="1134"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Външен/ Вътрешен</w:t>
            </w:r>
          </w:p>
        </w:tc>
        <w:tc>
          <w:tcPr>
            <w:tcW w:w="1276"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Програма</w:t>
            </w:r>
          </w:p>
        </w:tc>
        <w:tc>
          <w:tcPr>
            <w:tcW w:w="1105"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Частичен</w:t>
            </w:r>
          </w:p>
        </w:tc>
        <w:tc>
          <w:tcPr>
            <w:tcW w:w="851"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2</w:t>
            </w:r>
          </w:p>
        </w:tc>
        <w:tc>
          <w:tcPr>
            <w:tcW w:w="850"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3</w:t>
            </w:r>
          </w:p>
        </w:tc>
        <w:tc>
          <w:tcPr>
            <w:tcW w:w="851"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6</w:t>
            </w:r>
          </w:p>
        </w:tc>
      </w:tr>
      <w:tr w:rsidR="00A22EA5" w:rsidRPr="00B8326E" w:rsidTr="00E054C6">
        <w:tc>
          <w:tcPr>
            <w:tcW w:w="1870" w:type="dxa"/>
            <w:vMerge/>
            <w:tcBorders>
              <w:left w:val="single" w:sz="4" w:space="0" w:color="auto"/>
              <w:right w:val="single" w:sz="4" w:space="0" w:color="auto"/>
            </w:tcBorders>
            <w:vAlign w:val="center"/>
            <w:hideMark/>
          </w:tcPr>
          <w:p w:rsidR="00A22EA5" w:rsidRPr="00B8326E" w:rsidRDefault="00A22EA5" w:rsidP="00E054C6">
            <w:pPr>
              <w:rPr>
                <w:rFonts w:ascii="Verdana" w:hAnsi="Verdana"/>
                <w:bCs/>
                <w:color w:val="000000"/>
                <w:sz w:val="16"/>
                <w:szCs w:val="16"/>
                <w:lang w:val="bg-BG" w:eastAsia="bg-BG"/>
              </w:rPr>
            </w:pPr>
          </w:p>
        </w:tc>
        <w:tc>
          <w:tcPr>
            <w:tcW w:w="2833" w:type="dxa"/>
            <w:tcBorders>
              <w:top w:val="single" w:sz="4" w:space="0" w:color="auto"/>
              <w:left w:val="single" w:sz="4" w:space="0" w:color="auto"/>
              <w:bottom w:val="single" w:sz="4" w:space="0" w:color="auto"/>
              <w:right w:val="single" w:sz="4" w:space="0" w:color="auto"/>
            </w:tcBorders>
            <w:hideMark/>
          </w:tcPr>
          <w:p w:rsidR="00A22EA5" w:rsidRPr="00B8326E" w:rsidRDefault="00A22EA5" w:rsidP="006861B0">
            <w:pPr>
              <w:pStyle w:val="ListParagraph"/>
              <w:numPr>
                <w:ilvl w:val="1"/>
                <w:numId w:val="85"/>
              </w:numPr>
              <w:spacing w:before="60" w:after="60" w:line="240" w:lineRule="auto"/>
              <w:ind w:left="0" w:firstLine="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Трудности при набиране на необходими данни за мониторинг и оценка</w:t>
            </w:r>
          </w:p>
        </w:tc>
        <w:tc>
          <w:tcPr>
            <w:tcW w:w="1134"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Вътрешен</w:t>
            </w:r>
          </w:p>
        </w:tc>
        <w:tc>
          <w:tcPr>
            <w:tcW w:w="1276"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Програма</w:t>
            </w:r>
          </w:p>
        </w:tc>
        <w:tc>
          <w:tcPr>
            <w:tcW w:w="1105"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Частичен</w:t>
            </w:r>
          </w:p>
        </w:tc>
        <w:tc>
          <w:tcPr>
            <w:tcW w:w="851"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3</w:t>
            </w:r>
          </w:p>
        </w:tc>
        <w:tc>
          <w:tcPr>
            <w:tcW w:w="850"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3</w:t>
            </w:r>
          </w:p>
        </w:tc>
        <w:tc>
          <w:tcPr>
            <w:tcW w:w="851"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9</w:t>
            </w:r>
          </w:p>
        </w:tc>
      </w:tr>
      <w:tr w:rsidR="00A22EA5" w:rsidRPr="00B8326E" w:rsidTr="00E054C6">
        <w:tc>
          <w:tcPr>
            <w:tcW w:w="1870" w:type="dxa"/>
            <w:vMerge/>
            <w:tcBorders>
              <w:left w:val="single" w:sz="4" w:space="0" w:color="auto"/>
              <w:right w:val="single" w:sz="4" w:space="0" w:color="auto"/>
            </w:tcBorders>
            <w:vAlign w:val="center"/>
            <w:hideMark/>
          </w:tcPr>
          <w:p w:rsidR="00A22EA5" w:rsidRPr="00B8326E" w:rsidRDefault="00A22EA5" w:rsidP="00E054C6">
            <w:pPr>
              <w:rPr>
                <w:rFonts w:ascii="Verdana" w:hAnsi="Verdana"/>
                <w:bCs/>
                <w:color w:val="000000"/>
                <w:sz w:val="16"/>
                <w:szCs w:val="16"/>
                <w:lang w:val="bg-BG" w:eastAsia="bg-BG"/>
              </w:rPr>
            </w:pPr>
          </w:p>
        </w:tc>
        <w:tc>
          <w:tcPr>
            <w:tcW w:w="2833" w:type="dxa"/>
            <w:tcBorders>
              <w:top w:val="single" w:sz="4" w:space="0" w:color="auto"/>
              <w:left w:val="single" w:sz="4" w:space="0" w:color="auto"/>
              <w:bottom w:val="single" w:sz="4" w:space="0" w:color="auto"/>
              <w:right w:val="single" w:sz="4" w:space="0" w:color="auto"/>
            </w:tcBorders>
            <w:hideMark/>
          </w:tcPr>
          <w:p w:rsidR="00A22EA5" w:rsidRPr="00B8326E" w:rsidRDefault="00A22EA5" w:rsidP="006861B0">
            <w:pPr>
              <w:pStyle w:val="ListParagraph"/>
              <w:numPr>
                <w:ilvl w:val="1"/>
                <w:numId w:val="85"/>
              </w:numPr>
              <w:spacing w:before="60" w:after="60" w:line="240" w:lineRule="auto"/>
              <w:ind w:left="0" w:firstLine="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Трудности при изпълнение на заложените индикатори</w:t>
            </w:r>
          </w:p>
        </w:tc>
        <w:tc>
          <w:tcPr>
            <w:tcW w:w="1134"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Външен/ Вътрешен</w:t>
            </w:r>
          </w:p>
        </w:tc>
        <w:tc>
          <w:tcPr>
            <w:tcW w:w="1276"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spacing w:before="60" w:after="6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Проект</w:t>
            </w:r>
          </w:p>
        </w:tc>
        <w:tc>
          <w:tcPr>
            <w:tcW w:w="1105"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Цялостен</w:t>
            </w:r>
          </w:p>
        </w:tc>
        <w:tc>
          <w:tcPr>
            <w:tcW w:w="851"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3</w:t>
            </w:r>
          </w:p>
        </w:tc>
        <w:tc>
          <w:tcPr>
            <w:tcW w:w="850"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3</w:t>
            </w:r>
          </w:p>
        </w:tc>
        <w:tc>
          <w:tcPr>
            <w:tcW w:w="851" w:type="dxa"/>
            <w:tcBorders>
              <w:top w:val="single" w:sz="4" w:space="0" w:color="auto"/>
              <w:left w:val="single" w:sz="4" w:space="0" w:color="auto"/>
              <w:bottom w:val="single" w:sz="4" w:space="0" w:color="auto"/>
              <w:right w:val="single" w:sz="4" w:space="0" w:color="auto"/>
            </w:tcBorders>
            <w:hideMark/>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9</w:t>
            </w:r>
          </w:p>
        </w:tc>
      </w:tr>
      <w:tr w:rsidR="00A22EA5" w:rsidRPr="00B8326E" w:rsidTr="00E054C6">
        <w:tc>
          <w:tcPr>
            <w:tcW w:w="1870" w:type="dxa"/>
            <w:vMerge/>
            <w:tcBorders>
              <w:left w:val="single" w:sz="4" w:space="0" w:color="auto"/>
              <w:bottom w:val="single" w:sz="4" w:space="0" w:color="auto"/>
              <w:right w:val="single" w:sz="4" w:space="0" w:color="auto"/>
            </w:tcBorders>
            <w:vAlign w:val="center"/>
          </w:tcPr>
          <w:p w:rsidR="00A22EA5" w:rsidRPr="00B8326E" w:rsidRDefault="00A22EA5" w:rsidP="00E054C6">
            <w:pPr>
              <w:rPr>
                <w:rFonts w:ascii="Verdana" w:hAnsi="Verdana"/>
                <w:bCs/>
                <w:color w:val="000000"/>
                <w:sz w:val="16"/>
                <w:szCs w:val="16"/>
                <w:lang w:val="bg-BG" w:eastAsia="bg-BG"/>
              </w:rPr>
            </w:pPr>
          </w:p>
        </w:tc>
        <w:tc>
          <w:tcPr>
            <w:tcW w:w="2833" w:type="dxa"/>
            <w:tcBorders>
              <w:top w:val="single" w:sz="4" w:space="0" w:color="auto"/>
              <w:left w:val="single" w:sz="4" w:space="0" w:color="auto"/>
              <w:bottom w:val="single" w:sz="4" w:space="0" w:color="auto"/>
              <w:right w:val="single" w:sz="4" w:space="0" w:color="auto"/>
            </w:tcBorders>
          </w:tcPr>
          <w:p w:rsidR="00A22EA5" w:rsidRPr="00B8326E" w:rsidRDefault="00A22EA5" w:rsidP="006861B0">
            <w:pPr>
              <w:pStyle w:val="ListParagraph"/>
              <w:numPr>
                <w:ilvl w:val="1"/>
                <w:numId w:val="85"/>
              </w:numPr>
              <w:spacing w:before="60" w:after="60" w:line="240" w:lineRule="auto"/>
              <w:ind w:left="0" w:firstLine="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 xml:space="preserve">Трудности при постигане на  заложените етапните цели </w:t>
            </w:r>
          </w:p>
        </w:tc>
        <w:tc>
          <w:tcPr>
            <w:tcW w:w="1134" w:type="dxa"/>
            <w:tcBorders>
              <w:top w:val="single" w:sz="4" w:space="0" w:color="auto"/>
              <w:left w:val="single" w:sz="4" w:space="0" w:color="auto"/>
              <w:bottom w:val="single" w:sz="4" w:space="0" w:color="auto"/>
              <w:right w:val="single" w:sz="4" w:space="0" w:color="auto"/>
            </w:tcBorders>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Външен/ Вътрешен</w:t>
            </w:r>
          </w:p>
        </w:tc>
        <w:tc>
          <w:tcPr>
            <w:tcW w:w="1276" w:type="dxa"/>
            <w:tcBorders>
              <w:top w:val="single" w:sz="4" w:space="0" w:color="auto"/>
              <w:left w:val="single" w:sz="4" w:space="0" w:color="auto"/>
              <w:bottom w:val="single" w:sz="4" w:space="0" w:color="auto"/>
              <w:right w:val="single" w:sz="4" w:space="0" w:color="auto"/>
            </w:tcBorders>
          </w:tcPr>
          <w:p w:rsidR="00A22EA5" w:rsidRPr="00B8326E" w:rsidRDefault="00A22EA5" w:rsidP="00E054C6">
            <w:pPr>
              <w:spacing w:before="60" w:after="6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Проект</w:t>
            </w:r>
          </w:p>
        </w:tc>
        <w:tc>
          <w:tcPr>
            <w:tcW w:w="1105" w:type="dxa"/>
            <w:tcBorders>
              <w:top w:val="single" w:sz="4" w:space="0" w:color="auto"/>
              <w:left w:val="single" w:sz="4" w:space="0" w:color="auto"/>
              <w:bottom w:val="single" w:sz="4" w:space="0" w:color="auto"/>
              <w:right w:val="single" w:sz="4" w:space="0" w:color="auto"/>
            </w:tcBorders>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Цялостен</w:t>
            </w:r>
          </w:p>
        </w:tc>
        <w:tc>
          <w:tcPr>
            <w:tcW w:w="851" w:type="dxa"/>
            <w:tcBorders>
              <w:top w:val="single" w:sz="4" w:space="0" w:color="auto"/>
              <w:left w:val="single" w:sz="4" w:space="0" w:color="auto"/>
              <w:bottom w:val="single" w:sz="4" w:space="0" w:color="auto"/>
              <w:right w:val="single" w:sz="4" w:space="0" w:color="auto"/>
            </w:tcBorders>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3</w:t>
            </w:r>
          </w:p>
        </w:tc>
        <w:tc>
          <w:tcPr>
            <w:tcW w:w="850" w:type="dxa"/>
            <w:tcBorders>
              <w:top w:val="single" w:sz="4" w:space="0" w:color="auto"/>
              <w:left w:val="single" w:sz="4" w:space="0" w:color="auto"/>
              <w:bottom w:val="single" w:sz="4" w:space="0" w:color="auto"/>
              <w:right w:val="single" w:sz="4" w:space="0" w:color="auto"/>
            </w:tcBorders>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3</w:t>
            </w:r>
          </w:p>
        </w:tc>
        <w:tc>
          <w:tcPr>
            <w:tcW w:w="851" w:type="dxa"/>
            <w:tcBorders>
              <w:top w:val="single" w:sz="4" w:space="0" w:color="auto"/>
              <w:left w:val="single" w:sz="4" w:space="0" w:color="auto"/>
              <w:bottom w:val="single" w:sz="4" w:space="0" w:color="auto"/>
              <w:right w:val="single" w:sz="4" w:space="0" w:color="auto"/>
            </w:tcBorders>
          </w:tcPr>
          <w:p w:rsidR="00A22EA5" w:rsidRPr="00B8326E" w:rsidRDefault="00A22EA5" w:rsidP="00E054C6">
            <w:pPr>
              <w:pStyle w:val="ListParagraph"/>
              <w:spacing w:before="60" w:after="60"/>
              <w:ind w:left="0"/>
              <w:jc w:val="both"/>
              <w:rPr>
                <w:rFonts w:ascii="Verdana" w:eastAsia="Malgun Gothic" w:hAnsi="Verdana"/>
                <w:bCs/>
                <w:color w:val="000000"/>
                <w:sz w:val="16"/>
                <w:szCs w:val="16"/>
                <w:lang w:val="bg-BG" w:eastAsia="ko-KR"/>
              </w:rPr>
            </w:pPr>
            <w:r w:rsidRPr="00B8326E">
              <w:rPr>
                <w:rFonts w:ascii="Verdana" w:eastAsia="Malgun Gothic" w:hAnsi="Verdana"/>
                <w:bCs/>
                <w:color w:val="000000"/>
                <w:sz w:val="16"/>
                <w:szCs w:val="16"/>
                <w:lang w:val="bg-BG" w:eastAsia="ko-KR"/>
              </w:rPr>
              <w:t>9</w:t>
            </w:r>
          </w:p>
        </w:tc>
      </w:tr>
    </w:tbl>
    <w:p w:rsidR="00A22EA5" w:rsidRPr="00B8326E" w:rsidRDefault="00A22EA5" w:rsidP="00A22EA5">
      <w:pPr>
        <w:pStyle w:val="BodyText"/>
        <w:spacing w:before="120" w:line="276" w:lineRule="auto"/>
        <w:ind w:left="720"/>
        <w:jc w:val="both"/>
        <w:rPr>
          <w:rFonts w:ascii="Verdana" w:hAnsi="Verdana"/>
          <w:bCs/>
          <w:color w:val="000000"/>
          <w:sz w:val="20"/>
          <w:szCs w:val="20"/>
        </w:rPr>
      </w:pPr>
    </w:p>
    <w:p w:rsidR="00A22EA5" w:rsidRDefault="00A22EA5" w:rsidP="006861B0">
      <w:pPr>
        <w:pStyle w:val="BodyText"/>
        <w:numPr>
          <w:ilvl w:val="0"/>
          <w:numId w:val="80"/>
        </w:numPr>
        <w:spacing w:before="120" w:line="276" w:lineRule="auto"/>
        <w:jc w:val="both"/>
        <w:rPr>
          <w:rFonts w:ascii="Verdana" w:hAnsi="Verdana"/>
          <w:bCs/>
          <w:color w:val="000000"/>
          <w:sz w:val="20"/>
          <w:szCs w:val="20"/>
        </w:rPr>
      </w:pPr>
      <w:r>
        <w:rPr>
          <w:rFonts w:ascii="Verdana" w:hAnsi="Verdana"/>
          <w:bCs/>
          <w:i/>
          <w:color w:val="548DD4" w:themeColor="text2" w:themeTint="99"/>
          <w:sz w:val="20"/>
          <w:szCs w:val="20"/>
        </w:rPr>
        <w:t>Предложения за третиране на рисковете.</w:t>
      </w:r>
      <w:r>
        <w:rPr>
          <w:rFonts w:ascii="Verdana" w:hAnsi="Verdana"/>
          <w:bCs/>
          <w:color w:val="000000"/>
          <w:sz w:val="20"/>
          <w:szCs w:val="20"/>
        </w:rPr>
        <w:t xml:space="preserve"> Предложенията за третиране на рисковете са изготвени на базата на нивото на толериране на риска, като са взети средни стойности (3/3) и са предложени мерки за третиране на рискове с </w:t>
      </w:r>
      <w:proofErr w:type="spellStart"/>
      <w:r>
        <w:rPr>
          <w:rFonts w:ascii="Verdana" w:hAnsi="Verdana"/>
          <w:bCs/>
          <w:color w:val="000000"/>
          <w:sz w:val="20"/>
          <w:szCs w:val="20"/>
        </w:rPr>
        <w:t>интинзитет</w:t>
      </w:r>
      <w:proofErr w:type="spellEnd"/>
      <w:r>
        <w:rPr>
          <w:rFonts w:ascii="Verdana" w:hAnsi="Verdana"/>
          <w:bCs/>
          <w:color w:val="000000"/>
          <w:sz w:val="20"/>
          <w:szCs w:val="20"/>
        </w:rPr>
        <w:t xml:space="preserve"> 10 и нагоре.</w:t>
      </w:r>
    </w:p>
    <w:p w:rsidR="00A22EA5" w:rsidRDefault="00A22EA5" w:rsidP="00A22EA5">
      <w:pPr>
        <w:pStyle w:val="BodyText"/>
        <w:spacing w:before="120" w:line="276" w:lineRule="auto"/>
        <w:jc w:val="center"/>
        <w:rPr>
          <w:rFonts w:ascii="Verdana" w:hAnsi="Verdana"/>
          <w:bCs/>
          <w:color w:val="000000"/>
          <w:sz w:val="20"/>
          <w:szCs w:val="20"/>
        </w:rPr>
      </w:pPr>
      <w:r>
        <w:rPr>
          <w:noProof/>
        </w:rPr>
        <w:lastRenderedPageBreak/>
        <w:drawing>
          <wp:inline distT="0" distB="0" distL="0" distR="0" wp14:anchorId="653DDB85" wp14:editId="111B57E8">
            <wp:extent cx="5724525" cy="2476500"/>
            <wp:effectExtent l="0" t="0" r="9525" b="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A22EA5" w:rsidRDefault="00A22EA5" w:rsidP="00A22EA5">
      <w:pPr>
        <w:pStyle w:val="Caption"/>
        <w:spacing w:before="240"/>
        <w:jc w:val="center"/>
        <w:rPr>
          <w:rFonts w:ascii="Verdana" w:hAnsi="Verdana"/>
          <w:bCs w:val="0"/>
          <w:color w:val="548DD4" w:themeColor="text2" w:themeTint="99"/>
          <w:lang w:eastAsia="en-US"/>
        </w:rPr>
      </w:pPr>
      <w:bookmarkStart w:id="164" w:name="_Toc381712253"/>
      <w:bookmarkStart w:id="165" w:name="_Toc395609467"/>
      <w:r w:rsidRPr="0026362F">
        <w:rPr>
          <w:rFonts w:ascii="Verdana" w:hAnsi="Verdana"/>
          <w:bCs w:val="0"/>
          <w:color w:val="548DD4" w:themeColor="text2" w:themeTint="99"/>
          <w:lang w:eastAsia="en-US"/>
        </w:rPr>
        <w:t xml:space="preserve">Фигура </w:t>
      </w:r>
      <w:r w:rsidRPr="0026362F">
        <w:fldChar w:fldCharType="begin"/>
      </w:r>
      <w:r w:rsidRPr="0026362F">
        <w:rPr>
          <w:rFonts w:ascii="Verdana" w:hAnsi="Verdana"/>
          <w:bCs w:val="0"/>
          <w:color w:val="548DD4" w:themeColor="text2" w:themeTint="99"/>
          <w:lang w:eastAsia="en-US"/>
        </w:rPr>
        <w:instrText>SEQ фигура \* ARABIC</w:instrText>
      </w:r>
      <w:r w:rsidRPr="0026362F">
        <w:fldChar w:fldCharType="separate"/>
      </w:r>
      <w:r w:rsidR="001361E0">
        <w:rPr>
          <w:rFonts w:ascii="Verdana" w:hAnsi="Verdana"/>
          <w:bCs w:val="0"/>
          <w:noProof/>
          <w:color w:val="548DD4" w:themeColor="text2" w:themeTint="99"/>
          <w:lang w:eastAsia="en-US"/>
        </w:rPr>
        <w:t>13</w:t>
      </w:r>
      <w:r w:rsidRPr="0026362F">
        <w:fldChar w:fldCharType="end"/>
      </w:r>
      <w:r w:rsidRPr="0026362F">
        <w:rPr>
          <w:rFonts w:ascii="Verdana" w:hAnsi="Verdana"/>
          <w:bCs w:val="0"/>
          <w:color w:val="548DD4" w:themeColor="text2" w:themeTint="99"/>
          <w:lang w:eastAsia="en-US"/>
        </w:rPr>
        <w:t>: Оценка на рисковете</w:t>
      </w:r>
      <w:bookmarkEnd w:id="164"/>
      <w:bookmarkEnd w:id="165"/>
    </w:p>
    <w:p w:rsidR="00A22EA5" w:rsidRDefault="00A22EA5" w:rsidP="00A22EA5">
      <w:pPr>
        <w:pStyle w:val="BodyText"/>
        <w:tabs>
          <w:tab w:val="left" w:pos="0"/>
          <w:tab w:val="right" w:pos="9214"/>
        </w:tabs>
        <w:spacing w:before="120" w:line="276" w:lineRule="auto"/>
        <w:jc w:val="both"/>
        <w:rPr>
          <w:rFonts w:ascii="Verdana" w:hAnsi="Verdana"/>
          <w:bCs/>
          <w:color w:val="000000"/>
          <w:sz w:val="20"/>
          <w:szCs w:val="20"/>
        </w:rPr>
      </w:pPr>
      <w:r>
        <w:rPr>
          <w:rFonts w:ascii="Verdana" w:hAnsi="Verdana"/>
          <w:bCs/>
          <w:color w:val="000000"/>
          <w:sz w:val="20"/>
          <w:szCs w:val="20"/>
        </w:rPr>
        <w:t xml:space="preserve">Таблицата по-долу показва, рисковете с </w:t>
      </w:r>
      <w:proofErr w:type="spellStart"/>
      <w:r>
        <w:rPr>
          <w:rFonts w:ascii="Verdana" w:hAnsi="Verdana"/>
          <w:bCs/>
          <w:color w:val="000000"/>
          <w:sz w:val="20"/>
          <w:szCs w:val="20"/>
        </w:rPr>
        <w:t>интезитет</w:t>
      </w:r>
      <w:proofErr w:type="spellEnd"/>
      <w:r>
        <w:rPr>
          <w:rFonts w:ascii="Verdana" w:hAnsi="Verdana"/>
          <w:bCs/>
          <w:color w:val="000000"/>
          <w:sz w:val="20"/>
          <w:szCs w:val="20"/>
        </w:rPr>
        <w:t xml:space="preserve"> 10 и нагоре и съответните мерки, които следва да се предприемат, за да се третира  всеки риск. Предложените мерки за третиране на рисковете са включени в препоръките на оценката.</w:t>
      </w:r>
    </w:p>
    <w:p w:rsidR="00A22EA5" w:rsidRDefault="00A22EA5" w:rsidP="00A22EA5">
      <w:pPr>
        <w:pStyle w:val="Caption"/>
        <w:rPr>
          <w:rFonts w:ascii="Verdana" w:hAnsi="Verdana"/>
          <w:color w:val="548DD4" w:themeColor="text2" w:themeTint="99"/>
        </w:rPr>
      </w:pPr>
      <w:bookmarkStart w:id="166" w:name="_Toc381712223"/>
      <w:bookmarkStart w:id="167" w:name="_Toc373747284"/>
      <w:bookmarkStart w:id="168" w:name="_Toc395612597"/>
      <w:r>
        <w:rPr>
          <w:rFonts w:ascii="Verdana" w:hAnsi="Verdana"/>
          <w:color w:val="548DD4" w:themeColor="text2" w:themeTint="99"/>
        </w:rPr>
        <w:t xml:space="preserve">Таблица </w:t>
      </w:r>
      <w:r>
        <w:fldChar w:fldCharType="begin"/>
      </w:r>
      <w:r>
        <w:rPr>
          <w:rFonts w:ascii="Verdana" w:hAnsi="Verdana"/>
          <w:color w:val="548DD4" w:themeColor="text2" w:themeTint="99"/>
        </w:rPr>
        <w:instrText xml:space="preserve"> SEQ таблица \* ARABIC </w:instrText>
      </w:r>
      <w:r>
        <w:fldChar w:fldCharType="separate"/>
      </w:r>
      <w:r w:rsidR="001361E0">
        <w:rPr>
          <w:rFonts w:ascii="Verdana" w:hAnsi="Verdana"/>
          <w:noProof/>
          <w:color w:val="548DD4" w:themeColor="text2" w:themeTint="99"/>
        </w:rPr>
        <w:t>41</w:t>
      </w:r>
      <w:r>
        <w:fldChar w:fldCharType="end"/>
      </w:r>
      <w:r>
        <w:rPr>
          <w:rFonts w:ascii="Verdana" w:hAnsi="Verdana"/>
          <w:color w:val="548DD4" w:themeColor="text2" w:themeTint="99"/>
        </w:rPr>
        <w:t>. Рискове с висок интензитет и тяхното третиране</w:t>
      </w:r>
      <w:bookmarkEnd w:id="166"/>
      <w:bookmarkEnd w:id="167"/>
      <w:bookmarkEnd w:id="168"/>
    </w:p>
    <w:tbl>
      <w:tblPr>
        <w:tblW w:w="9375" w:type="dxa"/>
        <w:tblInd w:w="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90"/>
        <w:gridCol w:w="852"/>
        <w:gridCol w:w="851"/>
        <w:gridCol w:w="940"/>
        <w:gridCol w:w="3742"/>
      </w:tblGrid>
      <w:tr w:rsidR="00A22EA5" w:rsidTr="00E054C6">
        <w:trPr>
          <w:trHeight w:val="465"/>
        </w:trPr>
        <w:tc>
          <w:tcPr>
            <w:tcW w:w="2990" w:type="dxa"/>
            <w:tcBorders>
              <w:top w:val="single" w:sz="4" w:space="0" w:color="auto"/>
              <w:left w:val="single" w:sz="4" w:space="0" w:color="auto"/>
              <w:bottom w:val="single" w:sz="4" w:space="0" w:color="auto"/>
              <w:right w:val="single" w:sz="4" w:space="0" w:color="auto"/>
            </w:tcBorders>
            <w:shd w:val="clear" w:color="auto" w:fill="17365D"/>
            <w:hideMark/>
          </w:tcPr>
          <w:p w:rsidR="00A22EA5" w:rsidRDefault="00A22EA5" w:rsidP="00E054C6">
            <w:pPr>
              <w:spacing w:after="0" w:line="240" w:lineRule="auto"/>
              <w:jc w:val="both"/>
              <w:rPr>
                <w:rFonts w:ascii="Verdana" w:eastAsia="Times New Roman" w:hAnsi="Verdana" w:cs="Calibri"/>
                <w:b/>
                <w:color w:val="FFFFFF"/>
                <w:sz w:val="18"/>
                <w:szCs w:val="18"/>
                <w:lang w:val="bg-BG"/>
              </w:rPr>
            </w:pPr>
            <w:r>
              <w:rPr>
                <w:rFonts w:ascii="Verdana" w:eastAsia="Times New Roman" w:hAnsi="Verdana" w:cs="Calibri"/>
                <w:b/>
                <w:color w:val="FFFFFF"/>
                <w:sz w:val="18"/>
                <w:szCs w:val="18"/>
                <w:lang w:val="bg-BG"/>
              </w:rPr>
              <w:t>Рискове</w:t>
            </w:r>
          </w:p>
        </w:tc>
        <w:tc>
          <w:tcPr>
            <w:tcW w:w="852" w:type="dxa"/>
            <w:tcBorders>
              <w:top w:val="single" w:sz="4" w:space="0" w:color="auto"/>
              <w:left w:val="single" w:sz="4" w:space="0" w:color="auto"/>
              <w:bottom w:val="single" w:sz="4" w:space="0" w:color="auto"/>
              <w:right w:val="single" w:sz="4" w:space="0" w:color="auto"/>
            </w:tcBorders>
            <w:shd w:val="clear" w:color="auto" w:fill="17365D"/>
            <w:hideMark/>
          </w:tcPr>
          <w:p w:rsidR="00A22EA5" w:rsidRDefault="00A22EA5" w:rsidP="00E054C6">
            <w:pPr>
              <w:spacing w:after="0" w:line="240" w:lineRule="auto"/>
              <w:jc w:val="both"/>
              <w:rPr>
                <w:rFonts w:ascii="Verdana" w:eastAsia="Times New Roman" w:hAnsi="Verdana" w:cs="Calibri"/>
                <w:b/>
                <w:color w:val="FFFFFF"/>
                <w:sz w:val="18"/>
                <w:szCs w:val="18"/>
                <w:lang w:val="bg-BG"/>
              </w:rPr>
            </w:pPr>
            <w:r>
              <w:rPr>
                <w:rFonts w:ascii="Verdana" w:eastAsia="Times New Roman" w:hAnsi="Verdana" w:cs="Calibri"/>
                <w:b/>
                <w:color w:val="FFFFFF"/>
                <w:sz w:val="18"/>
                <w:szCs w:val="18"/>
                <w:lang w:val="bg-BG"/>
              </w:rPr>
              <w:t>Вероятност</w:t>
            </w:r>
          </w:p>
        </w:tc>
        <w:tc>
          <w:tcPr>
            <w:tcW w:w="851" w:type="dxa"/>
            <w:tcBorders>
              <w:top w:val="single" w:sz="4" w:space="0" w:color="auto"/>
              <w:left w:val="single" w:sz="4" w:space="0" w:color="auto"/>
              <w:bottom w:val="single" w:sz="4" w:space="0" w:color="auto"/>
              <w:right w:val="single" w:sz="4" w:space="0" w:color="auto"/>
            </w:tcBorders>
            <w:shd w:val="clear" w:color="auto" w:fill="17365D"/>
            <w:hideMark/>
          </w:tcPr>
          <w:p w:rsidR="00A22EA5" w:rsidRDefault="00A22EA5" w:rsidP="00E054C6">
            <w:pPr>
              <w:spacing w:after="0" w:line="240" w:lineRule="auto"/>
              <w:jc w:val="both"/>
              <w:rPr>
                <w:rFonts w:ascii="Verdana" w:eastAsia="Times New Roman" w:hAnsi="Verdana" w:cs="Calibri"/>
                <w:b/>
                <w:color w:val="FFFFFF"/>
                <w:sz w:val="18"/>
                <w:szCs w:val="18"/>
                <w:lang w:val="bg-BG"/>
              </w:rPr>
            </w:pPr>
            <w:r>
              <w:rPr>
                <w:rFonts w:ascii="Verdana" w:eastAsia="Times New Roman" w:hAnsi="Verdana" w:cs="Calibri"/>
                <w:b/>
                <w:color w:val="FFFFFF"/>
                <w:sz w:val="18"/>
                <w:szCs w:val="18"/>
                <w:lang w:val="bg-BG"/>
              </w:rPr>
              <w:t>Въздействие</w:t>
            </w:r>
          </w:p>
        </w:tc>
        <w:tc>
          <w:tcPr>
            <w:tcW w:w="940" w:type="dxa"/>
            <w:tcBorders>
              <w:top w:val="single" w:sz="4" w:space="0" w:color="auto"/>
              <w:left w:val="single" w:sz="4" w:space="0" w:color="auto"/>
              <w:bottom w:val="single" w:sz="4" w:space="0" w:color="auto"/>
              <w:right w:val="single" w:sz="4" w:space="0" w:color="auto"/>
            </w:tcBorders>
            <w:shd w:val="clear" w:color="auto" w:fill="17365D"/>
            <w:hideMark/>
          </w:tcPr>
          <w:p w:rsidR="00A22EA5" w:rsidRDefault="00A22EA5" w:rsidP="00E054C6">
            <w:pPr>
              <w:spacing w:after="0" w:line="240" w:lineRule="auto"/>
              <w:jc w:val="both"/>
              <w:rPr>
                <w:rFonts w:ascii="Verdana" w:eastAsia="Times New Roman" w:hAnsi="Verdana" w:cs="Calibri"/>
                <w:b/>
                <w:color w:val="FFFFFF"/>
                <w:sz w:val="18"/>
                <w:szCs w:val="18"/>
                <w:lang w:val="bg-BG"/>
              </w:rPr>
            </w:pPr>
            <w:r>
              <w:rPr>
                <w:rFonts w:ascii="Verdana" w:eastAsia="Times New Roman" w:hAnsi="Verdana" w:cs="Calibri"/>
                <w:b/>
                <w:color w:val="FFFFFF"/>
                <w:sz w:val="18"/>
                <w:szCs w:val="18"/>
                <w:lang w:val="bg-BG"/>
              </w:rPr>
              <w:t>Интензитет</w:t>
            </w:r>
          </w:p>
        </w:tc>
        <w:tc>
          <w:tcPr>
            <w:tcW w:w="3742" w:type="dxa"/>
            <w:tcBorders>
              <w:top w:val="single" w:sz="4" w:space="0" w:color="auto"/>
              <w:left w:val="single" w:sz="4" w:space="0" w:color="auto"/>
              <w:bottom w:val="single" w:sz="4" w:space="0" w:color="auto"/>
              <w:right w:val="single" w:sz="4" w:space="0" w:color="auto"/>
            </w:tcBorders>
            <w:shd w:val="clear" w:color="auto" w:fill="17365D"/>
            <w:hideMark/>
          </w:tcPr>
          <w:p w:rsidR="00A22EA5" w:rsidRDefault="00A22EA5" w:rsidP="00E054C6">
            <w:pPr>
              <w:spacing w:after="0" w:line="240" w:lineRule="auto"/>
              <w:jc w:val="both"/>
              <w:rPr>
                <w:rFonts w:ascii="Verdana" w:eastAsia="Times New Roman" w:hAnsi="Verdana" w:cs="Calibri"/>
                <w:b/>
                <w:color w:val="FFFFFF"/>
                <w:sz w:val="18"/>
                <w:szCs w:val="18"/>
                <w:lang w:val="bg-BG"/>
              </w:rPr>
            </w:pPr>
            <w:r>
              <w:rPr>
                <w:rFonts w:ascii="Verdana" w:eastAsia="Times New Roman" w:hAnsi="Verdana" w:cs="Calibri"/>
                <w:b/>
                <w:color w:val="FFFFFF"/>
                <w:sz w:val="18"/>
                <w:szCs w:val="18"/>
                <w:lang w:val="bg-BG"/>
              </w:rPr>
              <w:t>Третиране на риска</w:t>
            </w:r>
          </w:p>
        </w:tc>
      </w:tr>
      <w:tr w:rsidR="00A22EA5" w:rsidRPr="0073781E" w:rsidTr="00E054C6">
        <w:trPr>
          <w:trHeight w:val="870"/>
        </w:trPr>
        <w:tc>
          <w:tcPr>
            <w:tcW w:w="2990" w:type="dxa"/>
            <w:tcBorders>
              <w:top w:val="single" w:sz="4" w:space="0" w:color="auto"/>
              <w:left w:val="single" w:sz="4" w:space="0" w:color="auto"/>
              <w:bottom w:val="single" w:sz="4" w:space="0" w:color="auto"/>
              <w:right w:val="single" w:sz="4" w:space="0" w:color="auto"/>
            </w:tcBorders>
          </w:tcPr>
          <w:p w:rsidR="00A22EA5" w:rsidRDefault="00A22EA5" w:rsidP="00E054C6">
            <w:pPr>
              <w:spacing w:after="0" w:line="240" w:lineRule="auto"/>
              <w:rPr>
                <w:rFonts w:ascii="Verdana" w:eastAsia="Times New Roman" w:hAnsi="Verdana" w:cs="Calibri"/>
                <w:color w:val="000000"/>
                <w:sz w:val="16"/>
                <w:szCs w:val="16"/>
                <w:lang w:val="bg-BG"/>
              </w:rPr>
            </w:pPr>
            <w:r>
              <w:rPr>
                <w:rFonts w:ascii="Verdana" w:eastAsia="Times New Roman" w:hAnsi="Verdana" w:cs="Calibri"/>
                <w:color w:val="000000"/>
                <w:sz w:val="16"/>
                <w:szCs w:val="16"/>
                <w:lang w:val="bg-BG"/>
              </w:rPr>
              <w:t>2.2</w:t>
            </w:r>
            <w:r>
              <w:rPr>
                <w:rFonts w:ascii="Times New Roman" w:eastAsia="Times New Roman" w:hAnsi="Times New Roman"/>
                <w:color w:val="000000"/>
                <w:sz w:val="14"/>
                <w:szCs w:val="14"/>
                <w:lang w:val="bg-BG"/>
              </w:rPr>
              <w:t xml:space="preserve">          </w:t>
            </w:r>
            <w:r>
              <w:rPr>
                <w:rFonts w:ascii="Verdana" w:eastAsia="Times New Roman" w:hAnsi="Verdana" w:cs="Calibri"/>
                <w:color w:val="000000"/>
                <w:sz w:val="16"/>
                <w:szCs w:val="16"/>
                <w:lang w:val="bg-BG"/>
              </w:rPr>
              <w:t>Липса на административен капацитет у бенефициентите за подготовка на проектни предложения.</w:t>
            </w:r>
          </w:p>
        </w:tc>
        <w:tc>
          <w:tcPr>
            <w:tcW w:w="852" w:type="dxa"/>
            <w:tcBorders>
              <w:top w:val="single" w:sz="4" w:space="0" w:color="auto"/>
              <w:left w:val="single" w:sz="4" w:space="0" w:color="auto"/>
              <w:bottom w:val="single" w:sz="4" w:space="0" w:color="auto"/>
              <w:right w:val="single" w:sz="4" w:space="0" w:color="auto"/>
            </w:tcBorders>
          </w:tcPr>
          <w:p w:rsidR="00A22EA5" w:rsidRDefault="00A22EA5" w:rsidP="00E054C6">
            <w:pPr>
              <w:spacing w:after="0" w:line="240" w:lineRule="auto"/>
              <w:rPr>
                <w:rFonts w:ascii="Verdana" w:eastAsia="Times New Roman" w:hAnsi="Verdana" w:cs="Calibri"/>
                <w:color w:val="000000"/>
                <w:sz w:val="16"/>
                <w:szCs w:val="16"/>
                <w:lang w:val="bg-BG"/>
              </w:rPr>
            </w:pPr>
            <w:r>
              <w:rPr>
                <w:rFonts w:ascii="Verdana" w:eastAsia="Times New Roman" w:hAnsi="Verdana" w:cs="Calibri"/>
                <w:color w:val="000000"/>
                <w:sz w:val="16"/>
                <w:szCs w:val="16"/>
                <w:lang w:val="bg-BG"/>
              </w:rPr>
              <w:t>3</w:t>
            </w:r>
          </w:p>
        </w:tc>
        <w:tc>
          <w:tcPr>
            <w:tcW w:w="851" w:type="dxa"/>
            <w:tcBorders>
              <w:top w:val="single" w:sz="4" w:space="0" w:color="auto"/>
              <w:left w:val="single" w:sz="4" w:space="0" w:color="auto"/>
              <w:bottom w:val="single" w:sz="4" w:space="0" w:color="auto"/>
              <w:right w:val="single" w:sz="4" w:space="0" w:color="auto"/>
            </w:tcBorders>
          </w:tcPr>
          <w:p w:rsidR="00A22EA5" w:rsidRDefault="00A22EA5" w:rsidP="00E054C6">
            <w:pPr>
              <w:spacing w:after="0" w:line="240" w:lineRule="auto"/>
              <w:rPr>
                <w:rFonts w:ascii="Verdana" w:eastAsia="Times New Roman" w:hAnsi="Verdana" w:cs="Calibri"/>
                <w:color w:val="000000"/>
                <w:sz w:val="16"/>
                <w:szCs w:val="16"/>
                <w:lang w:val="bg-BG"/>
              </w:rPr>
            </w:pPr>
            <w:r>
              <w:rPr>
                <w:rFonts w:ascii="Verdana" w:eastAsia="Times New Roman" w:hAnsi="Verdana" w:cs="Calibri"/>
                <w:color w:val="000000"/>
                <w:sz w:val="16"/>
                <w:szCs w:val="16"/>
                <w:lang w:val="bg-BG"/>
              </w:rPr>
              <w:t>5</w:t>
            </w:r>
          </w:p>
        </w:tc>
        <w:tc>
          <w:tcPr>
            <w:tcW w:w="940" w:type="dxa"/>
            <w:tcBorders>
              <w:top w:val="single" w:sz="4" w:space="0" w:color="auto"/>
              <w:left w:val="single" w:sz="4" w:space="0" w:color="auto"/>
              <w:bottom w:val="single" w:sz="4" w:space="0" w:color="auto"/>
              <w:right w:val="single" w:sz="4" w:space="0" w:color="auto"/>
            </w:tcBorders>
          </w:tcPr>
          <w:p w:rsidR="00A22EA5" w:rsidRDefault="00A22EA5" w:rsidP="00E054C6">
            <w:pPr>
              <w:spacing w:after="0" w:line="240" w:lineRule="auto"/>
              <w:rPr>
                <w:rFonts w:ascii="Verdana" w:eastAsia="Times New Roman" w:hAnsi="Verdana" w:cs="Calibri"/>
                <w:color w:val="000000"/>
                <w:sz w:val="16"/>
                <w:szCs w:val="16"/>
                <w:lang w:val="bg-BG"/>
              </w:rPr>
            </w:pPr>
            <w:r>
              <w:rPr>
                <w:rFonts w:ascii="Verdana" w:eastAsia="Times New Roman" w:hAnsi="Verdana" w:cs="Calibri"/>
                <w:color w:val="000000"/>
                <w:sz w:val="16"/>
                <w:szCs w:val="16"/>
                <w:lang w:val="bg-BG"/>
              </w:rPr>
              <w:t>15</w:t>
            </w:r>
          </w:p>
        </w:tc>
        <w:tc>
          <w:tcPr>
            <w:tcW w:w="3742" w:type="dxa"/>
            <w:tcBorders>
              <w:top w:val="single" w:sz="4" w:space="0" w:color="auto"/>
              <w:left w:val="single" w:sz="4" w:space="0" w:color="auto"/>
              <w:bottom w:val="single" w:sz="4" w:space="0" w:color="auto"/>
              <w:right w:val="single" w:sz="4" w:space="0" w:color="auto"/>
            </w:tcBorders>
          </w:tcPr>
          <w:p w:rsidR="00A22EA5" w:rsidRDefault="00A22EA5" w:rsidP="006861B0">
            <w:pPr>
              <w:pStyle w:val="ListParagraph"/>
              <w:numPr>
                <w:ilvl w:val="0"/>
                <w:numId w:val="84"/>
              </w:numPr>
              <w:spacing w:after="0" w:line="240" w:lineRule="auto"/>
              <w:ind w:left="170" w:hanging="170"/>
              <w:rPr>
                <w:rFonts w:ascii="Verdana" w:eastAsia="Times New Roman" w:hAnsi="Verdana" w:cs="Calibri"/>
                <w:color w:val="000000"/>
                <w:sz w:val="16"/>
                <w:szCs w:val="16"/>
                <w:lang w:val="bg-BG"/>
              </w:rPr>
            </w:pPr>
            <w:r>
              <w:rPr>
                <w:rFonts w:ascii="Verdana" w:eastAsia="Times New Roman" w:hAnsi="Verdana" w:cs="Calibri"/>
                <w:color w:val="000000"/>
                <w:sz w:val="16"/>
                <w:szCs w:val="16"/>
                <w:lang w:val="bg-BG"/>
              </w:rPr>
              <w:t>Организиране на обучения;</w:t>
            </w:r>
          </w:p>
          <w:p w:rsidR="00A22EA5" w:rsidRDefault="00A22EA5" w:rsidP="006861B0">
            <w:pPr>
              <w:pStyle w:val="ListParagraph"/>
              <w:numPr>
                <w:ilvl w:val="0"/>
                <w:numId w:val="84"/>
              </w:numPr>
              <w:spacing w:after="0" w:line="240" w:lineRule="auto"/>
              <w:ind w:left="170" w:hanging="170"/>
              <w:rPr>
                <w:rFonts w:ascii="Verdana" w:eastAsia="Times New Roman" w:hAnsi="Verdana" w:cs="Calibri"/>
                <w:color w:val="000000"/>
                <w:sz w:val="16"/>
                <w:szCs w:val="16"/>
                <w:lang w:val="bg-BG"/>
              </w:rPr>
            </w:pPr>
            <w:r>
              <w:rPr>
                <w:rFonts w:ascii="Verdana" w:eastAsia="Times New Roman" w:hAnsi="Verdana" w:cs="Calibri"/>
                <w:color w:val="000000"/>
                <w:sz w:val="16"/>
                <w:szCs w:val="16"/>
                <w:lang w:val="bg-BG"/>
              </w:rPr>
              <w:t>Предприемане на мерки за понижаване на административната тежест.</w:t>
            </w:r>
          </w:p>
          <w:p w:rsidR="00A22EA5" w:rsidRDefault="00A22EA5" w:rsidP="00E054C6">
            <w:pPr>
              <w:pStyle w:val="ListParagraph"/>
              <w:spacing w:after="0" w:line="240" w:lineRule="auto"/>
              <w:ind w:left="170"/>
              <w:rPr>
                <w:rFonts w:ascii="Verdana" w:eastAsia="Times New Roman" w:hAnsi="Verdana" w:cs="Calibri"/>
                <w:color w:val="000000"/>
                <w:sz w:val="16"/>
                <w:szCs w:val="16"/>
                <w:lang w:val="bg-BG"/>
              </w:rPr>
            </w:pPr>
          </w:p>
        </w:tc>
      </w:tr>
      <w:tr w:rsidR="00A22EA5" w:rsidRPr="0073781E" w:rsidTr="00E054C6">
        <w:trPr>
          <w:trHeight w:val="870"/>
        </w:trPr>
        <w:tc>
          <w:tcPr>
            <w:tcW w:w="2990" w:type="dxa"/>
            <w:tcBorders>
              <w:top w:val="single" w:sz="4" w:space="0" w:color="auto"/>
              <w:left w:val="single" w:sz="4" w:space="0" w:color="auto"/>
              <w:bottom w:val="single" w:sz="4" w:space="0" w:color="auto"/>
              <w:right w:val="single" w:sz="4" w:space="0" w:color="auto"/>
            </w:tcBorders>
          </w:tcPr>
          <w:p w:rsidR="00A22EA5" w:rsidRDefault="00A22EA5" w:rsidP="00E054C6">
            <w:pPr>
              <w:spacing w:after="0" w:line="240" w:lineRule="auto"/>
              <w:rPr>
                <w:rFonts w:ascii="Verdana" w:eastAsia="Times New Roman" w:hAnsi="Verdana" w:cs="Calibri"/>
                <w:color w:val="000000"/>
                <w:sz w:val="16"/>
                <w:szCs w:val="16"/>
                <w:lang w:val="bg-BG"/>
              </w:rPr>
            </w:pPr>
            <w:r>
              <w:rPr>
                <w:rFonts w:ascii="Verdana" w:eastAsia="Times New Roman" w:hAnsi="Verdana" w:cs="Calibri"/>
                <w:color w:val="000000"/>
                <w:sz w:val="16"/>
                <w:szCs w:val="16"/>
                <w:lang w:val="bg-BG"/>
              </w:rPr>
              <w:t>4.1</w:t>
            </w:r>
            <w:r>
              <w:rPr>
                <w:rFonts w:ascii="Times New Roman" w:eastAsia="Times New Roman" w:hAnsi="Times New Roman"/>
                <w:color w:val="000000"/>
                <w:sz w:val="14"/>
                <w:szCs w:val="14"/>
                <w:lang w:val="bg-BG"/>
              </w:rPr>
              <w:t xml:space="preserve">          </w:t>
            </w:r>
            <w:r>
              <w:rPr>
                <w:rFonts w:ascii="Verdana" w:eastAsia="Times New Roman" w:hAnsi="Verdana" w:cs="Calibri"/>
                <w:color w:val="000000"/>
                <w:sz w:val="16"/>
                <w:szCs w:val="16"/>
                <w:lang w:val="bg-BG"/>
              </w:rPr>
              <w:t>Липса на знания и умения у бенефициентите за проектно управление и изпълнение.</w:t>
            </w:r>
          </w:p>
        </w:tc>
        <w:tc>
          <w:tcPr>
            <w:tcW w:w="852" w:type="dxa"/>
            <w:tcBorders>
              <w:top w:val="single" w:sz="4" w:space="0" w:color="auto"/>
              <w:left w:val="single" w:sz="4" w:space="0" w:color="auto"/>
              <w:bottom w:val="single" w:sz="4" w:space="0" w:color="auto"/>
              <w:right w:val="single" w:sz="4" w:space="0" w:color="auto"/>
            </w:tcBorders>
          </w:tcPr>
          <w:p w:rsidR="00A22EA5" w:rsidRDefault="00A22EA5" w:rsidP="00E054C6">
            <w:pPr>
              <w:spacing w:after="0" w:line="240" w:lineRule="auto"/>
              <w:rPr>
                <w:rFonts w:ascii="Verdana" w:eastAsia="Times New Roman" w:hAnsi="Verdana" w:cs="Calibri"/>
                <w:color w:val="000000"/>
                <w:sz w:val="16"/>
                <w:szCs w:val="16"/>
                <w:lang w:val="bg-BG"/>
              </w:rPr>
            </w:pPr>
            <w:r>
              <w:rPr>
                <w:rFonts w:ascii="Verdana" w:eastAsia="Times New Roman" w:hAnsi="Verdana" w:cs="Calibri"/>
                <w:color w:val="000000"/>
                <w:sz w:val="16"/>
                <w:szCs w:val="16"/>
                <w:lang w:val="bg-BG"/>
              </w:rPr>
              <w:t>3</w:t>
            </w:r>
          </w:p>
        </w:tc>
        <w:tc>
          <w:tcPr>
            <w:tcW w:w="851" w:type="dxa"/>
            <w:tcBorders>
              <w:top w:val="single" w:sz="4" w:space="0" w:color="auto"/>
              <w:left w:val="single" w:sz="4" w:space="0" w:color="auto"/>
              <w:bottom w:val="single" w:sz="4" w:space="0" w:color="auto"/>
              <w:right w:val="single" w:sz="4" w:space="0" w:color="auto"/>
            </w:tcBorders>
          </w:tcPr>
          <w:p w:rsidR="00A22EA5" w:rsidRDefault="00A22EA5" w:rsidP="00E054C6">
            <w:pPr>
              <w:spacing w:after="0" w:line="240" w:lineRule="auto"/>
              <w:rPr>
                <w:rFonts w:ascii="Verdana" w:eastAsia="Times New Roman" w:hAnsi="Verdana" w:cs="Calibri"/>
                <w:color w:val="000000"/>
                <w:sz w:val="16"/>
                <w:szCs w:val="16"/>
                <w:lang w:val="bg-BG"/>
              </w:rPr>
            </w:pPr>
            <w:r>
              <w:rPr>
                <w:rFonts w:ascii="Verdana" w:eastAsia="Times New Roman" w:hAnsi="Verdana" w:cs="Calibri"/>
                <w:color w:val="000000"/>
                <w:sz w:val="16"/>
                <w:szCs w:val="16"/>
                <w:lang w:val="bg-BG"/>
              </w:rPr>
              <w:t>5</w:t>
            </w:r>
          </w:p>
        </w:tc>
        <w:tc>
          <w:tcPr>
            <w:tcW w:w="940" w:type="dxa"/>
            <w:tcBorders>
              <w:top w:val="single" w:sz="4" w:space="0" w:color="auto"/>
              <w:left w:val="single" w:sz="4" w:space="0" w:color="auto"/>
              <w:bottom w:val="single" w:sz="4" w:space="0" w:color="auto"/>
              <w:right w:val="single" w:sz="4" w:space="0" w:color="auto"/>
            </w:tcBorders>
          </w:tcPr>
          <w:p w:rsidR="00A22EA5" w:rsidRDefault="00A22EA5" w:rsidP="00E054C6">
            <w:pPr>
              <w:spacing w:after="0" w:line="240" w:lineRule="auto"/>
              <w:rPr>
                <w:rFonts w:ascii="Verdana" w:eastAsia="Times New Roman" w:hAnsi="Verdana" w:cs="Calibri"/>
                <w:color w:val="000000"/>
                <w:sz w:val="16"/>
                <w:szCs w:val="16"/>
                <w:lang w:val="bg-BG"/>
              </w:rPr>
            </w:pPr>
            <w:r>
              <w:rPr>
                <w:rFonts w:ascii="Verdana" w:eastAsia="Times New Roman" w:hAnsi="Verdana" w:cs="Calibri"/>
                <w:color w:val="000000"/>
                <w:sz w:val="16"/>
                <w:szCs w:val="16"/>
                <w:lang w:val="bg-BG"/>
              </w:rPr>
              <w:t>15</w:t>
            </w:r>
          </w:p>
        </w:tc>
        <w:tc>
          <w:tcPr>
            <w:tcW w:w="3742" w:type="dxa"/>
            <w:tcBorders>
              <w:top w:val="single" w:sz="4" w:space="0" w:color="auto"/>
              <w:left w:val="single" w:sz="4" w:space="0" w:color="auto"/>
              <w:bottom w:val="single" w:sz="4" w:space="0" w:color="auto"/>
              <w:right w:val="single" w:sz="4" w:space="0" w:color="auto"/>
            </w:tcBorders>
          </w:tcPr>
          <w:p w:rsidR="00A22EA5" w:rsidRDefault="00A22EA5" w:rsidP="006861B0">
            <w:pPr>
              <w:pStyle w:val="ListParagraph"/>
              <w:numPr>
                <w:ilvl w:val="0"/>
                <w:numId w:val="84"/>
              </w:numPr>
              <w:spacing w:after="0" w:line="240" w:lineRule="auto"/>
              <w:ind w:left="170" w:hanging="170"/>
              <w:rPr>
                <w:rFonts w:ascii="Verdana" w:eastAsia="Times New Roman" w:hAnsi="Verdana" w:cs="Calibri"/>
                <w:color w:val="000000"/>
                <w:sz w:val="16"/>
                <w:szCs w:val="16"/>
                <w:lang w:val="bg-BG"/>
              </w:rPr>
            </w:pPr>
            <w:r>
              <w:rPr>
                <w:rFonts w:ascii="Verdana" w:eastAsia="Times New Roman" w:hAnsi="Verdana" w:cs="Calibri"/>
                <w:color w:val="000000"/>
                <w:sz w:val="16"/>
                <w:szCs w:val="16"/>
                <w:lang w:val="bg-BG"/>
              </w:rPr>
              <w:t>Организиране на обучения;</w:t>
            </w:r>
          </w:p>
          <w:p w:rsidR="00A22EA5" w:rsidRDefault="00A22EA5" w:rsidP="006861B0">
            <w:pPr>
              <w:pStyle w:val="ListParagraph"/>
              <w:numPr>
                <w:ilvl w:val="0"/>
                <w:numId w:val="84"/>
              </w:numPr>
              <w:spacing w:after="0" w:line="240" w:lineRule="auto"/>
              <w:ind w:left="170" w:hanging="170"/>
              <w:rPr>
                <w:rFonts w:ascii="Verdana" w:eastAsia="Times New Roman" w:hAnsi="Verdana" w:cs="Calibri"/>
                <w:color w:val="000000"/>
                <w:sz w:val="16"/>
                <w:szCs w:val="16"/>
                <w:lang w:val="bg-BG"/>
              </w:rPr>
            </w:pPr>
            <w:r>
              <w:rPr>
                <w:rFonts w:ascii="Verdana" w:eastAsia="Times New Roman" w:hAnsi="Verdana" w:cs="Calibri"/>
                <w:color w:val="000000"/>
                <w:sz w:val="16"/>
                <w:szCs w:val="16"/>
                <w:lang w:val="bg-BG"/>
              </w:rPr>
              <w:t>Предприемане на мерки за понижаване на административната тежест;</w:t>
            </w:r>
          </w:p>
          <w:p w:rsidR="00A22EA5" w:rsidRDefault="00A22EA5" w:rsidP="006861B0">
            <w:pPr>
              <w:pStyle w:val="ListParagraph"/>
              <w:numPr>
                <w:ilvl w:val="0"/>
                <w:numId w:val="84"/>
              </w:numPr>
              <w:spacing w:after="0" w:line="240" w:lineRule="auto"/>
              <w:ind w:left="170" w:hanging="170"/>
              <w:rPr>
                <w:rFonts w:ascii="Verdana" w:eastAsia="Times New Roman" w:hAnsi="Verdana" w:cs="Calibri"/>
                <w:color w:val="000000"/>
                <w:sz w:val="16"/>
                <w:szCs w:val="16"/>
                <w:lang w:val="bg-BG"/>
              </w:rPr>
            </w:pPr>
            <w:r>
              <w:rPr>
                <w:rFonts w:ascii="Verdana" w:eastAsia="Times New Roman" w:hAnsi="Verdana" w:cs="Calibri"/>
                <w:color w:val="000000"/>
                <w:sz w:val="16"/>
                <w:szCs w:val="16"/>
                <w:lang w:val="bg-BG"/>
              </w:rPr>
              <w:t xml:space="preserve">Въвеждане на </w:t>
            </w:r>
            <w:proofErr w:type="spellStart"/>
            <w:r>
              <w:rPr>
                <w:rFonts w:ascii="Verdana" w:eastAsia="Times New Roman" w:hAnsi="Verdana" w:cs="Calibri"/>
                <w:color w:val="000000"/>
                <w:sz w:val="16"/>
                <w:szCs w:val="16"/>
                <w:lang w:val="bg-BG"/>
              </w:rPr>
              <w:t>Helpdesk</w:t>
            </w:r>
            <w:proofErr w:type="spellEnd"/>
            <w:r>
              <w:rPr>
                <w:rFonts w:ascii="Verdana" w:eastAsia="Times New Roman" w:hAnsi="Verdana" w:cs="Calibri"/>
                <w:color w:val="000000"/>
                <w:sz w:val="16"/>
                <w:szCs w:val="16"/>
                <w:lang w:val="bg-BG"/>
              </w:rPr>
              <w:t xml:space="preserve"> за бенефициенти в Наръчника за изпълнение на програмата, с ясно определени лица, отговорности  и срокове  за отговор на въпроси.</w:t>
            </w:r>
          </w:p>
        </w:tc>
      </w:tr>
      <w:tr w:rsidR="00A22EA5" w:rsidRPr="0073781E" w:rsidTr="00E054C6">
        <w:trPr>
          <w:trHeight w:val="870"/>
        </w:trPr>
        <w:tc>
          <w:tcPr>
            <w:tcW w:w="2990" w:type="dxa"/>
            <w:tcBorders>
              <w:top w:val="single" w:sz="4" w:space="0" w:color="auto"/>
              <w:left w:val="single" w:sz="4" w:space="0" w:color="auto"/>
              <w:bottom w:val="single" w:sz="4" w:space="0" w:color="auto"/>
              <w:right w:val="single" w:sz="4" w:space="0" w:color="auto"/>
            </w:tcBorders>
          </w:tcPr>
          <w:p w:rsidR="00A22EA5" w:rsidRDefault="00A22EA5" w:rsidP="00E054C6">
            <w:pPr>
              <w:spacing w:after="0" w:line="240" w:lineRule="auto"/>
              <w:rPr>
                <w:rFonts w:ascii="Verdana" w:eastAsia="Times New Roman" w:hAnsi="Verdana" w:cs="Calibri"/>
                <w:color w:val="000000"/>
                <w:sz w:val="16"/>
                <w:szCs w:val="16"/>
                <w:lang w:val="bg-BG"/>
              </w:rPr>
            </w:pPr>
            <w:r>
              <w:rPr>
                <w:rFonts w:ascii="Verdana" w:eastAsia="Times New Roman" w:hAnsi="Verdana" w:cs="Calibri"/>
                <w:color w:val="000000"/>
                <w:sz w:val="16"/>
                <w:szCs w:val="16"/>
                <w:lang w:val="bg-BG"/>
              </w:rPr>
              <w:t>4.2</w:t>
            </w:r>
            <w:r>
              <w:rPr>
                <w:rFonts w:ascii="Times New Roman" w:eastAsia="Times New Roman" w:hAnsi="Times New Roman"/>
                <w:color w:val="000000"/>
                <w:sz w:val="14"/>
                <w:szCs w:val="14"/>
                <w:lang w:val="bg-BG"/>
              </w:rPr>
              <w:t xml:space="preserve">          </w:t>
            </w:r>
            <w:r>
              <w:rPr>
                <w:rFonts w:ascii="Verdana" w:eastAsia="Times New Roman" w:hAnsi="Verdana" w:cs="Calibri"/>
                <w:color w:val="000000"/>
                <w:sz w:val="16"/>
                <w:szCs w:val="16"/>
                <w:lang w:val="bg-BG"/>
              </w:rPr>
              <w:t>Прекалено тежки и тромави правила за изпълнение на проектите.</w:t>
            </w:r>
          </w:p>
        </w:tc>
        <w:tc>
          <w:tcPr>
            <w:tcW w:w="852" w:type="dxa"/>
            <w:tcBorders>
              <w:top w:val="single" w:sz="4" w:space="0" w:color="auto"/>
              <w:left w:val="single" w:sz="4" w:space="0" w:color="auto"/>
              <w:bottom w:val="single" w:sz="4" w:space="0" w:color="auto"/>
              <w:right w:val="single" w:sz="4" w:space="0" w:color="auto"/>
            </w:tcBorders>
          </w:tcPr>
          <w:p w:rsidR="00A22EA5" w:rsidRDefault="00A22EA5" w:rsidP="00E054C6">
            <w:pPr>
              <w:spacing w:after="0" w:line="240" w:lineRule="auto"/>
              <w:rPr>
                <w:rFonts w:ascii="Verdana" w:eastAsia="Times New Roman" w:hAnsi="Verdana" w:cs="Calibri"/>
                <w:color w:val="000000"/>
                <w:sz w:val="16"/>
                <w:szCs w:val="16"/>
                <w:lang w:val="bg-BG"/>
              </w:rPr>
            </w:pPr>
            <w:r>
              <w:rPr>
                <w:rFonts w:ascii="Verdana" w:eastAsia="Times New Roman" w:hAnsi="Verdana" w:cs="Calibri"/>
                <w:color w:val="000000"/>
                <w:sz w:val="16"/>
                <w:szCs w:val="16"/>
                <w:lang w:val="bg-BG"/>
              </w:rPr>
              <w:t>3</w:t>
            </w:r>
          </w:p>
        </w:tc>
        <w:tc>
          <w:tcPr>
            <w:tcW w:w="851" w:type="dxa"/>
            <w:tcBorders>
              <w:top w:val="single" w:sz="4" w:space="0" w:color="auto"/>
              <w:left w:val="single" w:sz="4" w:space="0" w:color="auto"/>
              <w:bottom w:val="single" w:sz="4" w:space="0" w:color="auto"/>
              <w:right w:val="single" w:sz="4" w:space="0" w:color="auto"/>
            </w:tcBorders>
          </w:tcPr>
          <w:p w:rsidR="00A22EA5" w:rsidRDefault="00A22EA5" w:rsidP="00E054C6">
            <w:pPr>
              <w:spacing w:after="0" w:line="240" w:lineRule="auto"/>
              <w:rPr>
                <w:rFonts w:ascii="Verdana" w:eastAsia="Times New Roman" w:hAnsi="Verdana" w:cs="Calibri"/>
                <w:color w:val="000000"/>
                <w:sz w:val="16"/>
                <w:szCs w:val="16"/>
                <w:lang w:val="bg-BG"/>
              </w:rPr>
            </w:pPr>
            <w:r>
              <w:rPr>
                <w:rFonts w:ascii="Verdana" w:eastAsia="Times New Roman" w:hAnsi="Verdana" w:cs="Calibri"/>
                <w:color w:val="000000"/>
                <w:sz w:val="16"/>
                <w:szCs w:val="16"/>
                <w:lang w:val="bg-BG"/>
              </w:rPr>
              <w:t>5</w:t>
            </w:r>
          </w:p>
        </w:tc>
        <w:tc>
          <w:tcPr>
            <w:tcW w:w="940" w:type="dxa"/>
            <w:tcBorders>
              <w:top w:val="single" w:sz="4" w:space="0" w:color="auto"/>
              <w:left w:val="single" w:sz="4" w:space="0" w:color="auto"/>
              <w:bottom w:val="single" w:sz="4" w:space="0" w:color="auto"/>
              <w:right w:val="single" w:sz="4" w:space="0" w:color="auto"/>
            </w:tcBorders>
          </w:tcPr>
          <w:p w:rsidR="00A22EA5" w:rsidRDefault="00A22EA5" w:rsidP="00E054C6">
            <w:pPr>
              <w:spacing w:after="0" w:line="240" w:lineRule="auto"/>
              <w:rPr>
                <w:rFonts w:ascii="Verdana" w:eastAsia="Times New Roman" w:hAnsi="Verdana" w:cs="Calibri"/>
                <w:color w:val="000000"/>
                <w:sz w:val="16"/>
                <w:szCs w:val="16"/>
                <w:lang w:val="bg-BG"/>
              </w:rPr>
            </w:pPr>
            <w:r>
              <w:rPr>
                <w:rFonts w:ascii="Verdana" w:eastAsia="Times New Roman" w:hAnsi="Verdana" w:cs="Calibri"/>
                <w:color w:val="000000"/>
                <w:sz w:val="16"/>
                <w:szCs w:val="16"/>
                <w:lang w:val="bg-BG"/>
              </w:rPr>
              <w:t>15</w:t>
            </w:r>
          </w:p>
        </w:tc>
        <w:tc>
          <w:tcPr>
            <w:tcW w:w="3742" w:type="dxa"/>
            <w:tcBorders>
              <w:top w:val="single" w:sz="4" w:space="0" w:color="auto"/>
              <w:left w:val="single" w:sz="4" w:space="0" w:color="auto"/>
              <w:bottom w:val="single" w:sz="4" w:space="0" w:color="auto"/>
              <w:right w:val="single" w:sz="4" w:space="0" w:color="auto"/>
            </w:tcBorders>
          </w:tcPr>
          <w:p w:rsidR="00A22EA5" w:rsidRDefault="00A22EA5" w:rsidP="006861B0">
            <w:pPr>
              <w:pStyle w:val="ListParagraph"/>
              <w:numPr>
                <w:ilvl w:val="0"/>
                <w:numId w:val="84"/>
              </w:numPr>
              <w:spacing w:after="0" w:line="240" w:lineRule="auto"/>
              <w:ind w:left="170" w:hanging="170"/>
              <w:rPr>
                <w:rFonts w:ascii="Verdana" w:eastAsia="Times New Roman" w:hAnsi="Verdana" w:cs="Calibri"/>
                <w:color w:val="000000"/>
                <w:sz w:val="16"/>
                <w:szCs w:val="16"/>
                <w:lang w:val="bg-BG"/>
              </w:rPr>
            </w:pPr>
            <w:r>
              <w:rPr>
                <w:rFonts w:ascii="Verdana" w:eastAsia="Times New Roman" w:hAnsi="Verdana" w:cs="Calibri"/>
                <w:color w:val="000000"/>
                <w:sz w:val="16"/>
                <w:szCs w:val="16"/>
                <w:lang w:val="bg-BG"/>
              </w:rPr>
              <w:t>Опростяване на правилата за изпълнение;</w:t>
            </w:r>
          </w:p>
          <w:p w:rsidR="00A22EA5" w:rsidRDefault="00A22EA5" w:rsidP="006861B0">
            <w:pPr>
              <w:pStyle w:val="ListParagraph"/>
              <w:numPr>
                <w:ilvl w:val="0"/>
                <w:numId w:val="84"/>
              </w:numPr>
              <w:spacing w:after="0" w:line="240" w:lineRule="auto"/>
              <w:ind w:left="170" w:hanging="170"/>
              <w:rPr>
                <w:rFonts w:ascii="Verdana" w:eastAsia="Times New Roman" w:hAnsi="Verdana" w:cs="Calibri"/>
                <w:color w:val="000000"/>
                <w:sz w:val="16"/>
                <w:szCs w:val="16"/>
                <w:lang w:val="bg-BG"/>
              </w:rPr>
            </w:pPr>
            <w:r>
              <w:rPr>
                <w:rFonts w:ascii="Verdana" w:eastAsia="Times New Roman" w:hAnsi="Verdana" w:cs="Calibri"/>
                <w:color w:val="000000"/>
                <w:sz w:val="16"/>
                <w:szCs w:val="16"/>
                <w:lang w:val="bg-BG"/>
              </w:rPr>
              <w:t>Организиране на обучения за бенефициентите за изпълнение на проекти;</w:t>
            </w:r>
          </w:p>
          <w:p w:rsidR="00A22EA5" w:rsidRDefault="00A22EA5" w:rsidP="006861B0">
            <w:pPr>
              <w:pStyle w:val="ListParagraph"/>
              <w:numPr>
                <w:ilvl w:val="0"/>
                <w:numId w:val="84"/>
              </w:numPr>
              <w:spacing w:after="0" w:line="240" w:lineRule="auto"/>
              <w:ind w:left="170" w:hanging="170"/>
              <w:rPr>
                <w:rFonts w:ascii="Verdana" w:eastAsia="Times New Roman" w:hAnsi="Verdana" w:cs="Calibri"/>
                <w:color w:val="000000"/>
                <w:sz w:val="16"/>
                <w:szCs w:val="16"/>
                <w:lang w:val="bg-BG"/>
              </w:rPr>
            </w:pPr>
            <w:r>
              <w:rPr>
                <w:rFonts w:ascii="Verdana" w:eastAsia="Times New Roman" w:hAnsi="Verdana" w:cs="Calibri"/>
                <w:color w:val="000000"/>
                <w:sz w:val="16"/>
                <w:szCs w:val="16"/>
                <w:lang w:val="bg-BG"/>
              </w:rPr>
              <w:t>Опростяване на правилата на отчитане и верифициране на разходите.</w:t>
            </w:r>
          </w:p>
        </w:tc>
      </w:tr>
      <w:tr w:rsidR="00A22EA5" w:rsidRPr="0073781E" w:rsidTr="00E054C6">
        <w:trPr>
          <w:trHeight w:val="870"/>
        </w:trPr>
        <w:tc>
          <w:tcPr>
            <w:tcW w:w="2990" w:type="dxa"/>
            <w:tcBorders>
              <w:top w:val="single" w:sz="4" w:space="0" w:color="auto"/>
              <w:left w:val="single" w:sz="4" w:space="0" w:color="auto"/>
              <w:bottom w:val="single" w:sz="4" w:space="0" w:color="auto"/>
              <w:right w:val="single" w:sz="4" w:space="0" w:color="auto"/>
            </w:tcBorders>
          </w:tcPr>
          <w:p w:rsidR="00A22EA5" w:rsidRPr="007C311A" w:rsidRDefault="00A22EA5" w:rsidP="006861B0">
            <w:pPr>
              <w:pStyle w:val="ListParagraph"/>
              <w:numPr>
                <w:ilvl w:val="1"/>
                <w:numId w:val="86"/>
              </w:numPr>
              <w:spacing w:before="60" w:after="60" w:line="240" w:lineRule="auto"/>
              <w:jc w:val="both"/>
              <w:rPr>
                <w:rFonts w:ascii="Verdana" w:eastAsia="Malgun Gothic" w:hAnsi="Verdana"/>
                <w:bCs/>
                <w:color w:val="000000"/>
                <w:sz w:val="16"/>
                <w:szCs w:val="16"/>
                <w:lang w:val="bg-BG" w:eastAsia="ko-KR"/>
              </w:rPr>
            </w:pPr>
            <w:r w:rsidRPr="007C311A">
              <w:rPr>
                <w:rFonts w:ascii="Verdana" w:eastAsia="Malgun Gothic" w:hAnsi="Verdana"/>
                <w:bCs/>
                <w:color w:val="000000"/>
                <w:sz w:val="16"/>
                <w:szCs w:val="16"/>
                <w:lang w:val="bg-BG" w:eastAsia="ko-KR"/>
              </w:rPr>
              <w:t xml:space="preserve">Непознаване/ нарушаване на правилата и процедурите за избор на изпълнители </w:t>
            </w:r>
          </w:p>
        </w:tc>
        <w:tc>
          <w:tcPr>
            <w:tcW w:w="852" w:type="dxa"/>
            <w:tcBorders>
              <w:top w:val="single" w:sz="4" w:space="0" w:color="auto"/>
              <w:left w:val="single" w:sz="4" w:space="0" w:color="auto"/>
              <w:bottom w:val="single" w:sz="4" w:space="0" w:color="auto"/>
              <w:right w:val="single" w:sz="4" w:space="0" w:color="auto"/>
            </w:tcBorders>
          </w:tcPr>
          <w:p w:rsidR="00A22EA5" w:rsidRPr="007C311A" w:rsidRDefault="00A22EA5" w:rsidP="00E054C6">
            <w:pPr>
              <w:pStyle w:val="ListParagraph"/>
              <w:spacing w:before="60" w:after="60"/>
              <w:ind w:left="0"/>
              <w:jc w:val="both"/>
              <w:rPr>
                <w:rFonts w:ascii="Verdana" w:eastAsia="Malgun Gothic" w:hAnsi="Verdana"/>
                <w:bCs/>
                <w:color w:val="000000"/>
                <w:sz w:val="16"/>
                <w:szCs w:val="16"/>
                <w:lang w:val="bg-BG" w:eastAsia="ko-KR"/>
              </w:rPr>
            </w:pPr>
            <w:r>
              <w:rPr>
                <w:rFonts w:ascii="Verdana" w:eastAsia="Malgun Gothic" w:hAnsi="Verdana"/>
                <w:bCs/>
                <w:color w:val="000000"/>
                <w:sz w:val="16"/>
                <w:szCs w:val="16"/>
                <w:lang w:val="bg-BG" w:eastAsia="ko-KR"/>
              </w:rPr>
              <w:t>3</w:t>
            </w:r>
          </w:p>
        </w:tc>
        <w:tc>
          <w:tcPr>
            <w:tcW w:w="851" w:type="dxa"/>
            <w:tcBorders>
              <w:top w:val="single" w:sz="4" w:space="0" w:color="auto"/>
              <w:left w:val="single" w:sz="4" w:space="0" w:color="auto"/>
              <w:bottom w:val="single" w:sz="4" w:space="0" w:color="auto"/>
              <w:right w:val="single" w:sz="4" w:space="0" w:color="auto"/>
            </w:tcBorders>
          </w:tcPr>
          <w:p w:rsidR="00A22EA5" w:rsidRPr="007C311A" w:rsidRDefault="00A22EA5" w:rsidP="00E054C6">
            <w:pPr>
              <w:pStyle w:val="ListParagraph"/>
              <w:spacing w:before="60" w:after="60"/>
              <w:ind w:left="0"/>
              <w:jc w:val="both"/>
              <w:rPr>
                <w:rFonts w:ascii="Verdana" w:eastAsia="Malgun Gothic" w:hAnsi="Verdana"/>
                <w:bCs/>
                <w:color w:val="000000"/>
                <w:sz w:val="16"/>
                <w:szCs w:val="16"/>
                <w:lang w:val="bg-BG" w:eastAsia="ko-KR"/>
              </w:rPr>
            </w:pPr>
            <w:r>
              <w:rPr>
                <w:rFonts w:ascii="Verdana" w:eastAsia="Malgun Gothic" w:hAnsi="Verdana"/>
                <w:bCs/>
                <w:color w:val="000000"/>
                <w:sz w:val="16"/>
                <w:szCs w:val="16"/>
                <w:lang w:val="bg-BG" w:eastAsia="ko-KR"/>
              </w:rPr>
              <w:t>5</w:t>
            </w:r>
          </w:p>
        </w:tc>
        <w:tc>
          <w:tcPr>
            <w:tcW w:w="940" w:type="dxa"/>
            <w:tcBorders>
              <w:top w:val="single" w:sz="4" w:space="0" w:color="auto"/>
              <w:left w:val="single" w:sz="4" w:space="0" w:color="auto"/>
              <w:bottom w:val="single" w:sz="4" w:space="0" w:color="auto"/>
              <w:right w:val="single" w:sz="4" w:space="0" w:color="auto"/>
            </w:tcBorders>
          </w:tcPr>
          <w:p w:rsidR="00A22EA5" w:rsidRPr="007C311A" w:rsidRDefault="00A22EA5" w:rsidP="00E054C6">
            <w:pPr>
              <w:pStyle w:val="ListParagraph"/>
              <w:spacing w:before="60" w:after="60"/>
              <w:ind w:left="0"/>
              <w:jc w:val="both"/>
              <w:rPr>
                <w:rFonts w:ascii="Verdana" w:eastAsia="Malgun Gothic" w:hAnsi="Verdana"/>
                <w:bCs/>
                <w:color w:val="000000"/>
                <w:sz w:val="16"/>
                <w:szCs w:val="16"/>
                <w:lang w:val="bg-BG" w:eastAsia="ko-KR"/>
              </w:rPr>
            </w:pPr>
            <w:r>
              <w:rPr>
                <w:rFonts w:ascii="Verdana" w:eastAsia="Malgun Gothic" w:hAnsi="Verdana"/>
                <w:bCs/>
                <w:color w:val="000000"/>
                <w:sz w:val="16"/>
                <w:szCs w:val="16"/>
                <w:lang w:val="bg-BG" w:eastAsia="ko-KR"/>
              </w:rPr>
              <w:t>15</w:t>
            </w:r>
          </w:p>
        </w:tc>
        <w:tc>
          <w:tcPr>
            <w:tcW w:w="3742" w:type="dxa"/>
            <w:tcBorders>
              <w:top w:val="single" w:sz="4" w:space="0" w:color="auto"/>
              <w:left w:val="single" w:sz="4" w:space="0" w:color="auto"/>
              <w:bottom w:val="single" w:sz="4" w:space="0" w:color="auto"/>
              <w:right w:val="single" w:sz="4" w:space="0" w:color="auto"/>
            </w:tcBorders>
          </w:tcPr>
          <w:p w:rsidR="00A22EA5" w:rsidRDefault="00A22EA5" w:rsidP="006861B0">
            <w:pPr>
              <w:pStyle w:val="ListParagraph"/>
              <w:numPr>
                <w:ilvl w:val="0"/>
                <w:numId w:val="84"/>
              </w:numPr>
              <w:spacing w:after="0" w:line="240" w:lineRule="auto"/>
              <w:ind w:left="170" w:hanging="170"/>
              <w:rPr>
                <w:rFonts w:ascii="Verdana" w:eastAsia="Times New Roman" w:hAnsi="Verdana" w:cs="Calibri"/>
                <w:color w:val="000000"/>
                <w:sz w:val="16"/>
                <w:szCs w:val="16"/>
                <w:lang w:val="bg-BG"/>
              </w:rPr>
            </w:pPr>
            <w:r>
              <w:rPr>
                <w:rFonts w:ascii="Verdana" w:eastAsia="Times New Roman" w:hAnsi="Verdana" w:cs="Calibri"/>
                <w:color w:val="000000"/>
                <w:sz w:val="16"/>
                <w:szCs w:val="16"/>
                <w:lang w:val="bg-BG"/>
              </w:rPr>
              <w:t>Опростяване на правилата за изпълнение;</w:t>
            </w:r>
          </w:p>
          <w:p w:rsidR="00A22EA5" w:rsidRDefault="00A22EA5" w:rsidP="006861B0">
            <w:pPr>
              <w:pStyle w:val="ListParagraph"/>
              <w:numPr>
                <w:ilvl w:val="0"/>
                <w:numId w:val="84"/>
              </w:numPr>
              <w:spacing w:after="0" w:line="240" w:lineRule="auto"/>
              <w:ind w:left="170" w:hanging="170"/>
              <w:rPr>
                <w:rFonts w:ascii="Verdana" w:eastAsia="Times New Roman" w:hAnsi="Verdana" w:cs="Calibri"/>
                <w:color w:val="000000"/>
                <w:sz w:val="16"/>
                <w:szCs w:val="16"/>
                <w:lang w:val="bg-BG"/>
              </w:rPr>
            </w:pPr>
            <w:r>
              <w:rPr>
                <w:rFonts w:ascii="Verdana" w:eastAsia="Times New Roman" w:hAnsi="Verdana" w:cs="Calibri"/>
                <w:color w:val="000000"/>
                <w:sz w:val="16"/>
                <w:szCs w:val="16"/>
                <w:lang w:val="bg-BG"/>
              </w:rPr>
              <w:t>Организиране на обучения за бенефициентите;</w:t>
            </w:r>
          </w:p>
          <w:p w:rsidR="00A22EA5" w:rsidRDefault="00A22EA5" w:rsidP="006861B0">
            <w:pPr>
              <w:pStyle w:val="ListParagraph"/>
              <w:numPr>
                <w:ilvl w:val="0"/>
                <w:numId w:val="84"/>
              </w:numPr>
              <w:spacing w:after="0" w:line="240" w:lineRule="auto"/>
              <w:ind w:left="170" w:hanging="170"/>
              <w:rPr>
                <w:rFonts w:ascii="Verdana" w:eastAsia="Times New Roman" w:hAnsi="Verdana" w:cs="Calibri"/>
                <w:color w:val="000000"/>
                <w:sz w:val="16"/>
                <w:szCs w:val="16"/>
                <w:lang w:val="bg-BG"/>
              </w:rPr>
            </w:pPr>
            <w:r>
              <w:rPr>
                <w:rFonts w:ascii="Verdana" w:eastAsia="Times New Roman" w:hAnsi="Verdana" w:cs="Calibri"/>
                <w:color w:val="000000"/>
                <w:sz w:val="16"/>
                <w:szCs w:val="16"/>
                <w:lang w:val="bg-BG"/>
              </w:rPr>
              <w:t>Повишаване на праговете за провеждане на тръжни процедури</w:t>
            </w:r>
          </w:p>
        </w:tc>
      </w:tr>
      <w:tr w:rsidR="00A22EA5" w:rsidRPr="0073781E" w:rsidTr="00E054C6">
        <w:trPr>
          <w:trHeight w:val="870"/>
        </w:trPr>
        <w:tc>
          <w:tcPr>
            <w:tcW w:w="2990" w:type="dxa"/>
            <w:tcBorders>
              <w:top w:val="single" w:sz="4" w:space="0" w:color="auto"/>
              <w:left w:val="single" w:sz="4" w:space="0" w:color="auto"/>
              <w:bottom w:val="single" w:sz="4" w:space="0" w:color="auto"/>
              <w:right w:val="single" w:sz="4" w:space="0" w:color="auto"/>
            </w:tcBorders>
          </w:tcPr>
          <w:p w:rsidR="00A22EA5" w:rsidRDefault="00A22EA5" w:rsidP="00E054C6">
            <w:pPr>
              <w:spacing w:after="0" w:line="240" w:lineRule="auto"/>
              <w:rPr>
                <w:rFonts w:ascii="Verdana" w:eastAsia="Times New Roman" w:hAnsi="Verdana" w:cs="Calibri"/>
                <w:color w:val="000000"/>
                <w:sz w:val="16"/>
                <w:szCs w:val="16"/>
                <w:lang w:val="bg-BG"/>
              </w:rPr>
            </w:pPr>
            <w:r>
              <w:rPr>
                <w:rFonts w:ascii="Verdana" w:eastAsia="Times New Roman" w:hAnsi="Verdana" w:cs="Calibri"/>
                <w:color w:val="000000"/>
                <w:sz w:val="16"/>
                <w:szCs w:val="16"/>
                <w:lang w:val="bg-BG"/>
              </w:rPr>
              <w:t>4.4</w:t>
            </w:r>
            <w:r>
              <w:rPr>
                <w:rFonts w:ascii="Times New Roman" w:eastAsia="Times New Roman" w:hAnsi="Times New Roman"/>
                <w:color w:val="000000"/>
                <w:sz w:val="14"/>
                <w:szCs w:val="14"/>
                <w:lang w:val="bg-BG"/>
              </w:rPr>
              <w:t xml:space="preserve">          </w:t>
            </w:r>
            <w:r>
              <w:rPr>
                <w:rFonts w:ascii="Verdana" w:eastAsia="Times New Roman" w:hAnsi="Verdana" w:cs="Calibri"/>
                <w:color w:val="000000"/>
                <w:sz w:val="16"/>
                <w:szCs w:val="16"/>
                <w:lang w:val="bg-BG"/>
              </w:rPr>
              <w:t>Забавяне в процеса на изпълнение на проектите.</w:t>
            </w:r>
          </w:p>
        </w:tc>
        <w:tc>
          <w:tcPr>
            <w:tcW w:w="852" w:type="dxa"/>
            <w:tcBorders>
              <w:top w:val="single" w:sz="4" w:space="0" w:color="auto"/>
              <w:left w:val="single" w:sz="4" w:space="0" w:color="auto"/>
              <w:bottom w:val="single" w:sz="4" w:space="0" w:color="auto"/>
              <w:right w:val="single" w:sz="4" w:space="0" w:color="auto"/>
            </w:tcBorders>
          </w:tcPr>
          <w:p w:rsidR="00A22EA5" w:rsidRDefault="00A22EA5" w:rsidP="00E054C6">
            <w:pPr>
              <w:spacing w:after="0" w:line="240" w:lineRule="auto"/>
              <w:rPr>
                <w:rFonts w:ascii="Verdana" w:eastAsia="Times New Roman" w:hAnsi="Verdana" w:cs="Calibri"/>
                <w:color w:val="000000"/>
                <w:sz w:val="16"/>
                <w:szCs w:val="16"/>
                <w:lang w:val="bg-BG"/>
              </w:rPr>
            </w:pPr>
            <w:r>
              <w:rPr>
                <w:rFonts w:ascii="Verdana" w:eastAsia="Times New Roman" w:hAnsi="Verdana" w:cs="Calibri"/>
                <w:color w:val="000000"/>
                <w:sz w:val="16"/>
                <w:szCs w:val="16"/>
                <w:lang w:val="bg-BG"/>
              </w:rPr>
              <w:t>3</w:t>
            </w:r>
          </w:p>
        </w:tc>
        <w:tc>
          <w:tcPr>
            <w:tcW w:w="851" w:type="dxa"/>
            <w:tcBorders>
              <w:top w:val="single" w:sz="4" w:space="0" w:color="auto"/>
              <w:left w:val="single" w:sz="4" w:space="0" w:color="auto"/>
              <w:bottom w:val="single" w:sz="4" w:space="0" w:color="auto"/>
              <w:right w:val="single" w:sz="4" w:space="0" w:color="auto"/>
            </w:tcBorders>
          </w:tcPr>
          <w:p w:rsidR="00A22EA5" w:rsidRDefault="00A22EA5" w:rsidP="00E054C6">
            <w:pPr>
              <w:spacing w:after="0" w:line="240" w:lineRule="auto"/>
              <w:rPr>
                <w:rFonts w:ascii="Verdana" w:eastAsia="Times New Roman" w:hAnsi="Verdana" w:cs="Calibri"/>
                <w:color w:val="000000"/>
                <w:sz w:val="16"/>
                <w:szCs w:val="16"/>
                <w:lang w:val="bg-BG"/>
              </w:rPr>
            </w:pPr>
            <w:r>
              <w:rPr>
                <w:rFonts w:ascii="Verdana" w:eastAsia="Times New Roman" w:hAnsi="Verdana" w:cs="Calibri"/>
                <w:color w:val="000000"/>
                <w:sz w:val="16"/>
                <w:szCs w:val="16"/>
                <w:lang w:val="bg-BG"/>
              </w:rPr>
              <w:t>5</w:t>
            </w:r>
          </w:p>
        </w:tc>
        <w:tc>
          <w:tcPr>
            <w:tcW w:w="940" w:type="dxa"/>
            <w:tcBorders>
              <w:top w:val="single" w:sz="4" w:space="0" w:color="auto"/>
              <w:left w:val="single" w:sz="4" w:space="0" w:color="auto"/>
              <w:bottom w:val="single" w:sz="4" w:space="0" w:color="auto"/>
              <w:right w:val="single" w:sz="4" w:space="0" w:color="auto"/>
            </w:tcBorders>
          </w:tcPr>
          <w:p w:rsidR="00A22EA5" w:rsidRDefault="00A22EA5" w:rsidP="00E054C6">
            <w:pPr>
              <w:spacing w:after="0" w:line="240" w:lineRule="auto"/>
              <w:rPr>
                <w:rFonts w:ascii="Verdana" w:eastAsia="Times New Roman" w:hAnsi="Verdana" w:cs="Calibri"/>
                <w:color w:val="000000"/>
                <w:sz w:val="16"/>
                <w:szCs w:val="16"/>
                <w:lang w:val="bg-BG"/>
              </w:rPr>
            </w:pPr>
            <w:r>
              <w:rPr>
                <w:rFonts w:ascii="Verdana" w:eastAsia="Times New Roman" w:hAnsi="Verdana" w:cs="Calibri"/>
                <w:color w:val="000000"/>
                <w:sz w:val="16"/>
                <w:szCs w:val="16"/>
                <w:lang w:val="bg-BG"/>
              </w:rPr>
              <w:t>20</w:t>
            </w:r>
          </w:p>
        </w:tc>
        <w:tc>
          <w:tcPr>
            <w:tcW w:w="3742" w:type="dxa"/>
            <w:tcBorders>
              <w:top w:val="single" w:sz="4" w:space="0" w:color="auto"/>
              <w:left w:val="single" w:sz="4" w:space="0" w:color="auto"/>
              <w:bottom w:val="single" w:sz="4" w:space="0" w:color="auto"/>
              <w:right w:val="single" w:sz="4" w:space="0" w:color="auto"/>
            </w:tcBorders>
          </w:tcPr>
          <w:p w:rsidR="00A22EA5" w:rsidRDefault="00A22EA5" w:rsidP="006861B0">
            <w:pPr>
              <w:pStyle w:val="ListParagraph"/>
              <w:numPr>
                <w:ilvl w:val="0"/>
                <w:numId w:val="84"/>
              </w:numPr>
              <w:spacing w:after="0" w:line="240" w:lineRule="auto"/>
              <w:ind w:left="170" w:hanging="170"/>
              <w:rPr>
                <w:rFonts w:ascii="Verdana" w:eastAsia="Times New Roman" w:hAnsi="Verdana" w:cs="Calibri"/>
                <w:color w:val="000000"/>
                <w:sz w:val="16"/>
                <w:szCs w:val="16"/>
                <w:lang w:val="bg-BG"/>
              </w:rPr>
            </w:pPr>
            <w:r>
              <w:rPr>
                <w:rFonts w:ascii="Verdana" w:eastAsia="Times New Roman" w:hAnsi="Verdana" w:cs="Calibri"/>
                <w:color w:val="000000"/>
                <w:sz w:val="16"/>
                <w:szCs w:val="16"/>
                <w:lang w:val="bg-BG"/>
              </w:rPr>
              <w:t>Опростяване на правилата за изпълнение на проекти;</w:t>
            </w:r>
          </w:p>
          <w:p w:rsidR="00A22EA5" w:rsidRDefault="00A22EA5" w:rsidP="006861B0">
            <w:pPr>
              <w:pStyle w:val="ListParagraph"/>
              <w:numPr>
                <w:ilvl w:val="0"/>
                <w:numId w:val="84"/>
              </w:numPr>
              <w:spacing w:after="0" w:line="240" w:lineRule="auto"/>
              <w:ind w:left="170" w:hanging="170"/>
              <w:rPr>
                <w:rFonts w:ascii="Verdana" w:eastAsia="Times New Roman" w:hAnsi="Verdana" w:cs="Calibri"/>
                <w:color w:val="000000"/>
                <w:sz w:val="16"/>
                <w:szCs w:val="16"/>
                <w:lang w:val="bg-BG"/>
              </w:rPr>
            </w:pPr>
            <w:r>
              <w:rPr>
                <w:rFonts w:ascii="Verdana" w:eastAsia="Times New Roman" w:hAnsi="Verdana" w:cs="Calibri"/>
                <w:color w:val="000000"/>
                <w:sz w:val="16"/>
                <w:szCs w:val="16"/>
                <w:lang w:val="bg-BG"/>
              </w:rPr>
              <w:t>Предприемане на мерки за понижаване на административната тежест;</w:t>
            </w:r>
          </w:p>
          <w:p w:rsidR="00A22EA5" w:rsidRDefault="00A22EA5" w:rsidP="006861B0">
            <w:pPr>
              <w:pStyle w:val="ListParagraph"/>
              <w:numPr>
                <w:ilvl w:val="0"/>
                <w:numId w:val="84"/>
              </w:numPr>
              <w:spacing w:after="0" w:line="240" w:lineRule="auto"/>
              <w:ind w:left="170" w:hanging="170"/>
              <w:rPr>
                <w:rFonts w:ascii="Verdana" w:eastAsia="Times New Roman" w:hAnsi="Verdana" w:cs="Calibri"/>
                <w:color w:val="000000"/>
                <w:sz w:val="16"/>
                <w:szCs w:val="16"/>
                <w:lang w:val="bg-BG"/>
              </w:rPr>
            </w:pPr>
            <w:r>
              <w:rPr>
                <w:rFonts w:ascii="Verdana" w:eastAsia="Times New Roman" w:hAnsi="Verdana" w:cs="Calibri"/>
                <w:color w:val="000000"/>
                <w:sz w:val="16"/>
                <w:szCs w:val="16"/>
                <w:lang w:val="bg-BG"/>
              </w:rPr>
              <w:t>Предприемане на мерки за повишаване на капацитета на бенефициентите.</w:t>
            </w:r>
          </w:p>
        </w:tc>
      </w:tr>
      <w:tr w:rsidR="00A22EA5" w:rsidRPr="0073781E" w:rsidTr="00E054C6">
        <w:trPr>
          <w:trHeight w:val="870"/>
        </w:trPr>
        <w:tc>
          <w:tcPr>
            <w:tcW w:w="2990" w:type="dxa"/>
            <w:tcBorders>
              <w:top w:val="single" w:sz="4" w:space="0" w:color="auto"/>
              <w:left w:val="single" w:sz="4" w:space="0" w:color="auto"/>
              <w:bottom w:val="single" w:sz="4" w:space="0" w:color="auto"/>
              <w:right w:val="single" w:sz="4" w:space="0" w:color="auto"/>
            </w:tcBorders>
          </w:tcPr>
          <w:p w:rsidR="00A22EA5" w:rsidRPr="007C311A" w:rsidRDefault="00A22EA5" w:rsidP="006861B0">
            <w:pPr>
              <w:pStyle w:val="ListParagraph"/>
              <w:numPr>
                <w:ilvl w:val="1"/>
                <w:numId w:val="87"/>
              </w:numPr>
              <w:spacing w:before="60" w:after="60" w:line="240" w:lineRule="auto"/>
              <w:jc w:val="both"/>
              <w:rPr>
                <w:rFonts w:ascii="Verdana" w:eastAsia="Malgun Gothic" w:hAnsi="Verdana"/>
                <w:bCs/>
                <w:color w:val="000000"/>
                <w:sz w:val="16"/>
                <w:szCs w:val="16"/>
                <w:lang w:val="bg-BG" w:eastAsia="ko-KR"/>
              </w:rPr>
            </w:pPr>
            <w:r w:rsidRPr="007C311A">
              <w:rPr>
                <w:rFonts w:ascii="Verdana" w:eastAsia="Malgun Gothic" w:hAnsi="Verdana"/>
                <w:bCs/>
                <w:color w:val="000000"/>
                <w:sz w:val="16"/>
                <w:szCs w:val="16"/>
                <w:lang w:val="bg-BG" w:eastAsia="ko-KR"/>
              </w:rPr>
              <w:lastRenderedPageBreak/>
              <w:t>Недостатъчен административен капацитет на УО като количество и качество на служителите</w:t>
            </w:r>
          </w:p>
        </w:tc>
        <w:tc>
          <w:tcPr>
            <w:tcW w:w="852" w:type="dxa"/>
            <w:tcBorders>
              <w:top w:val="single" w:sz="4" w:space="0" w:color="auto"/>
              <w:left w:val="single" w:sz="4" w:space="0" w:color="auto"/>
              <w:bottom w:val="single" w:sz="4" w:space="0" w:color="auto"/>
              <w:right w:val="single" w:sz="4" w:space="0" w:color="auto"/>
            </w:tcBorders>
          </w:tcPr>
          <w:p w:rsidR="00A22EA5" w:rsidRDefault="00A22EA5" w:rsidP="00E054C6">
            <w:pPr>
              <w:spacing w:after="0" w:line="240" w:lineRule="auto"/>
              <w:rPr>
                <w:rFonts w:ascii="Verdana" w:eastAsia="Times New Roman" w:hAnsi="Verdana" w:cs="Calibri"/>
                <w:color w:val="000000"/>
                <w:sz w:val="16"/>
                <w:szCs w:val="16"/>
                <w:lang w:val="bg-BG"/>
              </w:rPr>
            </w:pPr>
            <w:r>
              <w:rPr>
                <w:rFonts w:ascii="Verdana" w:eastAsia="Times New Roman" w:hAnsi="Verdana" w:cs="Calibri"/>
                <w:color w:val="000000"/>
                <w:sz w:val="16"/>
                <w:szCs w:val="16"/>
                <w:lang w:val="bg-BG"/>
              </w:rPr>
              <w:t>3</w:t>
            </w:r>
          </w:p>
        </w:tc>
        <w:tc>
          <w:tcPr>
            <w:tcW w:w="851" w:type="dxa"/>
            <w:tcBorders>
              <w:top w:val="single" w:sz="4" w:space="0" w:color="auto"/>
              <w:left w:val="single" w:sz="4" w:space="0" w:color="auto"/>
              <w:bottom w:val="single" w:sz="4" w:space="0" w:color="auto"/>
              <w:right w:val="single" w:sz="4" w:space="0" w:color="auto"/>
            </w:tcBorders>
          </w:tcPr>
          <w:p w:rsidR="00A22EA5" w:rsidRDefault="00A22EA5" w:rsidP="00E054C6">
            <w:pPr>
              <w:spacing w:after="0" w:line="240" w:lineRule="auto"/>
              <w:rPr>
                <w:rFonts w:ascii="Verdana" w:eastAsia="Times New Roman" w:hAnsi="Verdana" w:cs="Calibri"/>
                <w:color w:val="000000"/>
                <w:sz w:val="16"/>
                <w:szCs w:val="16"/>
                <w:lang w:val="bg-BG"/>
              </w:rPr>
            </w:pPr>
            <w:r>
              <w:rPr>
                <w:rFonts w:ascii="Verdana" w:eastAsia="Times New Roman" w:hAnsi="Verdana" w:cs="Calibri"/>
                <w:color w:val="000000"/>
                <w:sz w:val="16"/>
                <w:szCs w:val="16"/>
                <w:lang w:val="bg-BG"/>
              </w:rPr>
              <w:t>5</w:t>
            </w:r>
          </w:p>
        </w:tc>
        <w:tc>
          <w:tcPr>
            <w:tcW w:w="940" w:type="dxa"/>
            <w:tcBorders>
              <w:top w:val="single" w:sz="4" w:space="0" w:color="auto"/>
              <w:left w:val="single" w:sz="4" w:space="0" w:color="auto"/>
              <w:bottom w:val="single" w:sz="4" w:space="0" w:color="auto"/>
              <w:right w:val="single" w:sz="4" w:space="0" w:color="auto"/>
            </w:tcBorders>
          </w:tcPr>
          <w:p w:rsidR="00A22EA5" w:rsidRDefault="00A22EA5" w:rsidP="00E054C6">
            <w:pPr>
              <w:spacing w:after="0" w:line="240" w:lineRule="auto"/>
              <w:rPr>
                <w:rFonts w:ascii="Verdana" w:eastAsia="Times New Roman" w:hAnsi="Verdana" w:cs="Calibri"/>
                <w:color w:val="000000"/>
                <w:sz w:val="16"/>
                <w:szCs w:val="16"/>
                <w:lang w:val="bg-BG"/>
              </w:rPr>
            </w:pPr>
            <w:r>
              <w:rPr>
                <w:rFonts w:ascii="Verdana" w:eastAsia="Times New Roman" w:hAnsi="Verdana" w:cs="Calibri"/>
                <w:color w:val="000000"/>
                <w:sz w:val="16"/>
                <w:szCs w:val="16"/>
                <w:lang w:val="bg-BG"/>
              </w:rPr>
              <w:t>15</w:t>
            </w:r>
          </w:p>
        </w:tc>
        <w:tc>
          <w:tcPr>
            <w:tcW w:w="3742" w:type="dxa"/>
            <w:tcBorders>
              <w:top w:val="single" w:sz="4" w:space="0" w:color="auto"/>
              <w:left w:val="single" w:sz="4" w:space="0" w:color="auto"/>
              <w:bottom w:val="single" w:sz="4" w:space="0" w:color="auto"/>
              <w:right w:val="single" w:sz="4" w:space="0" w:color="auto"/>
            </w:tcBorders>
          </w:tcPr>
          <w:p w:rsidR="00A22EA5" w:rsidRDefault="00A22EA5" w:rsidP="006861B0">
            <w:pPr>
              <w:pStyle w:val="ListParagraph"/>
              <w:numPr>
                <w:ilvl w:val="0"/>
                <w:numId w:val="84"/>
              </w:numPr>
              <w:spacing w:after="0" w:line="240" w:lineRule="auto"/>
              <w:ind w:left="170" w:hanging="170"/>
              <w:rPr>
                <w:rFonts w:ascii="Verdana" w:eastAsia="Times New Roman" w:hAnsi="Verdana" w:cs="Calibri"/>
                <w:color w:val="000000"/>
                <w:sz w:val="16"/>
                <w:szCs w:val="16"/>
                <w:lang w:val="bg-BG"/>
              </w:rPr>
            </w:pPr>
            <w:r>
              <w:rPr>
                <w:rFonts w:ascii="Verdana" w:eastAsia="Times New Roman" w:hAnsi="Verdana" w:cs="Calibri"/>
                <w:color w:val="000000"/>
                <w:sz w:val="16"/>
                <w:szCs w:val="16"/>
                <w:lang w:val="bg-BG"/>
              </w:rPr>
              <w:t>Повишаване на капацитета чрез обучение, системи и процедури за подпомагане на работата и ясно и ефективно разпределение на отговорностите;</w:t>
            </w:r>
          </w:p>
          <w:p w:rsidR="00A22EA5" w:rsidRDefault="00A22EA5" w:rsidP="006861B0">
            <w:pPr>
              <w:pStyle w:val="ListParagraph"/>
              <w:numPr>
                <w:ilvl w:val="0"/>
                <w:numId w:val="84"/>
              </w:numPr>
              <w:spacing w:after="0" w:line="240" w:lineRule="auto"/>
              <w:ind w:left="170" w:hanging="170"/>
              <w:rPr>
                <w:rFonts w:ascii="Verdana" w:eastAsia="Times New Roman" w:hAnsi="Verdana" w:cs="Calibri"/>
                <w:color w:val="000000"/>
                <w:sz w:val="16"/>
                <w:szCs w:val="16"/>
                <w:lang w:val="bg-BG"/>
              </w:rPr>
            </w:pPr>
            <w:r>
              <w:rPr>
                <w:rFonts w:ascii="Verdana" w:eastAsia="Times New Roman" w:hAnsi="Verdana" w:cs="Calibri"/>
                <w:color w:val="000000"/>
                <w:sz w:val="16"/>
                <w:szCs w:val="16"/>
                <w:lang w:val="bg-BG"/>
              </w:rPr>
              <w:t>Предприемане на мерки за мотивиране и стимулиране на служителите.</w:t>
            </w:r>
          </w:p>
        </w:tc>
      </w:tr>
      <w:tr w:rsidR="00A22EA5" w:rsidRPr="0073781E" w:rsidTr="00E054C6">
        <w:trPr>
          <w:trHeight w:val="660"/>
        </w:trPr>
        <w:tc>
          <w:tcPr>
            <w:tcW w:w="2990" w:type="dxa"/>
            <w:tcBorders>
              <w:top w:val="single" w:sz="4" w:space="0" w:color="auto"/>
              <w:left w:val="single" w:sz="4" w:space="0" w:color="auto"/>
              <w:bottom w:val="single" w:sz="4" w:space="0" w:color="auto"/>
              <w:right w:val="single" w:sz="4" w:space="0" w:color="auto"/>
            </w:tcBorders>
            <w:hideMark/>
          </w:tcPr>
          <w:p w:rsidR="00A22EA5" w:rsidRDefault="00A22EA5" w:rsidP="00E054C6">
            <w:pPr>
              <w:spacing w:after="0" w:line="240" w:lineRule="auto"/>
              <w:rPr>
                <w:rFonts w:ascii="Verdana" w:eastAsia="Times New Roman" w:hAnsi="Verdana" w:cs="Calibri"/>
                <w:color w:val="000000"/>
                <w:sz w:val="16"/>
                <w:szCs w:val="16"/>
                <w:lang w:val="bg-BG"/>
              </w:rPr>
            </w:pPr>
            <w:r>
              <w:rPr>
                <w:rFonts w:ascii="Verdana" w:eastAsia="Times New Roman" w:hAnsi="Verdana" w:cs="Calibri"/>
                <w:color w:val="000000"/>
                <w:sz w:val="16"/>
                <w:szCs w:val="16"/>
                <w:lang w:val="bg-BG"/>
              </w:rPr>
              <w:t>1.1</w:t>
            </w:r>
            <w:r>
              <w:rPr>
                <w:rFonts w:ascii="Times New Roman" w:eastAsia="Times New Roman" w:hAnsi="Times New Roman"/>
                <w:color w:val="000000"/>
                <w:sz w:val="14"/>
                <w:szCs w:val="14"/>
                <w:lang w:val="bg-BG"/>
              </w:rPr>
              <w:t xml:space="preserve">          </w:t>
            </w:r>
            <w:r>
              <w:rPr>
                <w:rFonts w:ascii="Verdana" w:eastAsia="Times New Roman" w:hAnsi="Verdana" w:cs="Calibri"/>
                <w:color w:val="000000"/>
                <w:sz w:val="16"/>
                <w:szCs w:val="16"/>
                <w:lang w:val="bg-BG"/>
              </w:rPr>
              <w:t>Забавяне при одобрението на програмата от ЕК</w:t>
            </w:r>
          </w:p>
        </w:tc>
        <w:tc>
          <w:tcPr>
            <w:tcW w:w="852" w:type="dxa"/>
            <w:tcBorders>
              <w:top w:val="single" w:sz="4" w:space="0" w:color="auto"/>
              <w:left w:val="single" w:sz="4" w:space="0" w:color="auto"/>
              <w:bottom w:val="single" w:sz="4" w:space="0" w:color="auto"/>
              <w:right w:val="single" w:sz="4" w:space="0" w:color="auto"/>
            </w:tcBorders>
            <w:hideMark/>
          </w:tcPr>
          <w:p w:rsidR="00A22EA5" w:rsidRDefault="00A22EA5" w:rsidP="00E054C6">
            <w:pPr>
              <w:spacing w:after="0" w:line="240" w:lineRule="auto"/>
              <w:rPr>
                <w:rFonts w:ascii="Verdana" w:eastAsia="Times New Roman" w:hAnsi="Verdana" w:cs="Calibri"/>
                <w:color w:val="000000"/>
                <w:sz w:val="16"/>
                <w:szCs w:val="16"/>
                <w:lang w:val="bg-BG"/>
              </w:rPr>
            </w:pPr>
            <w:r>
              <w:rPr>
                <w:rFonts w:ascii="Verdana" w:eastAsia="Times New Roman" w:hAnsi="Verdana" w:cs="Calibri"/>
                <w:color w:val="000000"/>
                <w:sz w:val="16"/>
                <w:szCs w:val="16"/>
                <w:lang w:val="bg-BG"/>
              </w:rPr>
              <w:t>3</w:t>
            </w:r>
          </w:p>
        </w:tc>
        <w:tc>
          <w:tcPr>
            <w:tcW w:w="851" w:type="dxa"/>
            <w:tcBorders>
              <w:top w:val="single" w:sz="4" w:space="0" w:color="auto"/>
              <w:left w:val="single" w:sz="4" w:space="0" w:color="auto"/>
              <w:bottom w:val="single" w:sz="4" w:space="0" w:color="auto"/>
              <w:right w:val="single" w:sz="4" w:space="0" w:color="auto"/>
            </w:tcBorders>
            <w:hideMark/>
          </w:tcPr>
          <w:p w:rsidR="00A22EA5" w:rsidRDefault="00A22EA5" w:rsidP="00E054C6">
            <w:pPr>
              <w:spacing w:after="0" w:line="240" w:lineRule="auto"/>
              <w:rPr>
                <w:rFonts w:ascii="Verdana" w:eastAsia="Times New Roman" w:hAnsi="Verdana" w:cs="Calibri"/>
                <w:color w:val="000000"/>
                <w:sz w:val="16"/>
                <w:szCs w:val="16"/>
                <w:lang w:val="bg-BG"/>
              </w:rPr>
            </w:pPr>
            <w:r>
              <w:rPr>
                <w:rFonts w:ascii="Verdana" w:eastAsia="Times New Roman" w:hAnsi="Verdana" w:cs="Calibri"/>
                <w:color w:val="000000"/>
                <w:sz w:val="16"/>
                <w:szCs w:val="16"/>
                <w:lang w:val="bg-BG"/>
              </w:rPr>
              <w:t>4</w:t>
            </w:r>
          </w:p>
        </w:tc>
        <w:tc>
          <w:tcPr>
            <w:tcW w:w="940" w:type="dxa"/>
            <w:tcBorders>
              <w:top w:val="single" w:sz="4" w:space="0" w:color="auto"/>
              <w:left w:val="single" w:sz="4" w:space="0" w:color="auto"/>
              <w:bottom w:val="single" w:sz="4" w:space="0" w:color="auto"/>
              <w:right w:val="single" w:sz="4" w:space="0" w:color="auto"/>
            </w:tcBorders>
            <w:hideMark/>
          </w:tcPr>
          <w:p w:rsidR="00A22EA5" w:rsidRDefault="00A22EA5" w:rsidP="00E054C6">
            <w:pPr>
              <w:spacing w:after="0" w:line="240" w:lineRule="auto"/>
              <w:rPr>
                <w:rFonts w:ascii="Verdana" w:eastAsia="Times New Roman" w:hAnsi="Verdana" w:cs="Calibri"/>
                <w:color w:val="000000"/>
                <w:sz w:val="16"/>
                <w:szCs w:val="16"/>
                <w:lang w:val="bg-BG"/>
              </w:rPr>
            </w:pPr>
            <w:r>
              <w:rPr>
                <w:rFonts w:ascii="Verdana" w:eastAsia="Times New Roman" w:hAnsi="Verdana" w:cs="Calibri"/>
                <w:color w:val="000000"/>
                <w:sz w:val="16"/>
                <w:szCs w:val="16"/>
                <w:lang w:val="bg-BG"/>
              </w:rPr>
              <w:t>12</w:t>
            </w:r>
          </w:p>
        </w:tc>
        <w:tc>
          <w:tcPr>
            <w:tcW w:w="3742" w:type="dxa"/>
            <w:tcBorders>
              <w:top w:val="single" w:sz="4" w:space="0" w:color="auto"/>
              <w:left w:val="single" w:sz="4" w:space="0" w:color="auto"/>
              <w:bottom w:val="single" w:sz="4" w:space="0" w:color="auto"/>
              <w:right w:val="single" w:sz="4" w:space="0" w:color="auto"/>
            </w:tcBorders>
            <w:hideMark/>
          </w:tcPr>
          <w:p w:rsidR="00A22EA5" w:rsidRDefault="00A22EA5" w:rsidP="006861B0">
            <w:pPr>
              <w:pStyle w:val="ListParagraph"/>
              <w:numPr>
                <w:ilvl w:val="0"/>
                <w:numId w:val="84"/>
              </w:numPr>
              <w:spacing w:after="0" w:line="240" w:lineRule="auto"/>
              <w:ind w:left="170" w:hanging="170"/>
              <w:rPr>
                <w:rFonts w:ascii="Verdana" w:eastAsia="Times New Roman" w:hAnsi="Verdana" w:cs="Calibri"/>
                <w:color w:val="000000"/>
                <w:sz w:val="16"/>
                <w:szCs w:val="16"/>
                <w:lang w:val="bg-BG"/>
              </w:rPr>
            </w:pPr>
            <w:r>
              <w:rPr>
                <w:rFonts w:ascii="Verdana" w:eastAsia="Times New Roman" w:hAnsi="Verdana" w:cs="Calibri"/>
                <w:color w:val="000000"/>
                <w:sz w:val="16"/>
                <w:szCs w:val="16"/>
                <w:lang w:val="bg-BG"/>
              </w:rPr>
              <w:t>Подготовка на качествен стратегически документ;</w:t>
            </w:r>
          </w:p>
          <w:p w:rsidR="00A22EA5" w:rsidRDefault="00A22EA5" w:rsidP="006861B0">
            <w:pPr>
              <w:pStyle w:val="ListParagraph"/>
              <w:numPr>
                <w:ilvl w:val="0"/>
                <w:numId w:val="84"/>
              </w:numPr>
              <w:spacing w:after="0" w:line="240" w:lineRule="auto"/>
              <w:ind w:left="170" w:hanging="170"/>
              <w:rPr>
                <w:rFonts w:ascii="Verdana" w:eastAsia="Times New Roman" w:hAnsi="Verdana" w:cs="Calibri"/>
                <w:color w:val="000000"/>
                <w:sz w:val="16"/>
                <w:szCs w:val="16"/>
                <w:lang w:val="bg-BG"/>
              </w:rPr>
            </w:pPr>
            <w:r>
              <w:rPr>
                <w:rFonts w:ascii="Verdana" w:eastAsia="Times New Roman" w:hAnsi="Verdana" w:cs="Calibri"/>
                <w:color w:val="000000"/>
                <w:sz w:val="16"/>
                <w:szCs w:val="16"/>
                <w:lang w:val="bg-BG"/>
              </w:rPr>
              <w:t>Активно сътрудничество с останалата администрация и заинтересованите страни.</w:t>
            </w:r>
          </w:p>
        </w:tc>
      </w:tr>
      <w:tr w:rsidR="00A22EA5" w:rsidRPr="0073781E" w:rsidTr="00E054C6">
        <w:trPr>
          <w:trHeight w:val="653"/>
        </w:trPr>
        <w:tc>
          <w:tcPr>
            <w:tcW w:w="2990" w:type="dxa"/>
            <w:tcBorders>
              <w:top w:val="single" w:sz="4" w:space="0" w:color="auto"/>
              <w:left w:val="single" w:sz="4" w:space="0" w:color="auto"/>
              <w:bottom w:val="single" w:sz="4" w:space="0" w:color="auto"/>
              <w:right w:val="single" w:sz="4" w:space="0" w:color="auto"/>
            </w:tcBorders>
          </w:tcPr>
          <w:p w:rsidR="00A22EA5" w:rsidRDefault="00A22EA5" w:rsidP="00E054C6">
            <w:pPr>
              <w:spacing w:after="0" w:line="240" w:lineRule="auto"/>
              <w:rPr>
                <w:rFonts w:ascii="Verdana" w:eastAsia="Times New Roman" w:hAnsi="Verdana" w:cs="Calibri"/>
                <w:color w:val="000000"/>
                <w:sz w:val="16"/>
                <w:szCs w:val="16"/>
                <w:lang w:val="bg-BG"/>
              </w:rPr>
            </w:pPr>
            <w:r>
              <w:rPr>
                <w:rFonts w:ascii="Verdana" w:eastAsia="Malgun Gothic" w:hAnsi="Verdana"/>
                <w:bCs/>
                <w:color w:val="000000"/>
                <w:sz w:val="16"/>
                <w:szCs w:val="16"/>
                <w:lang w:val="bg-BG" w:eastAsia="ko-KR"/>
              </w:rPr>
              <w:t xml:space="preserve">6.2 </w:t>
            </w:r>
            <w:proofErr w:type="spellStart"/>
            <w:r>
              <w:rPr>
                <w:rFonts w:ascii="Verdana" w:eastAsia="Malgun Gothic" w:hAnsi="Verdana"/>
                <w:bCs/>
                <w:color w:val="000000"/>
                <w:sz w:val="16"/>
                <w:szCs w:val="16"/>
                <w:lang w:eastAsia="ko-KR"/>
              </w:rPr>
              <w:t>Налагане</w:t>
            </w:r>
            <w:proofErr w:type="spellEnd"/>
            <w:r>
              <w:rPr>
                <w:rFonts w:ascii="Verdana" w:eastAsia="Malgun Gothic" w:hAnsi="Verdana"/>
                <w:bCs/>
                <w:color w:val="000000"/>
                <w:sz w:val="16"/>
                <w:szCs w:val="16"/>
                <w:lang w:eastAsia="ko-KR"/>
              </w:rPr>
              <w:t xml:space="preserve"> </w:t>
            </w:r>
            <w:proofErr w:type="spellStart"/>
            <w:r>
              <w:rPr>
                <w:rFonts w:ascii="Verdana" w:eastAsia="Malgun Gothic" w:hAnsi="Verdana"/>
                <w:bCs/>
                <w:color w:val="000000"/>
                <w:sz w:val="16"/>
                <w:szCs w:val="16"/>
                <w:lang w:eastAsia="ko-KR"/>
              </w:rPr>
              <w:t>на</w:t>
            </w:r>
            <w:proofErr w:type="spellEnd"/>
            <w:r>
              <w:rPr>
                <w:rFonts w:ascii="Verdana" w:eastAsia="Malgun Gothic" w:hAnsi="Verdana"/>
                <w:bCs/>
                <w:color w:val="000000"/>
                <w:sz w:val="16"/>
                <w:szCs w:val="16"/>
                <w:lang w:eastAsia="ko-KR"/>
              </w:rPr>
              <w:t xml:space="preserve"> </w:t>
            </w:r>
            <w:proofErr w:type="spellStart"/>
            <w:r>
              <w:rPr>
                <w:rFonts w:ascii="Verdana" w:eastAsia="Malgun Gothic" w:hAnsi="Verdana"/>
                <w:bCs/>
                <w:color w:val="000000"/>
                <w:sz w:val="16"/>
                <w:szCs w:val="16"/>
                <w:lang w:eastAsia="ko-KR"/>
              </w:rPr>
              <w:t>финансови</w:t>
            </w:r>
            <w:proofErr w:type="spellEnd"/>
            <w:r>
              <w:rPr>
                <w:rFonts w:ascii="Verdana" w:eastAsia="Malgun Gothic" w:hAnsi="Verdana"/>
                <w:bCs/>
                <w:color w:val="000000"/>
                <w:sz w:val="16"/>
                <w:szCs w:val="16"/>
                <w:lang w:eastAsia="ko-KR"/>
              </w:rPr>
              <w:t xml:space="preserve"> </w:t>
            </w:r>
            <w:proofErr w:type="spellStart"/>
            <w:r>
              <w:rPr>
                <w:rFonts w:ascii="Verdana" w:eastAsia="Malgun Gothic" w:hAnsi="Verdana"/>
                <w:bCs/>
                <w:color w:val="000000"/>
                <w:sz w:val="16"/>
                <w:szCs w:val="16"/>
                <w:lang w:eastAsia="ko-KR"/>
              </w:rPr>
              <w:t>корекции</w:t>
            </w:r>
            <w:proofErr w:type="spellEnd"/>
          </w:p>
        </w:tc>
        <w:tc>
          <w:tcPr>
            <w:tcW w:w="852" w:type="dxa"/>
            <w:tcBorders>
              <w:top w:val="single" w:sz="4" w:space="0" w:color="auto"/>
              <w:left w:val="single" w:sz="4" w:space="0" w:color="auto"/>
              <w:bottom w:val="single" w:sz="4" w:space="0" w:color="auto"/>
              <w:right w:val="single" w:sz="4" w:space="0" w:color="auto"/>
            </w:tcBorders>
          </w:tcPr>
          <w:p w:rsidR="00A22EA5" w:rsidRDefault="00A22EA5" w:rsidP="00E054C6">
            <w:pPr>
              <w:spacing w:after="0" w:line="240" w:lineRule="auto"/>
              <w:rPr>
                <w:rFonts w:ascii="Verdana" w:eastAsia="Times New Roman" w:hAnsi="Verdana" w:cs="Calibri"/>
                <w:color w:val="000000"/>
                <w:sz w:val="16"/>
                <w:szCs w:val="16"/>
                <w:lang w:val="bg-BG"/>
              </w:rPr>
            </w:pPr>
            <w:r>
              <w:rPr>
                <w:rFonts w:ascii="Verdana" w:eastAsia="Times New Roman" w:hAnsi="Verdana" w:cs="Calibri"/>
                <w:color w:val="000000"/>
                <w:sz w:val="16"/>
                <w:szCs w:val="16"/>
                <w:lang w:val="bg-BG"/>
              </w:rPr>
              <w:t>2</w:t>
            </w:r>
          </w:p>
        </w:tc>
        <w:tc>
          <w:tcPr>
            <w:tcW w:w="851" w:type="dxa"/>
            <w:tcBorders>
              <w:top w:val="single" w:sz="4" w:space="0" w:color="auto"/>
              <w:left w:val="single" w:sz="4" w:space="0" w:color="auto"/>
              <w:bottom w:val="single" w:sz="4" w:space="0" w:color="auto"/>
              <w:right w:val="single" w:sz="4" w:space="0" w:color="auto"/>
            </w:tcBorders>
          </w:tcPr>
          <w:p w:rsidR="00A22EA5" w:rsidRDefault="00A22EA5" w:rsidP="00E054C6">
            <w:pPr>
              <w:spacing w:after="0" w:line="240" w:lineRule="auto"/>
              <w:rPr>
                <w:rFonts w:ascii="Verdana" w:eastAsia="Times New Roman" w:hAnsi="Verdana" w:cs="Calibri"/>
                <w:color w:val="000000"/>
                <w:sz w:val="16"/>
                <w:szCs w:val="16"/>
                <w:lang w:val="bg-BG"/>
              </w:rPr>
            </w:pPr>
            <w:r>
              <w:rPr>
                <w:rFonts w:ascii="Verdana" w:eastAsia="Times New Roman" w:hAnsi="Verdana" w:cs="Calibri"/>
                <w:color w:val="000000"/>
                <w:sz w:val="16"/>
                <w:szCs w:val="16"/>
                <w:lang w:val="bg-BG"/>
              </w:rPr>
              <w:t>5</w:t>
            </w:r>
          </w:p>
        </w:tc>
        <w:tc>
          <w:tcPr>
            <w:tcW w:w="940" w:type="dxa"/>
            <w:tcBorders>
              <w:top w:val="single" w:sz="4" w:space="0" w:color="auto"/>
              <w:left w:val="single" w:sz="4" w:space="0" w:color="auto"/>
              <w:bottom w:val="single" w:sz="4" w:space="0" w:color="auto"/>
              <w:right w:val="single" w:sz="4" w:space="0" w:color="auto"/>
            </w:tcBorders>
          </w:tcPr>
          <w:p w:rsidR="00A22EA5" w:rsidRDefault="00A22EA5" w:rsidP="00E054C6">
            <w:pPr>
              <w:spacing w:after="0" w:line="240" w:lineRule="auto"/>
              <w:rPr>
                <w:rFonts w:ascii="Verdana" w:eastAsia="Times New Roman" w:hAnsi="Verdana" w:cs="Calibri"/>
                <w:color w:val="000000"/>
                <w:sz w:val="16"/>
                <w:szCs w:val="16"/>
                <w:lang w:val="bg-BG"/>
              </w:rPr>
            </w:pPr>
            <w:r>
              <w:rPr>
                <w:rFonts w:ascii="Verdana" w:eastAsia="Times New Roman" w:hAnsi="Verdana" w:cs="Calibri"/>
                <w:color w:val="000000"/>
                <w:sz w:val="16"/>
                <w:szCs w:val="16"/>
                <w:lang w:val="bg-BG"/>
              </w:rPr>
              <w:t>10</w:t>
            </w:r>
          </w:p>
        </w:tc>
        <w:tc>
          <w:tcPr>
            <w:tcW w:w="3742" w:type="dxa"/>
            <w:tcBorders>
              <w:top w:val="single" w:sz="4" w:space="0" w:color="auto"/>
              <w:left w:val="single" w:sz="4" w:space="0" w:color="auto"/>
              <w:bottom w:val="single" w:sz="4" w:space="0" w:color="auto"/>
              <w:right w:val="single" w:sz="4" w:space="0" w:color="auto"/>
            </w:tcBorders>
          </w:tcPr>
          <w:p w:rsidR="00A22EA5" w:rsidRDefault="00A22EA5" w:rsidP="006861B0">
            <w:pPr>
              <w:pStyle w:val="ListParagraph"/>
              <w:numPr>
                <w:ilvl w:val="0"/>
                <w:numId w:val="84"/>
              </w:numPr>
              <w:spacing w:after="0" w:line="240" w:lineRule="auto"/>
              <w:ind w:left="170" w:hanging="170"/>
              <w:rPr>
                <w:rFonts w:ascii="Verdana" w:eastAsia="Times New Roman" w:hAnsi="Verdana" w:cs="Calibri"/>
                <w:color w:val="000000"/>
                <w:sz w:val="16"/>
                <w:szCs w:val="16"/>
                <w:lang w:val="bg-BG"/>
              </w:rPr>
            </w:pPr>
            <w:r>
              <w:rPr>
                <w:rFonts w:ascii="Verdana" w:eastAsia="Times New Roman" w:hAnsi="Verdana" w:cs="Calibri"/>
                <w:color w:val="000000"/>
                <w:sz w:val="16"/>
                <w:szCs w:val="16"/>
                <w:lang w:val="bg-BG"/>
              </w:rPr>
              <w:t>Повишаване на административния капацитет на УО;</w:t>
            </w:r>
          </w:p>
          <w:p w:rsidR="00A22EA5" w:rsidRDefault="00A22EA5" w:rsidP="006861B0">
            <w:pPr>
              <w:pStyle w:val="ListParagraph"/>
              <w:numPr>
                <w:ilvl w:val="0"/>
                <w:numId w:val="84"/>
              </w:numPr>
              <w:spacing w:after="0" w:line="240" w:lineRule="auto"/>
              <w:ind w:left="170" w:hanging="170"/>
              <w:rPr>
                <w:rFonts w:ascii="Verdana" w:eastAsia="Times New Roman" w:hAnsi="Verdana" w:cs="Calibri"/>
                <w:color w:val="000000"/>
                <w:sz w:val="16"/>
                <w:szCs w:val="16"/>
                <w:lang w:val="bg-BG"/>
              </w:rPr>
            </w:pPr>
            <w:r>
              <w:rPr>
                <w:rFonts w:ascii="Verdana" w:eastAsia="Times New Roman" w:hAnsi="Verdana" w:cs="Calibri"/>
                <w:color w:val="000000"/>
                <w:sz w:val="16"/>
                <w:szCs w:val="16"/>
                <w:lang w:val="bg-BG"/>
              </w:rPr>
              <w:t>Повишаване на капацитета на бенефициентите;</w:t>
            </w:r>
          </w:p>
          <w:p w:rsidR="00A22EA5" w:rsidRDefault="00A22EA5" w:rsidP="006861B0">
            <w:pPr>
              <w:pStyle w:val="ListParagraph"/>
              <w:numPr>
                <w:ilvl w:val="0"/>
                <w:numId w:val="84"/>
              </w:numPr>
              <w:spacing w:after="0" w:line="240" w:lineRule="auto"/>
              <w:ind w:left="170" w:hanging="170"/>
              <w:rPr>
                <w:rFonts w:ascii="Verdana" w:eastAsia="Times New Roman" w:hAnsi="Verdana" w:cs="Calibri"/>
                <w:color w:val="000000"/>
                <w:sz w:val="16"/>
                <w:szCs w:val="16"/>
                <w:lang w:val="bg-BG"/>
              </w:rPr>
            </w:pPr>
            <w:r>
              <w:rPr>
                <w:rFonts w:ascii="Verdana" w:eastAsia="Times New Roman" w:hAnsi="Verdana" w:cs="Calibri"/>
                <w:color w:val="000000"/>
                <w:sz w:val="16"/>
                <w:szCs w:val="16"/>
                <w:lang w:val="bg-BG"/>
              </w:rPr>
              <w:t>Спазване на правилата и процедурите при верифициране на разходи.</w:t>
            </w:r>
          </w:p>
        </w:tc>
      </w:tr>
    </w:tbl>
    <w:p w:rsidR="0026362F" w:rsidRDefault="0026362F" w:rsidP="0026362F">
      <w:pPr>
        <w:pStyle w:val="BodyText"/>
        <w:widowControl w:val="0"/>
        <w:tabs>
          <w:tab w:val="left" w:pos="0"/>
          <w:tab w:val="right" w:pos="9214"/>
        </w:tabs>
        <w:spacing w:before="120" w:line="276" w:lineRule="auto"/>
        <w:jc w:val="both"/>
        <w:rPr>
          <w:rFonts w:ascii="Verdana" w:hAnsi="Verdana"/>
          <w:bCs/>
          <w:color w:val="000000"/>
          <w:sz w:val="20"/>
          <w:szCs w:val="20"/>
        </w:rPr>
      </w:pPr>
    </w:p>
    <w:tbl>
      <w:tblPr>
        <w:tblW w:w="9090" w:type="dxa"/>
        <w:tblInd w:w="108" w:type="dxa"/>
        <w:tblBorders>
          <w:top w:val="single" w:sz="4" w:space="0" w:color="auto"/>
          <w:bottom w:val="single" w:sz="4" w:space="0" w:color="auto"/>
        </w:tblBorders>
        <w:tblLook w:val="04A0" w:firstRow="1" w:lastRow="0" w:firstColumn="1" w:lastColumn="0" w:noHBand="0" w:noVBand="1"/>
      </w:tblPr>
      <w:tblGrid>
        <w:gridCol w:w="531"/>
        <w:gridCol w:w="8559"/>
      </w:tblGrid>
      <w:tr w:rsidR="0026362F" w:rsidRPr="005757F7" w:rsidTr="0026362F">
        <w:tc>
          <w:tcPr>
            <w:tcW w:w="531" w:type="dxa"/>
            <w:vAlign w:val="center"/>
          </w:tcPr>
          <w:p w:rsidR="0026362F" w:rsidRPr="005757F7" w:rsidRDefault="0026362F" w:rsidP="00492B37">
            <w:pPr>
              <w:pStyle w:val="BodyText"/>
              <w:keepNext/>
              <w:spacing w:before="120" w:line="276" w:lineRule="auto"/>
              <w:jc w:val="center"/>
              <w:rPr>
                <w:rFonts w:ascii="Verdana" w:hAnsi="Verdana"/>
                <w:color w:val="548DD4"/>
                <w:sz w:val="36"/>
                <w:szCs w:val="36"/>
              </w:rPr>
            </w:pPr>
            <w:r w:rsidRPr="005757F7">
              <w:rPr>
                <w:rFonts w:ascii="Verdana" w:hAnsi="Verdana"/>
                <w:color w:val="548DD4"/>
                <w:sz w:val="36"/>
                <w:szCs w:val="36"/>
              </w:rPr>
              <w:t>?</w:t>
            </w:r>
          </w:p>
        </w:tc>
        <w:tc>
          <w:tcPr>
            <w:tcW w:w="8559" w:type="dxa"/>
            <w:shd w:val="clear" w:color="auto" w:fill="B8CCE4"/>
          </w:tcPr>
          <w:p w:rsidR="0026362F" w:rsidRPr="005757F7" w:rsidRDefault="0026362F" w:rsidP="00492B37">
            <w:pPr>
              <w:keepNext/>
              <w:autoSpaceDE w:val="0"/>
              <w:autoSpaceDN w:val="0"/>
              <w:adjustRightInd w:val="0"/>
              <w:spacing w:before="120" w:after="120"/>
              <w:rPr>
                <w:rFonts w:ascii="Verdana" w:hAnsi="Verdana"/>
                <w:sz w:val="20"/>
                <w:szCs w:val="20"/>
                <w:lang w:val="bg-BG"/>
              </w:rPr>
            </w:pPr>
            <w:r w:rsidRPr="005757F7">
              <w:rPr>
                <w:rFonts w:ascii="Verdana" w:hAnsi="Verdana"/>
                <w:sz w:val="20"/>
                <w:szCs w:val="20"/>
                <w:lang w:val="bg-BG"/>
              </w:rPr>
              <w:t>Пригодност на процедурите за управление, мониторинг и оценка на програмата и за събирането на данни за изпълнение на програмата.</w:t>
            </w:r>
          </w:p>
        </w:tc>
      </w:tr>
    </w:tbl>
    <w:p w:rsidR="0026362F" w:rsidRPr="00173D95" w:rsidRDefault="0026362F" w:rsidP="0026362F">
      <w:pPr>
        <w:spacing w:before="120" w:after="120"/>
        <w:jc w:val="both"/>
        <w:rPr>
          <w:rFonts w:ascii="Verdana" w:eastAsia="Malgun Gothic" w:hAnsi="Verdana"/>
          <w:bCs/>
          <w:color w:val="000000"/>
          <w:sz w:val="20"/>
          <w:szCs w:val="20"/>
          <w:lang w:val="bg-BG" w:eastAsia="ko-KR"/>
        </w:rPr>
      </w:pPr>
      <w:r w:rsidRPr="00173D95">
        <w:rPr>
          <w:rFonts w:ascii="Verdana" w:eastAsia="Malgun Gothic" w:hAnsi="Verdana"/>
          <w:bCs/>
          <w:color w:val="000000"/>
          <w:sz w:val="20"/>
          <w:szCs w:val="20"/>
          <w:lang w:val="bg-BG" w:eastAsia="ko-KR"/>
        </w:rPr>
        <w:t>Съгласно чл. 1</w:t>
      </w:r>
      <w:r>
        <w:rPr>
          <w:rFonts w:ascii="Verdana" w:eastAsia="Malgun Gothic" w:hAnsi="Verdana"/>
          <w:bCs/>
          <w:color w:val="000000"/>
          <w:sz w:val="20"/>
          <w:szCs w:val="20"/>
          <w:lang w:val="bg-BG" w:eastAsia="ko-KR"/>
        </w:rPr>
        <w:t>25</w:t>
      </w:r>
      <w:r w:rsidRPr="00173D95">
        <w:rPr>
          <w:rFonts w:ascii="Verdana" w:eastAsia="Malgun Gothic" w:hAnsi="Verdana"/>
          <w:bCs/>
          <w:color w:val="000000"/>
          <w:sz w:val="20"/>
          <w:szCs w:val="20"/>
          <w:lang w:val="bg-BG" w:eastAsia="ko-KR"/>
        </w:rPr>
        <w:t xml:space="preserve">  на Регламент </w:t>
      </w:r>
      <w:r>
        <w:rPr>
          <w:rFonts w:ascii="Verdana" w:eastAsia="Malgun Gothic" w:hAnsi="Verdana"/>
          <w:bCs/>
          <w:color w:val="000000"/>
          <w:sz w:val="20"/>
          <w:szCs w:val="20"/>
          <w:lang w:val="bg-BG" w:eastAsia="ko-KR"/>
        </w:rPr>
        <w:t xml:space="preserve">1303/2013 </w:t>
      </w:r>
      <w:r w:rsidRPr="00173D95">
        <w:rPr>
          <w:rFonts w:ascii="Verdana" w:eastAsia="Malgun Gothic" w:hAnsi="Verdana"/>
          <w:bCs/>
          <w:color w:val="000000"/>
          <w:sz w:val="20"/>
          <w:szCs w:val="20"/>
          <w:lang w:val="bg-BG" w:eastAsia="ko-KR"/>
        </w:rPr>
        <w:t xml:space="preserve">функциите на УО, </w:t>
      </w:r>
      <w:r>
        <w:rPr>
          <w:rFonts w:ascii="Verdana" w:eastAsia="Malgun Gothic" w:hAnsi="Verdana"/>
          <w:bCs/>
          <w:color w:val="000000"/>
          <w:sz w:val="20"/>
          <w:szCs w:val="20"/>
          <w:lang w:val="bg-BG" w:eastAsia="ko-KR"/>
        </w:rPr>
        <w:t>свързани с наблюдението на ОПНОИР</w:t>
      </w:r>
      <w:r w:rsidRPr="00173D95">
        <w:rPr>
          <w:rFonts w:ascii="Verdana" w:eastAsia="Malgun Gothic" w:hAnsi="Verdana"/>
          <w:bCs/>
          <w:color w:val="000000"/>
          <w:sz w:val="20"/>
          <w:szCs w:val="20"/>
          <w:lang w:val="bg-BG" w:eastAsia="ko-KR"/>
        </w:rPr>
        <w:t xml:space="preserve"> 2014-2020 са</w:t>
      </w:r>
      <w:r>
        <w:rPr>
          <w:rFonts w:ascii="Verdana" w:eastAsia="Malgun Gothic" w:hAnsi="Verdana"/>
          <w:bCs/>
          <w:color w:val="000000"/>
          <w:sz w:val="20"/>
          <w:szCs w:val="20"/>
          <w:lang w:val="bg-BG" w:eastAsia="ko-KR"/>
        </w:rPr>
        <w:t>,</w:t>
      </w:r>
      <w:r w:rsidRPr="00173D95">
        <w:rPr>
          <w:rFonts w:ascii="Verdana" w:eastAsia="Malgun Gothic" w:hAnsi="Verdana"/>
          <w:bCs/>
          <w:color w:val="000000"/>
          <w:sz w:val="20"/>
          <w:szCs w:val="20"/>
          <w:lang w:val="bg-BG" w:eastAsia="ko-KR"/>
        </w:rPr>
        <w:t xml:space="preserve"> както следва:</w:t>
      </w:r>
    </w:p>
    <w:p w:rsidR="0026362F" w:rsidRPr="00173D95" w:rsidRDefault="0026362F" w:rsidP="006861B0">
      <w:pPr>
        <w:pStyle w:val="ListParagraph"/>
        <w:numPr>
          <w:ilvl w:val="0"/>
          <w:numId w:val="89"/>
        </w:numPr>
        <w:autoSpaceDE w:val="0"/>
        <w:autoSpaceDN w:val="0"/>
        <w:adjustRightInd w:val="0"/>
        <w:spacing w:before="120" w:after="120" w:line="240" w:lineRule="auto"/>
        <w:jc w:val="both"/>
        <w:rPr>
          <w:rFonts w:ascii="Verdana" w:hAnsi="Verdana"/>
          <w:i/>
          <w:sz w:val="20"/>
          <w:szCs w:val="20"/>
          <w:lang w:val="bg-BG"/>
        </w:rPr>
      </w:pPr>
      <w:r w:rsidRPr="00173D95">
        <w:rPr>
          <w:rFonts w:ascii="Verdana" w:hAnsi="Verdana" w:cs="TimesNewRoman"/>
          <w:i/>
          <w:sz w:val="20"/>
          <w:szCs w:val="20"/>
          <w:lang w:val="bg-BG"/>
        </w:rPr>
        <w:t xml:space="preserve">съставя и след одобрение от </w:t>
      </w:r>
      <w:proofErr w:type="spellStart"/>
      <w:r w:rsidRPr="00173D95">
        <w:rPr>
          <w:rFonts w:ascii="Verdana" w:hAnsi="Verdana" w:cs="TimesNewRoman"/>
          <w:i/>
          <w:sz w:val="20"/>
          <w:szCs w:val="20"/>
          <w:lang w:val="bg-BG"/>
        </w:rPr>
        <w:t>мониторинговия</w:t>
      </w:r>
      <w:proofErr w:type="spellEnd"/>
      <w:r w:rsidRPr="00173D95">
        <w:rPr>
          <w:rFonts w:ascii="Verdana" w:hAnsi="Verdana" w:cs="TimesNewRoman"/>
          <w:i/>
          <w:sz w:val="20"/>
          <w:szCs w:val="20"/>
          <w:lang w:val="bg-BG"/>
        </w:rPr>
        <w:t xml:space="preserve"> комитет изпраща до Комисията годишни доклади и окончателен доклад за изпълнението;</w:t>
      </w:r>
    </w:p>
    <w:p w:rsidR="0026362F" w:rsidRPr="00173D95" w:rsidRDefault="0026362F" w:rsidP="006861B0">
      <w:pPr>
        <w:pStyle w:val="ListParagraph"/>
        <w:numPr>
          <w:ilvl w:val="0"/>
          <w:numId w:val="89"/>
        </w:numPr>
        <w:autoSpaceDE w:val="0"/>
        <w:autoSpaceDN w:val="0"/>
        <w:adjustRightInd w:val="0"/>
        <w:spacing w:before="120" w:after="120" w:line="240" w:lineRule="auto"/>
        <w:jc w:val="both"/>
        <w:rPr>
          <w:rFonts w:ascii="Verdana" w:hAnsi="Verdana" w:cs="TimesNewRoman"/>
          <w:i/>
          <w:sz w:val="20"/>
          <w:szCs w:val="20"/>
          <w:lang w:val="bg-BG"/>
        </w:rPr>
      </w:pPr>
      <w:r w:rsidRPr="00173D95">
        <w:rPr>
          <w:rFonts w:ascii="Verdana" w:hAnsi="Verdana" w:cs="TimesNewRoman"/>
          <w:i/>
          <w:sz w:val="20"/>
          <w:szCs w:val="20"/>
          <w:lang w:val="bg-BG"/>
        </w:rPr>
        <w:t>създава система за записване и съхраняване в компют</w:t>
      </w:r>
      <w:r>
        <w:rPr>
          <w:rFonts w:ascii="Verdana" w:hAnsi="Verdana" w:cs="TimesNewRoman"/>
          <w:i/>
          <w:sz w:val="20"/>
          <w:szCs w:val="20"/>
          <w:lang w:val="bg-BG"/>
        </w:rPr>
        <w:t>ъ</w:t>
      </w:r>
      <w:r w:rsidRPr="00173D95">
        <w:rPr>
          <w:rFonts w:ascii="Verdana" w:hAnsi="Verdana" w:cs="TimesNewRoman"/>
          <w:i/>
          <w:sz w:val="20"/>
          <w:szCs w:val="20"/>
          <w:lang w:val="bg-BG"/>
        </w:rPr>
        <w:t>ризирана форма на данни за всяка операция, необходими за мониторинга, оценката, финансовото управление, проверката и одита, включително данни за отделните участници в операциите, когато е приложимо;</w:t>
      </w:r>
    </w:p>
    <w:p w:rsidR="0026362F" w:rsidRPr="006226EA" w:rsidRDefault="0026362F" w:rsidP="006861B0">
      <w:pPr>
        <w:pStyle w:val="ListParagraph"/>
        <w:numPr>
          <w:ilvl w:val="0"/>
          <w:numId w:val="89"/>
        </w:numPr>
        <w:autoSpaceDE w:val="0"/>
        <w:autoSpaceDN w:val="0"/>
        <w:adjustRightInd w:val="0"/>
        <w:spacing w:before="120" w:after="120" w:line="240" w:lineRule="auto"/>
        <w:jc w:val="both"/>
        <w:rPr>
          <w:rFonts w:ascii="Verdana" w:hAnsi="Verdana"/>
          <w:i/>
          <w:sz w:val="20"/>
          <w:szCs w:val="20"/>
          <w:lang w:val="bg-BG"/>
        </w:rPr>
      </w:pPr>
      <w:r w:rsidRPr="00173D95">
        <w:rPr>
          <w:rFonts w:ascii="Verdana" w:hAnsi="Verdana" w:cs="TimesNewRoman"/>
          <w:i/>
          <w:sz w:val="20"/>
          <w:szCs w:val="20"/>
          <w:lang w:val="bg-BG"/>
        </w:rPr>
        <w:t>гарантира, че</w:t>
      </w:r>
      <w:r>
        <w:rPr>
          <w:rFonts w:ascii="Verdana" w:hAnsi="Verdana" w:cs="TimesNewRoman"/>
          <w:i/>
          <w:sz w:val="20"/>
          <w:szCs w:val="20"/>
          <w:lang w:val="bg-BG"/>
        </w:rPr>
        <w:t xml:space="preserve"> </w:t>
      </w:r>
      <w:r w:rsidRPr="00173D95">
        <w:rPr>
          <w:rFonts w:ascii="Verdana" w:hAnsi="Verdana" w:cs="TimesNewRoman"/>
          <w:i/>
          <w:sz w:val="20"/>
          <w:szCs w:val="20"/>
          <w:lang w:val="bg-BG"/>
        </w:rPr>
        <w:t>данните, посочени в предходната</w:t>
      </w:r>
      <w:r>
        <w:rPr>
          <w:rFonts w:ascii="Verdana" w:hAnsi="Verdana" w:cs="TimesNewRoman"/>
          <w:i/>
          <w:sz w:val="20"/>
          <w:szCs w:val="20"/>
          <w:lang w:val="bg-BG"/>
        </w:rPr>
        <w:t xml:space="preserve"> </w:t>
      </w:r>
      <w:r w:rsidRPr="00173D95">
        <w:rPr>
          <w:rFonts w:ascii="Verdana" w:hAnsi="Verdana" w:cs="TimesNewRoman"/>
          <w:i/>
          <w:sz w:val="20"/>
          <w:szCs w:val="20"/>
          <w:lang w:val="bg-BG"/>
        </w:rPr>
        <w:t>точка</w:t>
      </w:r>
      <w:r>
        <w:rPr>
          <w:rFonts w:ascii="Verdana" w:hAnsi="Verdana" w:cs="TimesNewRoman"/>
          <w:i/>
          <w:sz w:val="20"/>
          <w:szCs w:val="20"/>
          <w:lang w:val="bg-BG"/>
        </w:rPr>
        <w:t xml:space="preserve">, </w:t>
      </w:r>
      <w:r w:rsidRPr="00173D95">
        <w:rPr>
          <w:rFonts w:ascii="Verdana" w:hAnsi="Verdana" w:cs="TimesNewRoman"/>
          <w:i/>
          <w:sz w:val="20"/>
          <w:szCs w:val="20"/>
          <w:lang w:val="bg-BG"/>
        </w:rPr>
        <w:t>се</w:t>
      </w:r>
      <w:r>
        <w:rPr>
          <w:rFonts w:ascii="Verdana" w:hAnsi="Verdana" w:cs="TimesNewRoman"/>
          <w:i/>
          <w:sz w:val="20"/>
          <w:szCs w:val="20"/>
          <w:lang w:val="bg-BG"/>
        </w:rPr>
        <w:t xml:space="preserve"> </w:t>
      </w:r>
      <w:r w:rsidRPr="00173D95">
        <w:rPr>
          <w:rFonts w:ascii="Verdana" w:hAnsi="Verdana" w:cs="TimesNewRoman"/>
          <w:i/>
          <w:sz w:val="20"/>
          <w:szCs w:val="20"/>
          <w:lang w:val="bg-BG"/>
        </w:rPr>
        <w:t>събират, въвеждат и съхраняват в системата, и че данните за показателите се разбиват по пол в случаите, в които това се изисква в приложение I към регламента за ЕСФ</w:t>
      </w:r>
      <w:r>
        <w:rPr>
          <w:rFonts w:ascii="Verdana" w:hAnsi="Verdana" w:cs="TimesNewRoman"/>
          <w:i/>
          <w:sz w:val="20"/>
          <w:szCs w:val="20"/>
          <w:lang w:val="bg-BG"/>
        </w:rPr>
        <w:t xml:space="preserve"> 1304/2013</w:t>
      </w:r>
      <w:r w:rsidRPr="00173D95">
        <w:rPr>
          <w:rFonts w:ascii="Verdana" w:hAnsi="Verdana" w:cs="TimesNewRoman"/>
          <w:i/>
          <w:sz w:val="20"/>
          <w:szCs w:val="20"/>
          <w:lang w:val="bg-BG"/>
        </w:rPr>
        <w:t>.</w:t>
      </w:r>
    </w:p>
    <w:p w:rsidR="0026362F" w:rsidRDefault="0026362F" w:rsidP="0026362F">
      <w:pPr>
        <w:autoSpaceDE w:val="0"/>
        <w:autoSpaceDN w:val="0"/>
        <w:adjustRightInd w:val="0"/>
        <w:spacing w:before="120" w:after="120"/>
        <w:jc w:val="both"/>
        <w:rPr>
          <w:rFonts w:ascii="Verdana" w:eastAsia="Malgun Gothic" w:hAnsi="Verdana"/>
          <w:bCs/>
          <w:sz w:val="20"/>
          <w:szCs w:val="20"/>
          <w:lang w:val="bg-BG" w:eastAsia="ko-KR"/>
        </w:rPr>
      </w:pPr>
      <w:r w:rsidRPr="005E0597">
        <w:rPr>
          <w:rFonts w:ascii="Verdana" w:eastAsia="Malgun Gothic" w:hAnsi="Verdana"/>
          <w:bCs/>
          <w:sz w:val="20"/>
          <w:szCs w:val="20"/>
          <w:lang w:val="bg-BG" w:eastAsia="ko-KR"/>
        </w:rPr>
        <w:t xml:space="preserve">Отговорите на експертите </w:t>
      </w:r>
      <w:r>
        <w:rPr>
          <w:rFonts w:ascii="Verdana" w:eastAsia="Malgun Gothic" w:hAnsi="Verdana"/>
          <w:bCs/>
          <w:sz w:val="20"/>
          <w:szCs w:val="20"/>
          <w:lang w:val="bg-BG" w:eastAsia="ko-KR"/>
        </w:rPr>
        <w:t xml:space="preserve"> от онлайн проучването показват, че системата за </w:t>
      </w:r>
      <w:r w:rsidRPr="005E0597">
        <w:rPr>
          <w:rFonts w:ascii="Verdana" w:hAnsi="Verdana"/>
          <w:bCs/>
          <w:sz w:val="20"/>
          <w:szCs w:val="20"/>
          <w:lang w:val="bg-BG"/>
        </w:rPr>
        <w:t xml:space="preserve"> мониторинг на ОП</w:t>
      </w:r>
      <w:r>
        <w:rPr>
          <w:rFonts w:ascii="Verdana" w:hAnsi="Verdana"/>
          <w:bCs/>
          <w:sz w:val="20"/>
          <w:szCs w:val="20"/>
          <w:lang w:val="bg-BG"/>
        </w:rPr>
        <w:t xml:space="preserve">НОИР </w:t>
      </w:r>
      <w:r w:rsidRPr="005E0597">
        <w:rPr>
          <w:rFonts w:ascii="Verdana" w:hAnsi="Verdana"/>
          <w:bCs/>
          <w:sz w:val="20"/>
          <w:szCs w:val="20"/>
          <w:lang w:val="bg-BG"/>
        </w:rPr>
        <w:t>20</w:t>
      </w:r>
      <w:r>
        <w:rPr>
          <w:rFonts w:ascii="Verdana" w:hAnsi="Verdana"/>
          <w:bCs/>
          <w:sz w:val="20"/>
          <w:szCs w:val="20"/>
          <w:lang w:val="bg-BG"/>
        </w:rPr>
        <w:t>14</w:t>
      </w:r>
      <w:r w:rsidRPr="005E0597">
        <w:rPr>
          <w:rFonts w:ascii="Verdana" w:hAnsi="Verdana"/>
          <w:bCs/>
          <w:sz w:val="20"/>
          <w:szCs w:val="20"/>
          <w:lang w:val="bg-BG"/>
        </w:rPr>
        <w:t>-20</w:t>
      </w:r>
      <w:r>
        <w:rPr>
          <w:rFonts w:ascii="Verdana" w:hAnsi="Verdana"/>
          <w:bCs/>
          <w:sz w:val="20"/>
          <w:szCs w:val="20"/>
          <w:lang w:val="bg-BG"/>
        </w:rPr>
        <w:t>20</w:t>
      </w:r>
      <w:r w:rsidRPr="005E0597">
        <w:rPr>
          <w:rFonts w:ascii="Verdana" w:hAnsi="Verdana"/>
          <w:bCs/>
          <w:sz w:val="20"/>
          <w:szCs w:val="20"/>
          <w:lang w:val="bg-BG"/>
        </w:rPr>
        <w:t>3</w:t>
      </w:r>
      <w:r>
        <w:rPr>
          <w:rFonts w:ascii="Verdana" w:hAnsi="Verdana"/>
          <w:bCs/>
          <w:sz w:val="20"/>
          <w:szCs w:val="20"/>
          <w:lang w:val="bg-BG"/>
        </w:rPr>
        <w:t xml:space="preserve"> г.</w:t>
      </w:r>
      <w:r w:rsidRPr="005E0597">
        <w:rPr>
          <w:rFonts w:ascii="Verdana" w:hAnsi="Verdana"/>
          <w:bCs/>
          <w:sz w:val="20"/>
          <w:szCs w:val="20"/>
          <w:lang w:val="bg-BG"/>
        </w:rPr>
        <w:t xml:space="preserve"> </w:t>
      </w:r>
      <w:r>
        <w:rPr>
          <w:rFonts w:ascii="Verdana" w:hAnsi="Verdana"/>
          <w:bCs/>
          <w:sz w:val="20"/>
          <w:szCs w:val="20"/>
          <w:lang w:val="bg-BG"/>
        </w:rPr>
        <w:t xml:space="preserve"> </w:t>
      </w:r>
      <w:r w:rsidRPr="00F65079">
        <w:rPr>
          <w:rFonts w:ascii="Verdana" w:eastAsia="Malgun Gothic" w:hAnsi="Verdana"/>
          <w:bCs/>
          <w:sz w:val="20"/>
          <w:szCs w:val="20"/>
          <w:lang w:val="bg-BG" w:eastAsia="ko-KR"/>
        </w:rPr>
        <w:t>следва да бъде укрепена в следните области: качество на подаваната информация на ниво проект (</w:t>
      </w:r>
      <w:r>
        <w:rPr>
          <w:rFonts w:ascii="Verdana" w:eastAsia="Malgun Gothic" w:hAnsi="Verdana"/>
          <w:bCs/>
          <w:sz w:val="20"/>
          <w:szCs w:val="20"/>
          <w:lang w:val="bg-BG" w:eastAsia="ko-KR"/>
        </w:rPr>
        <w:t>67</w:t>
      </w:r>
      <w:r w:rsidRPr="00F65079">
        <w:rPr>
          <w:rFonts w:ascii="Verdana" w:eastAsia="Malgun Gothic" w:hAnsi="Verdana"/>
          <w:bCs/>
          <w:sz w:val="20"/>
          <w:szCs w:val="20"/>
          <w:lang w:val="bg-BG" w:eastAsia="ko-KR"/>
        </w:rPr>
        <w:t xml:space="preserve"> %), качество на  обработваната информация на ниво схема/ приоритетна ос (възможност за агрегиране на данните и информацията) (5</w:t>
      </w:r>
      <w:r>
        <w:rPr>
          <w:rFonts w:ascii="Verdana" w:eastAsia="Malgun Gothic" w:hAnsi="Verdana"/>
          <w:bCs/>
          <w:sz w:val="20"/>
          <w:szCs w:val="20"/>
          <w:lang w:val="bg-BG" w:eastAsia="ko-KR"/>
        </w:rPr>
        <w:t>3</w:t>
      </w:r>
      <w:r w:rsidRPr="00F65079">
        <w:rPr>
          <w:rFonts w:ascii="Verdana" w:eastAsia="Malgun Gothic" w:hAnsi="Verdana"/>
          <w:bCs/>
          <w:sz w:val="20"/>
          <w:szCs w:val="20"/>
          <w:lang w:val="bg-BG" w:eastAsia="ko-KR"/>
        </w:rPr>
        <w:t xml:space="preserve">%), използване на набраните данни от система за </w:t>
      </w:r>
      <w:proofErr w:type="spellStart"/>
      <w:r w:rsidRPr="00F65079">
        <w:rPr>
          <w:rFonts w:ascii="Verdana" w:eastAsia="Malgun Gothic" w:hAnsi="Verdana"/>
          <w:bCs/>
          <w:sz w:val="20"/>
          <w:szCs w:val="20"/>
          <w:lang w:val="bg-BG" w:eastAsia="ko-KR"/>
        </w:rPr>
        <w:t>мониториг</w:t>
      </w:r>
      <w:proofErr w:type="spellEnd"/>
      <w:r w:rsidRPr="00F65079">
        <w:rPr>
          <w:rFonts w:ascii="Verdana" w:eastAsia="Malgun Gothic" w:hAnsi="Verdana"/>
          <w:bCs/>
          <w:sz w:val="20"/>
          <w:szCs w:val="20"/>
          <w:lang w:val="bg-BG" w:eastAsia="ko-KR"/>
        </w:rPr>
        <w:t xml:space="preserve"> за изготвяне на анализи за изпълнението на програмата (</w:t>
      </w:r>
      <w:r>
        <w:rPr>
          <w:rFonts w:ascii="Verdana" w:eastAsia="Malgun Gothic" w:hAnsi="Verdana"/>
          <w:bCs/>
          <w:sz w:val="20"/>
          <w:szCs w:val="20"/>
          <w:lang w:val="bg-BG" w:eastAsia="ko-KR"/>
        </w:rPr>
        <w:t>49</w:t>
      </w:r>
      <w:r w:rsidRPr="00F65079">
        <w:rPr>
          <w:rFonts w:ascii="Verdana" w:eastAsia="Malgun Gothic" w:hAnsi="Verdana"/>
          <w:bCs/>
          <w:sz w:val="20"/>
          <w:szCs w:val="20"/>
          <w:lang w:val="bg-BG" w:eastAsia="ko-KR"/>
        </w:rPr>
        <w:t>%)</w:t>
      </w:r>
      <w:r>
        <w:rPr>
          <w:rFonts w:ascii="Verdana" w:eastAsia="Malgun Gothic" w:hAnsi="Verdana"/>
          <w:bCs/>
          <w:sz w:val="20"/>
          <w:szCs w:val="20"/>
          <w:lang w:val="bg-BG" w:eastAsia="ko-KR"/>
        </w:rPr>
        <w:t>.</w:t>
      </w:r>
    </w:p>
    <w:p w:rsidR="0026362F" w:rsidRDefault="0026362F" w:rsidP="0026362F">
      <w:pPr>
        <w:autoSpaceDE w:val="0"/>
        <w:autoSpaceDN w:val="0"/>
        <w:adjustRightInd w:val="0"/>
        <w:spacing w:before="120" w:after="120"/>
        <w:jc w:val="both"/>
        <w:rPr>
          <w:rFonts w:ascii="Verdana" w:eastAsia="Malgun Gothic" w:hAnsi="Verdana"/>
          <w:bCs/>
          <w:sz w:val="20"/>
          <w:szCs w:val="20"/>
          <w:lang w:val="bg-BG" w:eastAsia="ko-KR"/>
        </w:rPr>
      </w:pPr>
      <w:r>
        <w:rPr>
          <w:rFonts w:ascii="Verdana" w:eastAsia="Malgun Gothic" w:hAnsi="Verdana"/>
          <w:bCs/>
          <w:sz w:val="20"/>
          <w:szCs w:val="20"/>
          <w:lang w:val="bg-BG" w:eastAsia="ko-KR"/>
        </w:rPr>
        <w:t>От гледна точка на индикаторите като основно средство за мониторинг на програмата, основната трудност е н</w:t>
      </w:r>
      <w:r w:rsidRPr="00A46C9D">
        <w:rPr>
          <w:rFonts w:ascii="Verdana" w:eastAsia="Malgun Gothic" w:hAnsi="Verdana"/>
          <w:bCs/>
          <w:sz w:val="20"/>
          <w:szCs w:val="20"/>
          <w:lang w:val="bg-BG" w:eastAsia="ko-KR"/>
        </w:rPr>
        <w:t>еясното отчитане на индикаторите на ниво проект от страна на бенефициентите (7</w:t>
      </w:r>
      <w:r>
        <w:rPr>
          <w:rFonts w:ascii="Verdana" w:eastAsia="Malgun Gothic" w:hAnsi="Verdana"/>
          <w:bCs/>
          <w:sz w:val="20"/>
          <w:szCs w:val="20"/>
          <w:lang w:val="bg-BG" w:eastAsia="ko-KR"/>
        </w:rPr>
        <w:t>6</w:t>
      </w:r>
      <w:r w:rsidRPr="00A46C9D">
        <w:rPr>
          <w:rFonts w:ascii="Verdana" w:eastAsia="Malgun Gothic" w:hAnsi="Verdana"/>
          <w:bCs/>
          <w:sz w:val="20"/>
          <w:szCs w:val="20"/>
          <w:lang w:val="bg-BG" w:eastAsia="ko-KR"/>
        </w:rPr>
        <w:t xml:space="preserve"> %)</w:t>
      </w:r>
      <w:r>
        <w:rPr>
          <w:rFonts w:ascii="Verdana" w:eastAsia="Malgun Gothic" w:hAnsi="Verdana"/>
          <w:bCs/>
          <w:sz w:val="20"/>
          <w:szCs w:val="20"/>
          <w:lang w:val="bg-BG" w:eastAsia="ko-KR"/>
        </w:rPr>
        <w:t xml:space="preserve">. Получените резултати, показват, че основните трудности са свързани с разбирането на индикаторите от страна на бенефициентите и как те ги полагат, остойностяват и отчитат и следователно е препоръчително УО да разработи по-подробни насоки за прилагането на индикаторите, които да са включени към пакета документи за кандидатстване по всяка схема. </w:t>
      </w:r>
    </w:p>
    <w:p w:rsidR="0026362F" w:rsidRPr="00514908" w:rsidRDefault="0026362F" w:rsidP="0026362F">
      <w:pPr>
        <w:keepNext/>
        <w:pBdr>
          <w:bottom w:val="single" w:sz="12" w:space="1" w:color="0070C0"/>
        </w:pBdr>
        <w:autoSpaceDE w:val="0"/>
        <w:autoSpaceDN w:val="0"/>
        <w:adjustRightInd w:val="0"/>
        <w:spacing w:before="120" w:after="120" w:line="240" w:lineRule="auto"/>
        <w:rPr>
          <w:rFonts w:ascii="Verdana" w:eastAsia="Times New Roman" w:hAnsi="Verdana" w:cs="TimesNewRomanPSMT"/>
          <w:i/>
          <w:color w:val="548DD4" w:themeColor="text2" w:themeTint="99"/>
          <w:sz w:val="20"/>
          <w:szCs w:val="20"/>
          <w:lang w:val="bg-BG" w:eastAsia="bg-BG"/>
        </w:rPr>
      </w:pPr>
      <w:r>
        <w:rPr>
          <w:rFonts w:ascii="Verdana" w:eastAsia="Times New Roman" w:hAnsi="Verdana" w:cs="TimesNewRomanPSMT"/>
          <w:i/>
          <w:color w:val="548DD4" w:themeColor="text2" w:themeTint="99"/>
          <w:sz w:val="20"/>
          <w:szCs w:val="20"/>
          <w:lang w:val="bg-BG" w:eastAsia="bg-BG"/>
        </w:rPr>
        <w:lastRenderedPageBreak/>
        <w:t>Система за наблюдение</w:t>
      </w:r>
    </w:p>
    <w:p w:rsidR="0026362F" w:rsidRPr="00173D95" w:rsidRDefault="0026362F" w:rsidP="0026362F">
      <w:pPr>
        <w:autoSpaceDE w:val="0"/>
        <w:autoSpaceDN w:val="0"/>
        <w:adjustRightInd w:val="0"/>
        <w:spacing w:before="120" w:after="120" w:line="240" w:lineRule="auto"/>
        <w:jc w:val="both"/>
        <w:rPr>
          <w:rFonts w:ascii="Verdana" w:hAnsi="Verdana"/>
          <w:sz w:val="20"/>
          <w:szCs w:val="20"/>
          <w:lang w:val="bg-BG"/>
        </w:rPr>
      </w:pPr>
      <w:r w:rsidRPr="00173D95">
        <w:rPr>
          <w:rFonts w:ascii="Verdana" w:hAnsi="Verdana"/>
          <w:sz w:val="20"/>
          <w:szCs w:val="20"/>
          <w:lang w:val="bg-BG"/>
        </w:rPr>
        <w:t>Ефективната системата за наблюдение следи основн</w:t>
      </w:r>
      <w:r>
        <w:rPr>
          <w:rFonts w:ascii="Verdana" w:hAnsi="Verdana"/>
          <w:sz w:val="20"/>
          <w:szCs w:val="20"/>
          <w:lang w:val="bg-BG"/>
        </w:rPr>
        <w:t>о</w:t>
      </w:r>
      <w:r w:rsidRPr="00173D95">
        <w:rPr>
          <w:rFonts w:ascii="Verdana" w:hAnsi="Verdana"/>
          <w:sz w:val="20"/>
          <w:szCs w:val="20"/>
          <w:lang w:val="bg-BG"/>
        </w:rPr>
        <w:t xml:space="preserve"> следните елементи:</w:t>
      </w:r>
    </w:p>
    <w:p w:rsidR="0026362F" w:rsidRPr="00173D95" w:rsidRDefault="0026362F" w:rsidP="006861B0">
      <w:pPr>
        <w:pStyle w:val="ListParagraph"/>
        <w:numPr>
          <w:ilvl w:val="0"/>
          <w:numId w:val="90"/>
        </w:numPr>
        <w:autoSpaceDE w:val="0"/>
        <w:autoSpaceDN w:val="0"/>
        <w:adjustRightInd w:val="0"/>
        <w:spacing w:before="120" w:after="120" w:line="240" w:lineRule="auto"/>
        <w:jc w:val="both"/>
        <w:rPr>
          <w:rFonts w:ascii="Verdana" w:hAnsi="Verdana"/>
          <w:sz w:val="20"/>
          <w:szCs w:val="20"/>
          <w:lang w:val="bg-BG"/>
        </w:rPr>
      </w:pPr>
      <w:r w:rsidRPr="00173D95">
        <w:rPr>
          <w:rFonts w:ascii="Verdana" w:hAnsi="Verdana"/>
          <w:sz w:val="20"/>
          <w:szCs w:val="20"/>
          <w:lang w:val="bg-BG"/>
        </w:rPr>
        <w:t>Постигнатите физически резултати и принос</w:t>
      </w:r>
      <w:r>
        <w:rPr>
          <w:rFonts w:ascii="Verdana" w:hAnsi="Verdana"/>
          <w:sz w:val="20"/>
          <w:szCs w:val="20"/>
          <w:lang w:val="bg-BG"/>
        </w:rPr>
        <w:t>а</w:t>
      </w:r>
      <w:r w:rsidRPr="00173D95">
        <w:rPr>
          <w:rFonts w:ascii="Verdana" w:hAnsi="Verdana"/>
          <w:sz w:val="20"/>
          <w:szCs w:val="20"/>
          <w:lang w:val="bg-BG"/>
        </w:rPr>
        <w:t xml:space="preserve"> им към постигане на целите на оперативната програма;</w:t>
      </w:r>
    </w:p>
    <w:p w:rsidR="0026362F" w:rsidRPr="00173D95" w:rsidRDefault="0026362F" w:rsidP="006861B0">
      <w:pPr>
        <w:pStyle w:val="ListParagraph"/>
        <w:numPr>
          <w:ilvl w:val="0"/>
          <w:numId w:val="90"/>
        </w:numPr>
        <w:autoSpaceDE w:val="0"/>
        <w:autoSpaceDN w:val="0"/>
        <w:adjustRightInd w:val="0"/>
        <w:spacing w:before="120" w:after="120" w:line="240" w:lineRule="auto"/>
        <w:jc w:val="both"/>
        <w:rPr>
          <w:rFonts w:ascii="Verdana" w:hAnsi="Verdana"/>
          <w:sz w:val="20"/>
          <w:szCs w:val="20"/>
          <w:lang w:val="bg-BG"/>
        </w:rPr>
      </w:pPr>
      <w:r w:rsidRPr="00173D95">
        <w:rPr>
          <w:rFonts w:ascii="Verdana" w:hAnsi="Verdana"/>
          <w:sz w:val="20"/>
          <w:szCs w:val="20"/>
          <w:lang w:val="bg-BG"/>
        </w:rPr>
        <w:t>Финансовия</w:t>
      </w:r>
      <w:r>
        <w:rPr>
          <w:rFonts w:ascii="Verdana" w:hAnsi="Verdana"/>
          <w:sz w:val="20"/>
          <w:szCs w:val="20"/>
          <w:lang w:val="bg-BG"/>
        </w:rPr>
        <w:t xml:space="preserve"> </w:t>
      </w:r>
      <w:r w:rsidRPr="00173D95">
        <w:rPr>
          <w:rFonts w:ascii="Verdana" w:hAnsi="Verdana"/>
          <w:sz w:val="20"/>
          <w:szCs w:val="20"/>
          <w:lang w:val="bg-BG"/>
        </w:rPr>
        <w:t>напредък;</w:t>
      </w:r>
    </w:p>
    <w:p w:rsidR="0026362F" w:rsidRDefault="0026362F" w:rsidP="006861B0">
      <w:pPr>
        <w:pStyle w:val="ListParagraph"/>
        <w:numPr>
          <w:ilvl w:val="0"/>
          <w:numId w:val="90"/>
        </w:numPr>
        <w:autoSpaceDE w:val="0"/>
        <w:autoSpaceDN w:val="0"/>
        <w:adjustRightInd w:val="0"/>
        <w:spacing w:before="120" w:after="120" w:line="240" w:lineRule="auto"/>
        <w:jc w:val="both"/>
        <w:rPr>
          <w:rFonts w:ascii="Verdana" w:hAnsi="Verdana"/>
          <w:sz w:val="20"/>
          <w:szCs w:val="20"/>
          <w:lang w:val="bg-BG"/>
        </w:rPr>
      </w:pPr>
      <w:r w:rsidRPr="00173D95">
        <w:rPr>
          <w:rFonts w:ascii="Verdana" w:hAnsi="Verdana"/>
          <w:sz w:val="20"/>
          <w:szCs w:val="20"/>
          <w:lang w:val="bg-BG"/>
        </w:rPr>
        <w:t>Качество на механизмите за управление</w:t>
      </w:r>
      <w:r>
        <w:rPr>
          <w:rFonts w:ascii="Verdana" w:hAnsi="Verdana"/>
          <w:sz w:val="20"/>
          <w:szCs w:val="20"/>
          <w:lang w:val="bg-BG"/>
        </w:rPr>
        <w:t xml:space="preserve"> - т.е. системата за мониторинг би могла да идентифицира системни грешки, както и нерелевантни процедури и контроли.</w:t>
      </w:r>
    </w:p>
    <w:p w:rsidR="0026362F" w:rsidRPr="00173D95" w:rsidRDefault="0026362F" w:rsidP="0026362F">
      <w:pPr>
        <w:spacing w:before="120" w:after="120"/>
        <w:jc w:val="both"/>
        <w:rPr>
          <w:rFonts w:ascii="Verdana" w:eastAsia="Malgun Gothic" w:hAnsi="Verdana"/>
          <w:bCs/>
          <w:color w:val="000000"/>
          <w:sz w:val="20"/>
          <w:szCs w:val="20"/>
          <w:lang w:val="bg-BG" w:eastAsia="ko-KR"/>
        </w:rPr>
      </w:pPr>
      <w:r w:rsidRPr="00173D95">
        <w:rPr>
          <w:rFonts w:ascii="Verdana" w:eastAsia="Malgun Gothic" w:hAnsi="Verdana"/>
          <w:bCs/>
          <w:color w:val="000000"/>
          <w:sz w:val="20"/>
          <w:szCs w:val="20"/>
          <w:lang w:val="bg-BG" w:eastAsia="ko-KR"/>
        </w:rPr>
        <w:t>Системата за наблюдение трябва да събира регулярна информация, която да установява действителния напредък спрямо планирания и възможност за своевременно откриване на пропуски и слабости, застрашава</w:t>
      </w:r>
      <w:r>
        <w:rPr>
          <w:rFonts w:ascii="Verdana" w:eastAsia="Malgun Gothic" w:hAnsi="Verdana"/>
          <w:bCs/>
          <w:color w:val="000000"/>
          <w:sz w:val="20"/>
          <w:szCs w:val="20"/>
          <w:lang w:val="bg-BG" w:eastAsia="ko-KR"/>
        </w:rPr>
        <w:t>щи</w:t>
      </w:r>
      <w:r w:rsidRPr="00173D95">
        <w:rPr>
          <w:rFonts w:ascii="Verdana" w:eastAsia="Malgun Gothic" w:hAnsi="Verdana"/>
          <w:bCs/>
          <w:color w:val="000000"/>
          <w:sz w:val="20"/>
          <w:szCs w:val="20"/>
          <w:lang w:val="bg-BG" w:eastAsia="ko-KR"/>
        </w:rPr>
        <w:t xml:space="preserve"> постигането на целите. В същото време набираната информация трябва да се използва, при необходимост, за вземане на решения за промяна в управлението и изпълнението на програмата. В последните години се търси по-голяма връзка между системата за наблюдение и оценката</w:t>
      </w:r>
      <w:r w:rsidRPr="00173D95">
        <w:rPr>
          <w:rFonts w:ascii="Verdana" w:eastAsia="Malgun Gothic" w:hAnsi="Verdana"/>
          <w:bCs/>
          <w:color w:val="000000"/>
          <w:sz w:val="20"/>
          <w:szCs w:val="20"/>
          <w:vertAlign w:val="superscript"/>
          <w:lang w:val="bg-BG" w:eastAsia="ko-KR"/>
        </w:rPr>
        <w:footnoteReference w:id="13"/>
      </w:r>
      <w:r w:rsidRPr="00173D95">
        <w:rPr>
          <w:rFonts w:ascii="Verdana" w:eastAsia="Malgun Gothic" w:hAnsi="Verdana"/>
          <w:bCs/>
          <w:color w:val="000000"/>
          <w:sz w:val="20"/>
          <w:szCs w:val="20"/>
          <w:lang w:val="bg-BG" w:eastAsia="ko-KR"/>
        </w:rPr>
        <w:t xml:space="preserve"> с цел възможност за своевременно вземане на управленски решения.</w:t>
      </w:r>
    </w:p>
    <w:p w:rsidR="0026362F" w:rsidRPr="00E77A32" w:rsidRDefault="0026362F" w:rsidP="0026362F">
      <w:pPr>
        <w:autoSpaceDE w:val="0"/>
        <w:autoSpaceDN w:val="0"/>
        <w:adjustRightInd w:val="0"/>
        <w:spacing w:before="120" w:after="120" w:line="240" w:lineRule="auto"/>
        <w:jc w:val="both"/>
        <w:rPr>
          <w:rFonts w:ascii="Verdana" w:hAnsi="Verdana"/>
          <w:sz w:val="20"/>
          <w:szCs w:val="20"/>
          <w:lang w:val="bg-BG"/>
        </w:rPr>
      </w:pPr>
      <w:r w:rsidRPr="00E77A32">
        <w:rPr>
          <w:rFonts w:ascii="Verdana" w:hAnsi="Verdana"/>
          <w:sz w:val="20"/>
          <w:szCs w:val="20"/>
          <w:lang w:val="bg-BG"/>
        </w:rPr>
        <w:t>Освен това системата за наблюдение трябва да осигури, че:</w:t>
      </w:r>
    </w:p>
    <w:p w:rsidR="0026362F" w:rsidRPr="00173D95" w:rsidRDefault="0026362F" w:rsidP="006861B0">
      <w:pPr>
        <w:pStyle w:val="ListParagraph"/>
        <w:numPr>
          <w:ilvl w:val="0"/>
          <w:numId w:val="91"/>
        </w:numPr>
        <w:autoSpaceDE w:val="0"/>
        <w:autoSpaceDN w:val="0"/>
        <w:adjustRightInd w:val="0"/>
        <w:spacing w:before="120" w:after="120" w:line="240" w:lineRule="auto"/>
        <w:jc w:val="both"/>
        <w:rPr>
          <w:rFonts w:ascii="Verdana" w:hAnsi="Verdana"/>
          <w:sz w:val="20"/>
          <w:szCs w:val="20"/>
          <w:lang w:val="bg-BG"/>
        </w:rPr>
      </w:pPr>
      <w:r w:rsidRPr="00173D95">
        <w:rPr>
          <w:rFonts w:ascii="Verdana" w:hAnsi="Verdana"/>
          <w:sz w:val="20"/>
          <w:szCs w:val="20"/>
          <w:lang w:val="bg-BG"/>
        </w:rPr>
        <w:t>Са обхванати всички елементи в системата – включително, че механизмите за наблюдение са заложени във формулярите за кандидатстване на бенефициентите и насоките към тях.</w:t>
      </w:r>
    </w:p>
    <w:p w:rsidR="0026362F" w:rsidRPr="00173D95" w:rsidRDefault="0026362F" w:rsidP="006861B0">
      <w:pPr>
        <w:pStyle w:val="ListParagraph"/>
        <w:numPr>
          <w:ilvl w:val="0"/>
          <w:numId w:val="91"/>
        </w:numPr>
        <w:autoSpaceDE w:val="0"/>
        <w:autoSpaceDN w:val="0"/>
        <w:adjustRightInd w:val="0"/>
        <w:spacing w:before="120" w:after="120" w:line="240" w:lineRule="auto"/>
        <w:jc w:val="both"/>
        <w:rPr>
          <w:rFonts w:ascii="Verdana" w:hAnsi="Verdana"/>
          <w:sz w:val="20"/>
          <w:szCs w:val="20"/>
          <w:lang w:val="bg-BG"/>
        </w:rPr>
      </w:pPr>
      <w:r w:rsidRPr="00173D95">
        <w:rPr>
          <w:rFonts w:ascii="Verdana" w:hAnsi="Verdana"/>
          <w:sz w:val="20"/>
          <w:szCs w:val="20"/>
          <w:lang w:val="bg-BG"/>
        </w:rPr>
        <w:t>Формулярите на проектите посочват индикатори, които имат ясна връзка с индикаторите, заложени в оперативната програма</w:t>
      </w:r>
      <w:r>
        <w:rPr>
          <w:rFonts w:ascii="Verdana" w:hAnsi="Verdana"/>
          <w:sz w:val="20"/>
          <w:szCs w:val="20"/>
          <w:lang w:val="bg-BG"/>
        </w:rPr>
        <w:t>.</w:t>
      </w:r>
    </w:p>
    <w:p w:rsidR="0026362F" w:rsidRPr="00173D95" w:rsidRDefault="0026362F" w:rsidP="006861B0">
      <w:pPr>
        <w:pStyle w:val="ListParagraph"/>
        <w:numPr>
          <w:ilvl w:val="0"/>
          <w:numId w:val="91"/>
        </w:numPr>
        <w:autoSpaceDE w:val="0"/>
        <w:autoSpaceDN w:val="0"/>
        <w:adjustRightInd w:val="0"/>
        <w:spacing w:before="120" w:after="120" w:line="240" w:lineRule="auto"/>
        <w:jc w:val="both"/>
        <w:rPr>
          <w:rFonts w:ascii="Verdana" w:hAnsi="Verdana"/>
          <w:sz w:val="20"/>
          <w:szCs w:val="20"/>
          <w:lang w:val="bg-BG"/>
        </w:rPr>
      </w:pPr>
      <w:r w:rsidRPr="00173D95">
        <w:rPr>
          <w:rFonts w:ascii="Verdana" w:hAnsi="Verdana"/>
          <w:sz w:val="20"/>
          <w:szCs w:val="20"/>
          <w:lang w:val="bg-BG"/>
        </w:rPr>
        <w:t xml:space="preserve">Предоставянето на информация за целите на наблюдение на изпълнението е заложено в </w:t>
      </w:r>
      <w:r>
        <w:rPr>
          <w:rFonts w:ascii="Verdana" w:hAnsi="Verdana"/>
          <w:sz w:val="20"/>
          <w:szCs w:val="20"/>
          <w:lang w:val="bg-BG"/>
        </w:rPr>
        <w:t>договорите</w:t>
      </w:r>
      <w:r w:rsidRPr="00173D95">
        <w:rPr>
          <w:rFonts w:ascii="Verdana" w:hAnsi="Verdana"/>
          <w:sz w:val="20"/>
          <w:szCs w:val="20"/>
          <w:lang w:val="bg-BG"/>
        </w:rPr>
        <w:t xml:space="preserve"> с бенефициентите</w:t>
      </w:r>
      <w:r>
        <w:rPr>
          <w:rFonts w:ascii="Verdana" w:hAnsi="Verdana"/>
          <w:sz w:val="20"/>
          <w:szCs w:val="20"/>
          <w:lang w:val="bg-BG"/>
        </w:rPr>
        <w:t>.</w:t>
      </w:r>
    </w:p>
    <w:p w:rsidR="0026362F" w:rsidRDefault="0026362F" w:rsidP="0026362F">
      <w:pPr>
        <w:autoSpaceDE w:val="0"/>
        <w:autoSpaceDN w:val="0"/>
        <w:adjustRightInd w:val="0"/>
        <w:spacing w:before="120" w:after="120"/>
        <w:jc w:val="both"/>
        <w:rPr>
          <w:rFonts w:ascii="Verdana" w:hAnsi="Verdana" w:cs="OpalCYR"/>
          <w:sz w:val="20"/>
          <w:szCs w:val="20"/>
          <w:lang w:val="bg-BG"/>
        </w:rPr>
      </w:pPr>
      <w:r>
        <w:rPr>
          <w:rFonts w:ascii="Verdana" w:hAnsi="Verdana" w:cs="OpalCYR"/>
          <w:sz w:val="20"/>
          <w:szCs w:val="20"/>
          <w:lang w:val="bg-BG"/>
        </w:rPr>
        <w:t>По-долу е направен а</w:t>
      </w:r>
      <w:r w:rsidRPr="00CB31F2">
        <w:rPr>
          <w:rFonts w:ascii="Verdana" w:hAnsi="Verdana" w:cs="OpalCYR"/>
          <w:sz w:val="20"/>
          <w:szCs w:val="20"/>
          <w:lang w:val="bg-BG"/>
        </w:rPr>
        <w:t xml:space="preserve">нализ на потребностите от информация за наблюдението на </w:t>
      </w:r>
      <w:r>
        <w:rPr>
          <w:rFonts w:ascii="Verdana" w:hAnsi="Verdana" w:cs="OpalCYR"/>
          <w:sz w:val="20"/>
          <w:szCs w:val="20"/>
          <w:lang w:val="bg-BG"/>
        </w:rPr>
        <w:t xml:space="preserve">оперативната програма, на базата на системата за мониторинг в оперативна програма – ОПРЧР 2007 - 2013, тъй като и бенефициентите и ГДСФМОП имат вече изграден опит при ползването на тази система.  </w:t>
      </w:r>
    </w:p>
    <w:p w:rsidR="0026362F" w:rsidRPr="00CB31F2" w:rsidRDefault="0026362F" w:rsidP="0026362F">
      <w:pPr>
        <w:autoSpaceDE w:val="0"/>
        <w:autoSpaceDN w:val="0"/>
        <w:adjustRightInd w:val="0"/>
        <w:spacing w:before="120" w:after="120"/>
        <w:jc w:val="both"/>
        <w:rPr>
          <w:rFonts w:ascii="Verdana" w:hAnsi="Verdana" w:cs="OpalCYR"/>
          <w:sz w:val="20"/>
          <w:szCs w:val="20"/>
          <w:lang w:val="bg-BG"/>
        </w:rPr>
      </w:pPr>
      <w:r>
        <w:rPr>
          <w:rFonts w:ascii="Verdana" w:hAnsi="Verdana" w:cs="OpalCYR"/>
          <w:sz w:val="20"/>
          <w:szCs w:val="20"/>
          <w:lang w:val="bg-BG"/>
        </w:rPr>
        <w:t>Системата за мониторинг</w:t>
      </w:r>
      <w:r w:rsidRPr="00CB31F2">
        <w:rPr>
          <w:rFonts w:ascii="Verdana" w:hAnsi="Verdana" w:cs="OpalCYR"/>
          <w:sz w:val="20"/>
          <w:szCs w:val="20"/>
          <w:lang w:val="bg-BG"/>
        </w:rPr>
        <w:t xml:space="preserve"> включва следните въпроси:</w:t>
      </w:r>
    </w:p>
    <w:p w:rsidR="0026362F" w:rsidRPr="00995BA0" w:rsidRDefault="0026362F" w:rsidP="006861B0">
      <w:pPr>
        <w:pStyle w:val="ListParagraph"/>
        <w:numPr>
          <w:ilvl w:val="0"/>
          <w:numId w:val="93"/>
        </w:numPr>
        <w:autoSpaceDE w:val="0"/>
        <w:autoSpaceDN w:val="0"/>
        <w:adjustRightInd w:val="0"/>
        <w:spacing w:before="120" w:after="120"/>
        <w:contextualSpacing/>
        <w:jc w:val="both"/>
        <w:rPr>
          <w:rFonts w:ascii="Verdana" w:hAnsi="Verdana" w:cs="OpalCYR"/>
          <w:sz w:val="20"/>
          <w:szCs w:val="20"/>
          <w:lang w:val="bg-BG"/>
        </w:rPr>
      </w:pPr>
      <w:r w:rsidRPr="00995BA0">
        <w:rPr>
          <w:rFonts w:ascii="Verdana" w:hAnsi="Verdana" w:cs="OpalCYR"/>
          <w:sz w:val="20"/>
          <w:szCs w:val="20"/>
          <w:lang w:val="bg-BG"/>
        </w:rPr>
        <w:t>каква информация се събира;</w:t>
      </w:r>
    </w:p>
    <w:p w:rsidR="0026362F" w:rsidRPr="00995BA0" w:rsidRDefault="0026362F" w:rsidP="006861B0">
      <w:pPr>
        <w:pStyle w:val="ListParagraph"/>
        <w:numPr>
          <w:ilvl w:val="0"/>
          <w:numId w:val="93"/>
        </w:numPr>
        <w:autoSpaceDE w:val="0"/>
        <w:autoSpaceDN w:val="0"/>
        <w:adjustRightInd w:val="0"/>
        <w:spacing w:before="120" w:after="120"/>
        <w:contextualSpacing/>
        <w:jc w:val="both"/>
        <w:rPr>
          <w:rFonts w:ascii="Verdana" w:hAnsi="Verdana" w:cs="OpalCYR"/>
          <w:sz w:val="20"/>
          <w:szCs w:val="20"/>
          <w:lang w:val="bg-BG"/>
        </w:rPr>
      </w:pPr>
      <w:r w:rsidRPr="00995BA0">
        <w:rPr>
          <w:rFonts w:ascii="Verdana" w:hAnsi="Verdana" w:cs="OpalCYR"/>
          <w:sz w:val="20"/>
          <w:szCs w:val="20"/>
          <w:lang w:val="bg-BG"/>
        </w:rPr>
        <w:t>как да се събира информацията;</w:t>
      </w:r>
    </w:p>
    <w:p w:rsidR="0026362F" w:rsidRPr="00995BA0" w:rsidRDefault="0026362F" w:rsidP="006861B0">
      <w:pPr>
        <w:pStyle w:val="ListParagraph"/>
        <w:numPr>
          <w:ilvl w:val="0"/>
          <w:numId w:val="93"/>
        </w:numPr>
        <w:autoSpaceDE w:val="0"/>
        <w:autoSpaceDN w:val="0"/>
        <w:adjustRightInd w:val="0"/>
        <w:spacing w:before="120" w:after="120"/>
        <w:contextualSpacing/>
        <w:jc w:val="both"/>
        <w:rPr>
          <w:rFonts w:ascii="Verdana" w:hAnsi="Verdana" w:cs="OpalCYR"/>
          <w:sz w:val="20"/>
          <w:szCs w:val="20"/>
          <w:lang w:val="bg-BG"/>
        </w:rPr>
      </w:pPr>
      <w:r w:rsidRPr="00995BA0">
        <w:rPr>
          <w:rFonts w:ascii="Verdana" w:hAnsi="Verdana" w:cs="OpalCYR"/>
          <w:sz w:val="20"/>
          <w:szCs w:val="20"/>
          <w:lang w:val="bg-BG"/>
        </w:rPr>
        <w:t>от кого се събира информацията;</w:t>
      </w:r>
    </w:p>
    <w:p w:rsidR="0026362F" w:rsidRPr="00995BA0" w:rsidRDefault="0026362F" w:rsidP="006861B0">
      <w:pPr>
        <w:pStyle w:val="ListParagraph"/>
        <w:numPr>
          <w:ilvl w:val="0"/>
          <w:numId w:val="93"/>
        </w:numPr>
        <w:autoSpaceDE w:val="0"/>
        <w:autoSpaceDN w:val="0"/>
        <w:adjustRightInd w:val="0"/>
        <w:spacing w:before="120" w:after="120"/>
        <w:contextualSpacing/>
        <w:jc w:val="both"/>
        <w:rPr>
          <w:rFonts w:ascii="Verdana" w:hAnsi="Verdana" w:cs="OpalCYR"/>
          <w:sz w:val="20"/>
          <w:szCs w:val="20"/>
          <w:lang w:val="bg-BG"/>
        </w:rPr>
      </w:pPr>
      <w:r w:rsidRPr="00995BA0">
        <w:rPr>
          <w:rFonts w:ascii="Verdana" w:hAnsi="Verdana" w:cs="OpalCYR"/>
          <w:sz w:val="20"/>
          <w:szCs w:val="20"/>
          <w:lang w:val="bg-BG"/>
        </w:rPr>
        <w:t xml:space="preserve">от кого се </w:t>
      </w:r>
      <w:proofErr w:type="spellStart"/>
      <w:r w:rsidRPr="00995BA0">
        <w:rPr>
          <w:rFonts w:ascii="Verdana" w:hAnsi="Verdana" w:cs="OpalCYR"/>
          <w:sz w:val="20"/>
          <w:szCs w:val="20"/>
          <w:lang w:val="bg-BG"/>
        </w:rPr>
        <w:t>агрегира</w:t>
      </w:r>
      <w:proofErr w:type="spellEnd"/>
      <w:r w:rsidRPr="00995BA0">
        <w:rPr>
          <w:rFonts w:ascii="Verdana" w:hAnsi="Verdana" w:cs="OpalCYR"/>
          <w:sz w:val="20"/>
          <w:szCs w:val="20"/>
          <w:lang w:val="bg-BG"/>
        </w:rPr>
        <w:t xml:space="preserve"> информацията.</w:t>
      </w:r>
    </w:p>
    <w:p w:rsidR="0026362F" w:rsidRPr="00995BA0" w:rsidRDefault="0026362F" w:rsidP="0026362F">
      <w:pPr>
        <w:spacing w:before="120" w:after="120"/>
        <w:jc w:val="both"/>
        <w:rPr>
          <w:rFonts w:ascii="Verdana" w:hAnsi="Verdana"/>
          <w:color w:val="548DD4" w:themeColor="text2" w:themeTint="99"/>
          <w:sz w:val="20"/>
          <w:szCs w:val="20"/>
          <w:lang w:val="bg-BG"/>
        </w:rPr>
      </w:pPr>
      <w:r w:rsidRPr="00995BA0">
        <w:rPr>
          <w:rFonts w:ascii="Verdana" w:hAnsi="Verdana"/>
          <w:color w:val="548DD4" w:themeColor="text2" w:themeTint="99"/>
          <w:sz w:val="20"/>
          <w:szCs w:val="20"/>
          <w:lang w:val="bg-BG"/>
        </w:rPr>
        <w:t>Каква информация се събира</w:t>
      </w:r>
    </w:p>
    <w:p w:rsidR="0026362F" w:rsidRDefault="0026362F" w:rsidP="0026362F">
      <w:pPr>
        <w:spacing w:before="120" w:after="120"/>
        <w:jc w:val="both"/>
        <w:rPr>
          <w:rFonts w:ascii="Verdana" w:hAnsi="Verdana"/>
          <w:sz w:val="20"/>
          <w:szCs w:val="20"/>
          <w:lang w:val="bg-BG"/>
        </w:rPr>
      </w:pPr>
      <w:r w:rsidRPr="00995BA0">
        <w:rPr>
          <w:rFonts w:ascii="Verdana" w:hAnsi="Verdana"/>
          <w:i/>
          <w:sz w:val="20"/>
          <w:szCs w:val="20"/>
          <w:u w:val="single"/>
          <w:lang w:val="bg-BG"/>
        </w:rPr>
        <w:t>Информация от целевите групи/крайните потребители</w:t>
      </w:r>
      <w:r>
        <w:rPr>
          <w:rFonts w:ascii="Verdana" w:hAnsi="Verdana"/>
          <w:sz w:val="20"/>
          <w:szCs w:val="20"/>
          <w:lang w:val="bg-BG"/>
        </w:rPr>
        <w:t>- съгласно изискванията на</w:t>
      </w:r>
      <w:r w:rsidRPr="00995BA0">
        <w:rPr>
          <w:rFonts w:ascii="Verdana" w:hAnsi="Verdana"/>
          <w:sz w:val="20"/>
          <w:szCs w:val="20"/>
          <w:lang w:val="bg-BG"/>
        </w:rPr>
        <w:t xml:space="preserve"> разработена на базата на Анекс XXIII от Регламент 1828/2006</w:t>
      </w:r>
      <w:r>
        <w:rPr>
          <w:rFonts w:ascii="Verdana" w:hAnsi="Verdana"/>
          <w:sz w:val="20"/>
          <w:szCs w:val="20"/>
          <w:lang w:val="bg-BG"/>
        </w:rPr>
        <w:t xml:space="preserve"> анкетна карта</w:t>
      </w:r>
      <w:r w:rsidRPr="00995BA0">
        <w:rPr>
          <w:rFonts w:ascii="Verdana" w:hAnsi="Verdana"/>
          <w:sz w:val="20"/>
          <w:szCs w:val="20"/>
          <w:lang w:val="bg-BG"/>
        </w:rPr>
        <w:t xml:space="preserve">. </w:t>
      </w:r>
    </w:p>
    <w:p w:rsidR="0026362F" w:rsidRDefault="0026362F" w:rsidP="0026362F">
      <w:pPr>
        <w:spacing w:before="120" w:after="120"/>
        <w:jc w:val="both"/>
        <w:rPr>
          <w:rFonts w:ascii="Verdana" w:hAnsi="Verdana"/>
          <w:sz w:val="20"/>
          <w:szCs w:val="20"/>
          <w:lang w:val="bg-BG"/>
        </w:rPr>
      </w:pPr>
      <w:r w:rsidRPr="00995BA0">
        <w:rPr>
          <w:rFonts w:ascii="Verdana" w:hAnsi="Verdana"/>
          <w:sz w:val="20"/>
          <w:szCs w:val="20"/>
          <w:lang w:val="bg-BG"/>
        </w:rPr>
        <w:t>Попълването на такъв тип анкетна карта ще продължи и при изпълнението на договори</w:t>
      </w:r>
      <w:r>
        <w:rPr>
          <w:rFonts w:ascii="Verdana" w:hAnsi="Verdana"/>
          <w:sz w:val="20"/>
          <w:szCs w:val="20"/>
          <w:lang w:val="bg-BG"/>
        </w:rPr>
        <w:t>, финансирани от ЕСФ</w:t>
      </w:r>
      <w:r w:rsidRPr="00995BA0">
        <w:rPr>
          <w:rFonts w:ascii="Verdana" w:hAnsi="Verdana"/>
          <w:sz w:val="20"/>
          <w:szCs w:val="20"/>
          <w:lang w:val="bg-BG"/>
        </w:rPr>
        <w:t xml:space="preserve"> </w:t>
      </w:r>
      <w:r>
        <w:rPr>
          <w:rFonts w:ascii="Verdana" w:hAnsi="Verdana"/>
          <w:sz w:val="20"/>
          <w:szCs w:val="20"/>
          <w:lang w:val="bg-BG"/>
        </w:rPr>
        <w:t>за периода</w:t>
      </w:r>
      <w:r w:rsidRPr="00995BA0">
        <w:rPr>
          <w:rFonts w:ascii="Verdana" w:hAnsi="Verdana"/>
          <w:sz w:val="20"/>
          <w:szCs w:val="20"/>
          <w:lang w:val="bg-BG"/>
        </w:rPr>
        <w:t xml:space="preserve"> 2014-2020</w:t>
      </w:r>
      <w:r>
        <w:rPr>
          <w:rFonts w:ascii="Verdana" w:hAnsi="Verdana"/>
          <w:sz w:val="20"/>
          <w:szCs w:val="20"/>
          <w:lang w:val="bg-BG"/>
        </w:rPr>
        <w:t xml:space="preserve"> г. Такова </w:t>
      </w:r>
      <w:r w:rsidRPr="00995BA0">
        <w:rPr>
          <w:rFonts w:ascii="Verdana" w:hAnsi="Verdana"/>
          <w:sz w:val="20"/>
          <w:szCs w:val="20"/>
          <w:lang w:val="bg-BG"/>
        </w:rPr>
        <w:t xml:space="preserve">изискване </w:t>
      </w:r>
      <w:r>
        <w:rPr>
          <w:rFonts w:ascii="Verdana" w:hAnsi="Verdana"/>
          <w:sz w:val="20"/>
          <w:szCs w:val="20"/>
          <w:lang w:val="bg-BG"/>
        </w:rPr>
        <w:t xml:space="preserve">е заложено </w:t>
      </w:r>
      <w:r w:rsidRPr="00995BA0">
        <w:rPr>
          <w:rFonts w:ascii="Verdana" w:hAnsi="Verdana"/>
          <w:sz w:val="20"/>
          <w:szCs w:val="20"/>
          <w:lang w:val="bg-BG"/>
        </w:rPr>
        <w:t xml:space="preserve">в Регламент 1304/2013 за Европейския социален фонд. Тъй като </w:t>
      </w:r>
      <w:r>
        <w:rPr>
          <w:rFonts w:ascii="Verdana" w:hAnsi="Verdana"/>
          <w:sz w:val="20"/>
          <w:szCs w:val="20"/>
          <w:lang w:val="bg-BG"/>
        </w:rPr>
        <w:lastRenderedPageBreak/>
        <w:t xml:space="preserve">информацията от </w:t>
      </w:r>
      <w:r w:rsidRPr="00995BA0">
        <w:rPr>
          <w:rFonts w:ascii="Verdana" w:hAnsi="Verdana"/>
          <w:sz w:val="20"/>
          <w:szCs w:val="20"/>
          <w:lang w:val="bg-BG"/>
        </w:rPr>
        <w:t>анкетни</w:t>
      </w:r>
      <w:r>
        <w:rPr>
          <w:rFonts w:ascii="Verdana" w:hAnsi="Verdana"/>
          <w:sz w:val="20"/>
          <w:szCs w:val="20"/>
          <w:lang w:val="bg-BG"/>
        </w:rPr>
        <w:t>те</w:t>
      </w:r>
      <w:r w:rsidRPr="00995BA0">
        <w:rPr>
          <w:rFonts w:ascii="Verdana" w:hAnsi="Verdana"/>
          <w:sz w:val="20"/>
          <w:szCs w:val="20"/>
          <w:lang w:val="bg-BG"/>
        </w:rPr>
        <w:t xml:space="preserve"> карти </w:t>
      </w:r>
      <w:r>
        <w:rPr>
          <w:rFonts w:ascii="Verdana" w:hAnsi="Verdana"/>
          <w:sz w:val="20"/>
          <w:szCs w:val="20"/>
          <w:lang w:val="bg-BG"/>
        </w:rPr>
        <w:t>се използва и за</w:t>
      </w:r>
      <w:r w:rsidRPr="00995BA0">
        <w:rPr>
          <w:rFonts w:ascii="Verdana" w:hAnsi="Verdana"/>
          <w:sz w:val="20"/>
          <w:szCs w:val="20"/>
          <w:lang w:val="bg-BG"/>
        </w:rPr>
        <w:t xml:space="preserve"> целите на оценка, препоръчително е в тях да бъде включен</w:t>
      </w:r>
      <w:r>
        <w:rPr>
          <w:rFonts w:ascii="Verdana" w:hAnsi="Verdana"/>
          <w:sz w:val="20"/>
          <w:szCs w:val="20"/>
          <w:lang w:val="bg-BG"/>
        </w:rPr>
        <w:t>о</w:t>
      </w:r>
      <w:r w:rsidRPr="00995BA0">
        <w:rPr>
          <w:rFonts w:ascii="Verdana" w:hAnsi="Verdana"/>
          <w:sz w:val="20"/>
          <w:szCs w:val="20"/>
          <w:lang w:val="bg-BG"/>
        </w:rPr>
        <w:t xml:space="preserve"> като допълнителна информация</w:t>
      </w:r>
      <w:r>
        <w:rPr>
          <w:rFonts w:ascii="Verdana" w:hAnsi="Verdana"/>
          <w:sz w:val="20"/>
          <w:szCs w:val="20"/>
          <w:lang w:val="bg-BG"/>
        </w:rPr>
        <w:t>,</w:t>
      </w:r>
      <w:r w:rsidRPr="00995BA0">
        <w:rPr>
          <w:rFonts w:ascii="Verdana" w:hAnsi="Verdana"/>
          <w:sz w:val="20"/>
          <w:szCs w:val="20"/>
          <w:lang w:val="bg-BG"/>
        </w:rPr>
        <w:t xml:space="preserve"> извън изискванията на регламента</w:t>
      </w:r>
      <w:r>
        <w:rPr>
          <w:rFonts w:ascii="Verdana" w:hAnsi="Verdana"/>
          <w:sz w:val="20"/>
          <w:szCs w:val="20"/>
          <w:lang w:val="bg-BG"/>
        </w:rPr>
        <w:t>,</w:t>
      </w:r>
      <w:r w:rsidRPr="00995BA0">
        <w:rPr>
          <w:rFonts w:ascii="Verdana" w:hAnsi="Verdana"/>
          <w:sz w:val="20"/>
          <w:szCs w:val="20"/>
          <w:lang w:val="bg-BG"/>
        </w:rPr>
        <w:t xml:space="preserve"> контакти на крайните потребители включително адрес, телефон и и-мейл. Така набраната информация ще даде възможност на УО да създаде база данни от крайните потребителни на програмата, която ще улесни провеждането на количествените изследвания на изпълнението на ОП</w:t>
      </w:r>
      <w:r>
        <w:rPr>
          <w:rFonts w:ascii="Verdana" w:hAnsi="Verdana"/>
          <w:sz w:val="20"/>
          <w:szCs w:val="20"/>
          <w:lang w:val="bg-BG"/>
        </w:rPr>
        <w:t>НОИР</w:t>
      </w:r>
      <w:r w:rsidRPr="00995BA0">
        <w:rPr>
          <w:rFonts w:ascii="Verdana" w:hAnsi="Verdana"/>
          <w:sz w:val="20"/>
          <w:szCs w:val="20"/>
          <w:lang w:val="bg-BG"/>
        </w:rPr>
        <w:t xml:space="preserve"> 2014-2020</w:t>
      </w:r>
      <w:r>
        <w:rPr>
          <w:rFonts w:ascii="Verdana" w:hAnsi="Verdana"/>
          <w:sz w:val="20"/>
          <w:szCs w:val="20"/>
          <w:lang w:val="bg-BG"/>
        </w:rPr>
        <w:t xml:space="preserve"> г</w:t>
      </w:r>
      <w:r w:rsidRPr="00995BA0">
        <w:rPr>
          <w:rFonts w:ascii="Verdana" w:hAnsi="Verdana"/>
          <w:sz w:val="20"/>
          <w:szCs w:val="20"/>
          <w:lang w:val="bg-BG"/>
        </w:rPr>
        <w:t>.</w:t>
      </w:r>
    </w:p>
    <w:p w:rsidR="0026362F" w:rsidRPr="00995BA0" w:rsidRDefault="0026362F" w:rsidP="0026362F">
      <w:pPr>
        <w:spacing w:before="120" w:after="120"/>
        <w:jc w:val="both"/>
        <w:rPr>
          <w:rFonts w:ascii="Verdana" w:hAnsi="Verdana"/>
          <w:sz w:val="20"/>
          <w:szCs w:val="20"/>
          <w:lang w:val="bg-BG"/>
        </w:rPr>
      </w:pPr>
      <w:r>
        <w:rPr>
          <w:rFonts w:ascii="Verdana" w:hAnsi="Verdana"/>
          <w:sz w:val="20"/>
          <w:szCs w:val="20"/>
          <w:lang w:val="bg-BG"/>
        </w:rPr>
        <w:t xml:space="preserve">В настоящия програмен период не се изпитват особени затруднения в попълването на информацията в анкетните карти. Проблем е само предоставянето на лична информация, като етнос, увреждания, която се предоставя само след съгласие на лицето. Този проблем не може да бъде преодолян, но може да се намали неговото значение като се отчитат целевите групи по признаци, които не представляват лична информация и се правят качествени обобщения и заключения на база на допълнителна информация – например, в схема, насочена към </w:t>
      </w:r>
      <w:proofErr w:type="spellStart"/>
      <w:r>
        <w:rPr>
          <w:rFonts w:ascii="Verdana" w:hAnsi="Verdana"/>
          <w:sz w:val="20"/>
          <w:szCs w:val="20"/>
          <w:lang w:val="bg-BG"/>
        </w:rPr>
        <w:t>маргинализирани</w:t>
      </w:r>
      <w:proofErr w:type="spellEnd"/>
      <w:r>
        <w:rPr>
          <w:rFonts w:ascii="Verdana" w:hAnsi="Verdana"/>
          <w:sz w:val="20"/>
          <w:szCs w:val="20"/>
          <w:lang w:val="bg-BG"/>
        </w:rPr>
        <w:t xml:space="preserve"> общности, се предполага, че целевите групи са от тези общности.</w:t>
      </w:r>
    </w:p>
    <w:p w:rsidR="0026362F" w:rsidRPr="00995BA0" w:rsidRDefault="0026362F" w:rsidP="0026362F">
      <w:pPr>
        <w:spacing w:before="120" w:after="120"/>
        <w:jc w:val="both"/>
        <w:rPr>
          <w:rFonts w:ascii="Verdana" w:hAnsi="Verdana"/>
          <w:sz w:val="20"/>
          <w:szCs w:val="20"/>
          <w:lang w:val="bg-BG"/>
        </w:rPr>
      </w:pPr>
      <w:r w:rsidRPr="00995BA0">
        <w:rPr>
          <w:rFonts w:ascii="Verdana" w:hAnsi="Verdana"/>
          <w:sz w:val="20"/>
          <w:szCs w:val="20"/>
          <w:lang w:val="bg-BG"/>
        </w:rPr>
        <w:t>Информация</w:t>
      </w:r>
      <w:r>
        <w:rPr>
          <w:rFonts w:ascii="Verdana" w:hAnsi="Verdana"/>
          <w:sz w:val="20"/>
          <w:szCs w:val="20"/>
          <w:lang w:val="bg-BG"/>
        </w:rPr>
        <w:t xml:space="preserve"> на </w:t>
      </w:r>
      <w:r w:rsidRPr="00995BA0">
        <w:rPr>
          <w:rFonts w:ascii="Verdana" w:hAnsi="Verdana"/>
          <w:sz w:val="20"/>
          <w:szCs w:val="20"/>
          <w:u w:val="single"/>
          <w:lang w:val="bg-BG"/>
        </w:rPr>
        <w:t>ниво договор</w:t>
      </w:r>
      <w:r w:rsidRPr="00995BA0">
        <w:rPr>
          <w:rFonts w:ascii="Verdana" w:hAnsi="Verdana"/>
          <w:sz w:val="20"/>
          <w:szCs w:val="20"/>
          <w:lang w:val="bg-BG"/>
        </w:rPr>
        <w:t>:</w:t>
      </w:r>
    </w:p>
    <w:p w:rsidR="0026362F" w:rsidRPr="00995BA0" w:rsidRDefault="0026362F" w:rsidP="006861B0">
      <w:pPr>
        <w:pStyle w:val="ListParagraph"/>
        <w:numPr>
          <w:ilvl w:val="0"/>
          <w:numId w:val="94"/>
        </w:numPr>
        <w:spacing w:before="120" w:after="120"/>
        <w:jc w:val="both"/>
        <w:rPr>
          <w:rFonts w:ascii="Verdana" w:hAnsi="Verdana" w:cs="Arial"/>
          <w:sz w:val="20"/>
          <w:szCs w:val="20"/>
          <w:lang w:val="bg-BG"/>
        </w:rPr>
      </w:pPr>
      <w:r w:rsidRPr="00995BA0">
        <w:rPr>
          <w:rFonts w:ascii="Verdana" w:hAnsi="Verdana" w:cs="Arial"/>
          <w:sz w:val="20"/>
          <w:szCs w:val="20"/>
          <w:lang w:val="bg-BG"/>
        </w:rPr>
        <w:t>Проведени процедури по под-договаряне и сключени под-договори</w:t>
      </w:r>
      <w:r>
        <w:rPr>
          <w:rFonts w:ascii="Verdana" w:hAnsi="Verdana" w:cs="Arial"/>
          <w:sz w:val="20"/>
          <w:szCs w:val="20"/>
          <w:lang w:val="bg-BG"/>
        </w:rPr>
        <w:t>;</w:t>
      </w:r>
    </w:p>
    <w:p w:rsidR="0026362F" w:rsidRPr="00995BA0" w:rsidRDefault="0026362F" w:rsidP="006861B0">
      <w:pPr>
        <w:pStyle w:val="ListParagraph"/>
        <w:numPr>
          <w:ilvl w:val="0"/>
          <w:numId w:val="94"/>
        </w:numPr>
        <w:spacing w:before="120" w:after="120"/>
        <w:jc w:val="both"/>
        <w:rPr>
          <w:rFonts w:ascii="Verdana" w:hAnsi="Verdana" w:cs="Arial"/>
          <w:sz w:val="20"/>
          <w:szCs w:val="20"/>
          <w:lang w:val="bg-BG"/>
        </w:rPr>
      </w:pPr>
      <w:r w:rsidRPr="00995BA0">
        <w:rPr>
          <w:rFonts w:ascii="Verdana" w:hAnsi="Verdana" w:cs="Arial"/>
          <w:sz w:val="20"/>
          <w:szCs w:val="20"/>
          <w:lang w:val="bg-BG"/>
        </w:rPr>
        <w:t>Физически напредък</w:t>
      </w:r>
      <w:r>
        <w:rPr>
          <w:rFonts w:ascii="Verdana" w:hAnsi="Verdana" w:cs="Arial"/>
          <w:sz w:val="20"/>
          <w:szCs w:val="20"/>
          <w:lang w:val="bg-BG"/>
        </w:rPr>
        <w:t xml:space="preserve"> включително</w:t>
      </w:r>
      <w:r>
        <w:rPr>
          <w:rFonts w:ascii="Verdana" w:hAnsi="Verdana"/>
          <w:sz w:val="20"/>
          <w:szCs w:val="20"/>
          <w:lang w:val="bg-BG"/>
        </w:rPr>
        <w:t xml:space="preserve"> обобщена</w:t>
      </w:r>
      <w:r w:rsidRPr="00995BA0">
        <w:rPr>
          <w:rFonts w:ascii="Verdana" w:hAnsi="Verdana"/>
          <w:sz w:val="20"/>
          <w:szCs w:val="20"/>
          <w:lang w:val="bg-BG"/>
        </w:rPr>
        <w:t xml:space="preserve"> информация от анкетните карти, попълвани от крайните потребители, както и постигане на индикаторите за изпълнение на ниво договор</w:t>
      </w:r>
      <w:r>
        <w:rPr>
          <w:rFonts w:ascii="Verdana" w:hAnsi="Verdana"/>
          <w:sz w:val="20"/>
          <w:szCs w:val="20"/>
          <w:lang w:val="bg-BG"/>
        </w:rPr>
        <w:t xml:space="preserve"> и постигане на индикаторите за резултат;</w:t>
      </w:r>
    </w:p>
    <w:p w:rsidR="0026362F" w:rsidRPr="00995BA0" w:rsidRDefault="0026362F" w:rsidP="006861B0">
      <w:pPr>
        <w:pStyle w:val="ListParagraph"/>
        <w:numPr>
          <w:ilvl w:val="0"/>
          <w:numId w:val="94"/>
        </w:numPr>
        <w:spacing w:before="120" w:after="120"/>
        <w:jc w:val="both"/>
        <w:rPr>
          <w:rFonts w:ascii="Verdana" w:hAnsi="Verdana" w:cs="Arial"/>
          <w:sz w:val="20"/>
          <w:szCs w:val="20"/>
          <w:lang w:val="bg-BG"/>
        </w:rPr>
      </w:pPr>
      <w:r w:rsidRPr="00995BA0">
        <w:rPr>
          <w:rFonts w:ascii="Verdana" w:hAnsi="Verdana" w:cs="Arial"/>
          <w:sz w:val="20"/>
          <w:szCs w:val="20"/>
          <w:lang w:val="bg-BG"/>
        </w:rPr>
        <w:t>Финансово изпълнение</w:t>
      </w:r>
      <w:r>
        <w:rPr>
          <w:rFonts w:ascii="Verdana" w:hAnsi="Verdana" w:cs="Arial"/>
          <w:sz w:val="20"/>
          <w:szCs w:val="20"/>
          <w:lang w:val="bg-BG"/>
        </w:rPr>
        <w:t>;</w:t>
      </w:r>
    </w:p>
    <w:p w:rsidR="0026362F" w:rsidRPr="00995BA0" w:rsidRDefault="0026362F" w:rsidP="006861B0">
      <w:pPr>
        <w:pStyle w:val="ListParagraph"/>
        <w:numPr>
          <w:ilvl w:val="0"/>
          <w:numId w:val="94"/>
        </w:numPr>
        <w:spacing w:before="120" w:after="120"/>
        <w:jc w:val="both"/>
        <w:rPr>
          <w:rFonts w:ascii="Verdana" w:hAnsi="Verdana" w:cs="Arial"/>
          <w:sz w:val="20"/>
          <w:szCs w:val="20"/>
          <w:lang w:val="bg-BG"/>
        </w:rPr>
      </w:pPr>
      <w:r w:rsidRPr="00995BA0">
        <w:rPr>
          <w:rFonts w:ascii="Verdana" w:hAnsi="Verdana" w:cs="Arial"/>
          <w:sz w:val="20"/>
          <w:szCs w:val="20"/>
          <w:lang w:val="bg-BG"/>
        </w:rPr>
        <w:t>Докладване на нередности</w:t>
      </w:r>
      <w:r>
        <w:rPr>
          <w:rFonts w:ascii="Verdana" w:hAnsi="Verdana" w:cs="Arial"/>
          <w:sz w:val="20"/>
          <w:szCs w:val="20"/>
          <w:lang w:val="bg-BG"/>
        </w:rPr>
        <w:t>;</w:t>
      </w:r>
    </w:p>
    <w:p w:rsidR="0026362F" w:rsidRPr="00995BA0" w:rsidRDefault="0026362F" w:rsidP="006861B0">
      <w:pPr>
        <w:pStyle w:val="ListParagraph"/>
        <w:numPr>
          <w:ilvl w:val="0"/>
          <w:numId w:val="94"/>
        </w:numPr>
        <w:spacing w:before="120" w:after="120"/>
        <w:jc w:val="both"/>
        <w:rPr>
          <w:rFonts w:ascii="Verdana" w:hAnsi="Verdana" w:cs="Arial"/>
          <w:sz w:val="20"/>
          <w:szCs w:val="20"/>
          <w:lang w:val="bg-BG"/>
        </w:rPr>
      </w:pPr>
      <w:r w:rsidRPr="00995BA0">
        <w:rPr>
          <w:rFonts w:ascii="Verdana" w:hAnsi="Verdana" w:cs="Arial"/>
          <w:sz w:val="20"/>
          <w:szCs w:val="20"/>
          <w:lang w:val="bg-BG"/>
        </w:rPr>
        <w:t>Докладване на мерки за информация и публичност</w:t>
      </w:r>
      <w:r>
        <w:rPr>
          <w:rFonts w:ascii="Verdana" w:hAnsi="Verdana" w:cs="Arial"/>
          <w:sz w:val="20"/>
          <w:szCs w:val="20"/>
          <w:lang w:val="bg-BG"/>
        </w:rPr>
        <w:t>.</w:t>
      </w:r>
    </w:p>
    <w:p w:rsidR="0026362F" w:rsidRPr="00995BA0" w:rsidRDefault="0026362F" w:rsidP="0026362F">
      <w:pPr>
        <w:spacing w:before="120" w:after="120"/>
        <w:jc w:val="both"/>
        <w:rPr>
          <w:rFonts w:ascii="Verdana" w:hAnsi="Verdana"/>
          <w:sz w:val="20"/>
          <w:szCs w:val="20"/>
          <w:lang w:val="bg-BG"/>
        </w:rPr>
      </w:pPr>
      <w:r w:rsidRPr="00995BA0">
        <w:rPr>
          <w:rFonts w:ascii="Verdana" w:hAnsi="Verdana"/>
          <w:sz w:val="20"/>
          <w:szCs w:val="20"/>
          <w:lang w:val="bg-BG"/>
        </w:rPr>
        <w:t xml:space="preserve">На ниво </w:t>
      </w:r>
      <w:r w:rsidRPr="00995BA0">
        <w:rPr>
          <w:rFonts w:ascii="Verdana" w:hAnsi="Verdana"/>
          <w:i/>
          <w:sz w:val="20"/>
          <w:szCs w:val="20"/>
          <w:u w:val="single"/>
          <w:lang w:val="bg-BG"/>
        </w:rPr>
        <w:t>схема за БФП</w:t>
      </w:r>
      <w:r w:rsidRPr="00995BA0">
        <w:rPr>
          <w:rFonts w:ascii="Verdana" w:hAnsi="Verdana"/>
          <w:sz w:val="20"/>
          <w:szCs w:val="20"/>
          <w:lang w:val="bg-BG"/>
        </w:rPr>
        <w:t xml:space="preserve"> и на </w:t>
      </w:r>
      <w:r w:rsidRPr="00995BA0">
        <w:rPr>
          <w:rFonts w:ascii="Verdana" w:hAnsi="Verdana"/>
          <w:i/>
          <w:sz w:val="20"/>
          <w:szCs w:val="20"/>
          <w:u w:val="single"/>
          <w:lang w:val="bg-BG"/>
        </w:rPr>
        <w:t xml:space="preserve">ниво договор за </w:t>
      </w:r>
      <w:r>
        <w:rPr>
          <w:rFonts w:ascii="Verdana" w:hAnsi="Verdana"/>
          <w:i/>
          <w:sz w:val="20"/>
          <w:szCs w:val="20"/>
          <w:u w:val="single"/>
          <w:lang w:val="bg-BG"/>
        </w:rPr>
        <w:t>директно предоставяне</w:t>
      </w:r>
      <w:r w:rsidRPr="00995BA0">
        <w:rPr>
          <w:rFonts w:ascii="Verdana" w:hAnsi="Verdana"/>
          <w:sz w:val="20"/>
          <w:szCs w:val="20"/>
          <w:lang w:val="bg-BG"/>
        </w:rPr>
        <w:t xml:space="preserve"> се събират следните данни:</w:t>
      </w:r>
    </w:p>
    <w:p w:rsidR="0026362F" w:rsidRPr="00995BA0" w:rsidRDefault="0026362F" w:rsidP="006861B0">
      <w:pPr>
        <w:pStyle w:val="ListParagraph"/>
        <w:numPr>
          <w:ilvl w:val="0"/>
          <w:numId w:val="96"/>
        </w:numPr>
        <w:spacing w:before="120" w:after="120"/>
        <w:jc w:val="both"/>
        <w:rPr>
          <w:rFonts w:ascii="Verdana" w:hAnsi="Verdana"/>
          <w:sz w:val="20"/>
          <w:szCs w:val="20"/>
          <w:lang w:val="bg-BG"/>
        </w:rPr>
      </w:pPr>
      <w:r w:rsidRPr="00995BA0">
        <w:rPr>
          <w:rFonts w:ascii="Verdana" w:hAnsi="Verdana"/>
          <w:sz w:val="20"/>
          <w:szCs w:val="20"/>
          <w:lang w:val="bg-BG"/>
        </w:rPr>
        <w:t>постигане на индикатори за изпълнение и на индикатори за резултат на месечна база</w:t>
      </w:r>
      <w:r>
        <w:rPr>
          <w:rFonts w:ascii="Verdana" w:hAnsi="Verdana"/>
          <w:sz w:val="20"/>
          <w:szCs w:val="20"/>
          <w:lang w:val="bg-BG"/>
        </w:rPr>
        <w:t>;</w:t>
      </w:r>
    </w:p>
    <w:p w:rsidR="0026362F" w:rsidRPr="00995BA0" w:rsidRDefault="0026362F" w:rsidP="006861B0">
      <w:pPr>
        <w:pStyle w:val="ListParagraph"/>
        <w:numPr>
          <w:ilvl w:val="0"/>
          <w:numId w:val="95"/>
        </w:numPr>
        <w:spacing w:before="120" w:after="120"/>
        <w:contextualSpacing/>
        <w:jc w:val="both"/>
        <w:rPr>
          <w:rFonts w:ascii="Verdana" w:hAnsi="Verdana"/>
          <w:sz w:val="20"/>
          <w:szCs w:val="20"/>
          <w:lang w:val="bg-BG"/>
        </w:rPr>
      </w:pPr>
      <w:r w:rsidRPr="00995BA0">
        <w:rPr>
          <w:rFonts w:ascii="Verdana" w:hAnsi="Verdana"/>
          <w:sz w:val="20"/>
          <w:szCs w:val="20"/>
          <w:lang w:val="bg-BG"/>
        </w:rPr>
        <w:t xml:space="preserve">изпълнение на финансовите индикатори на ниво схема за БФП/договор за </w:t>
      </w:r>
      <w:r>
        <w:rPr>
          <w:rFonts w:ascii="Verdana" w:hAnsi="Verdana"/>
          <w:sz w:val="20"/>
          <w:szCs w:val="20"/>
          <w:lang w:val="bg-BG"/>
        </w:rPr>
        <w:t>директно предоставяне;</w:t>
      </w:r>
    </w:p>
    <w:p w:rsidR="0026362F" w:rsidRPr="00995BA0" w:rsidRDefault="0026362F" w:rsidP="006861B0">
      <w:pPr>
        <w:pStyle w:val="ListParagraph"/>
        <w:numPr>
          <w:ilvl w:val="0"/>
          <w:numId w:val="95"/>
        </w:numPr>
        <w:spacing w:before="120" w:after="120"/>
        <w:contextualSpacing/>
        <w:jc w:val="both"/>
        <w:rPr>
          <w:rFonts w:ascii="Verdana" w:hAnsi="Verdana"/>
          <w:sz w:val="20"/>
          <w:szCs w:val="20"/>
          <w:lang w:val="bg-BG"/>
        </w:rPr>
      </w:pPr>
      <w:r w:rsidRPr="00995BA0">
        <w:rPr>
          <w:rFonts w:ascii="Verdana" w:hAnsi="Verdana"/>
          <w:sz w:val="20"/>
          <w:szCs w:val="20"/>
          <w:lang w:val="bg-BG"/>
        </w:rPr>
        <w:t xml:space="preserve">обобщена таблица, съгласно изискванията на Анекс ХХІІІ към Регламент 1828/2006 на ниво схема за БФП/ договор за </w:t>
      </w:r>
      <w:r>
        <w:rPr>
          <w:rFonts w:ascii="Verdana" w:hAnsi="Verdana"/>
          <w:sz w:val="20"/>
          <w:szCs w:val="20"/>
          <w:lang w:val="bg-BG"/>
        </w:rPr>
        <w:t>директно предоставяне</w:t>
      </w:r>
      <w:r w:rsidRPr="00995BA0">
        <w:rPr>
          <w:rFonts w:ascii="Verdana" w:hAnsi="Verdana"/>
          <w:sz w:val="20"/>
          <w:szCs w:val="20"/>
          <w:lang w:val="bg-BG"/>
        </w:rPr>
        <w:t xml:space="preserve"> на месечна база</w:t>
      </w:r>
      <w:r>
        <w:rPr>
          <w:rFonts w:ascii="Verdana" w:hAnsi="Verdana"/>
          <w:sz w:val="20"/>
          <w:szCs w:val="20"/>
          <w:lang w:val="bg-BG"/>
        </w:rPr>
        <w:t>.</w:t>
      </w:r>
    </w:p>
    <w:p w:rsidR="0026362F" w:rsidRPr="007A2144" w:rsidRDefault="0026362F" w:rsidP="0026362F">
      <w:pPr>
        <w:spacing w:before="120" w:after="120"/>
        <w:ind w:right="-383"/>
        <w:jc w:val="both"/>
        <w:rPr>
          <w:rFonts w:ascii="Verdana" w:hAnsi="Verdana"/>
          <w:i/>
          <w:sz w:val="20"/>
          <w:szCs w:val="20"/>
          <w:u w:val="single"/>
          <w:lang w:val="bg-BG"/>
        </w:rPr>
      </w:pPr>
      <w:r>
        <w:rPr>
          <w:rFonts w:ascii="Verdana" w:hAnsi="Verdana"/>
          <w:sz w:val="20"/>
          <w:szCs w:val="20"/>
          <w:lang w:val="bg-BG"/>
        </w:rPr>
        <w:t>Информация</w:t>
      </w:r>
      <w:r w:rsidRPr="00995BA0">
        <w:rPr>
          <w:rFonts w:ascii="Verdana" w:hAnsi="Verdana"/>
          <w:sz w:val="20"/>
          <w:szCs w:val="20"/>
          <w:lang w:val="bg-BG"/>
        </w:rPr>
        <w:t xml:space="preserve"> на </w:t>
      </w:r>
      <w:r w:rsidRPr="007A2144">
        <w:rPr>
          <w:rFonts w:ascii="Verdana" w:hAnsi="Verdana"/>
          <w:i/>
          <w:sz w:val="20"/>
          <w:szCs w:val="20"/>
          <w:u w:val="single"/>
          <w:lang w:val="bg-BG"/>
        </w:rPr>
        <w:t>ниво специфична цел и инвестиционен приоритет</w:t>
      </w:r>
      <w:r>
        <w:rPr>
          <w:rFonts w:ascii="Verdana" w:hAnsi="Verdana"/>
          <w:i/>
          <w:sz w:val="20"/>
          <w:szCs w:val="20"/>
          <w:u w:val="single"/>
          <w:lang w:val="bg-BG"/>
        </w:rPr>
        <w:t>:</w:t>
      </w:r>
    </w:p>
    <w:p w:rsidR="0026362F" w:rsidRPr="007A2144" w:rsidRDefault="0026362F" w:rsidP="006861B0">
      <w:pPr>
        <w:pStyle w:val="ListParagraph"/>
        <w:numPr>
          <w:ilvl w:val="0"/>
          <w:numId w:val="97"/>
        </w:numPr>
        <w:spacing w:before="120" w:after="120"/>
        <w:ind w:right="108"/>
        <w:jc w:val="both"/>
        <w:rPr>
          <w:rFonts w:ascii="Verdana" w:hAnsi="Verdana"/>
          <w:sz w:val="20"/>
          <w:szCs w:val="20"/>
          <w:lang w:val="bg-BG"/>
        </w:rPr>
      </w:pPr>
      <w:r w:rsidRPr="007A2144">
        <w:rPr>
          <w:rFonts w:ascii="Verdana" w:hAnsi="Verdana"/>
          <w:sz w:val="20"/>
          <w:szCs w:val="20"/>
          <w:lang w:val="bg-BG"/>
        </w:rPr>
        <w:t>Постигнати индикатори за изпълнение и на индикатори за резултат</w:t>
      </w:r>
      <w:r>
        <w:rPr>
          <w:rFonts w:ascii="Verdana" w:hAnsi="Verdana"/>
          <w:sz w:val="20"/>
          <w:szCs w:val="20"/>
          <w:lang w:val="bg-BG"/>
        </w:rPr>
        <w:t>;</w:t>
      </w:r>
    </w:p>
    <w:p w:rsidR="0026362F" w:rsidRPr="007A2144" w:rsidRDefault="0026362F" w:rsidP="006861B0">
      <w:pPr>
        <w:pStyle w:val="ListParagraph"/>
        <w:numPr>
          <w:ilvl w:val="0"/>
          <w:numId w:val="97"/>
        </w:numPr>
        <w:spacing w:before="120" w:after="120"/>
        <w:ind w:right="108"/>
        <w:jc w:val="both"/>
        <w:rPr>
          <w:rFonts w:ascii="Verdana" w:hAnsi="Verdana"/>
          <w:sz w:val="20"/>
          <w:szCs w:val="20"/>
          <w:lang w:val="bg-BG"/>
        </w:rPr>
      </w:pPr>
      <w:r w:rsidRPr="007A2144">
        <w:rPr>
          <w:rFonts w:ascii="Verdana" w:hAnsi="Verdana"/>
          <w:sz w:val="20"/>
          <w:szCs w:val="20"/>
          <w:lang w:val="bg-BG"/>
        </w:rPr>
        <w:t>Обобщена информация за финансовото изпълнение на инвестиционния приоритет.</w:t>
      </w:r>
    </w:p>
    <w:p w:rsidR="0026362F" w:rsidRDefault="0026362F" w:rsidP="0026362F">
      <w:pPr>
        <w:autoSpaceDE w:val="0"/>
        <w:autoSpaceDN w:val="0"/>
        <w:adjustRightInd w:val="0"/>
        <w:spacing w:before="120" w:after="120"/>
        <w:jc w:val="both"/>
        <w:rPr>
          <w:rFonts w:ascii="Verdana" w:hAnsi="Verdana"/>
          <w:sz w:val="20"/>
          <w:szCs w:val="20"/>
          <w:lang w:val="bg-BG"/>
        </w:rPr>
      </w:pPr>
      <w:r w:rsidRPr="00995BA0">
        <w:rPr>
          <w:rFonts w:ascii="Verdana" w:hAnsi="Verdana"/>
          <w:sz w:val="20"/>
          <w:szCs w:val="20"/>
          <w:lang w:val="bg-BG"/>
        </w:rPr>
        <w:t xml:space="preserve">На ниво </w:t>
      </w:r>
      <w:r w:rsidRPr="002D5CCD">
        <w:rPr>
          <w:rFonts w:ascii="Verdana" w:hAnsi="Verdana"/>
          <w:sz w:val="20"/>
          <w:szCs w:val="20"/>
          <w:lang w:val="bg-BG"/>
        </w:rPr>
        <w:t>приоритетна ос</w:t>
      </w:r>
      <w:r w:rsidRPr="00995BA0">
        <w:rPr>
          <w:rFonts w:ascii="Verdana" w:hAnsi="Verdana"/>
          <w:sz w:val="20"/>
          <w:szCs w:val="20"/>
          <w:lang w:val="bg-BG"/>
        </w:rPr>
        <w:t>, УО може да събира обобщена информация, която да послужи при изследвания и оценки на ефекта на програмата върху различни целеви групи.</w:t>
      </w:r>
      <w:r>
        <w:rPr>
          <w:rFonts w:ascii="Verdana" w:hAnsi="Verdana"/>
          <w:sz w:val="20"/>
          <w:szCs w:val="20"/>
          <w:lang w:val="bg-BG"/>
        </w:rPr>
        <w:t xml:space="preserve"> На тази база се получава обща информация за изпълнението на програмата.</w:t>
      </w:r>
    </w:p>
    <w:p w:rsidR="0026362F" w:rsidRDefault="0026362F" w:rsidP="0026362F">
      <w:pPr>
        <w:autoSpaceDE w:val="0"/>
        <w:autoSpaceDN w:val="0"/>
        <w:adjustRightInd w:val="0"/>
        <w:spacing w:before="120" w:after="120"/>
        <w:jc w:val="both"/>
        <w:rPr>
          <w:rFonts w:ascii="Verdana" w:hAnsi="Verdana"/>
          <w:sz w:val="20"/>
          <w:szCs w:val="20"/>
          <w:lang w:val="bg-BG"/>
        </w:rPr>
      </w:pPr>
      <w:r>
        <w:rPr>
          <w:rFonts w:ascii="Verdana" w:hAnsi="Verdana"/>
          <w:sz w:val="20"/>
          <w:szCs w:val="20"/>
          <w:lang w:val="bg-BG"/>
        </w:rPr>
        <w:lastRenderedPageBreak/>
        <w:t>О</w:t>
      </w:r>
      <w:r w:rsidRPr="00995BA0">
        <w:rPr>
          <w:rFonts w:ascii="Verdana" w:hAnsi="Verdana"/>
          <w:sz w:val="20"/>
          <w:szCs w:val="20"/>
          <w:lang w:val="bg-BG"/>
        </w:rPr>
        <w:t>сновен елемент на системата за мониторинг са индикаторите на програмата</w:t>
      </w:r>
      <w:r>
        <w:rPr>
          <w:rFonts w:ascii="Verdana" w:hAnsi="Verdana"/>
          <w:sz w:val="20"/>
          <w:szCs w:val="20"/>
          <w:lang w:val="bg-BG"/>
        </w:rPr>
        <w:t xml:space="preserve">, както и получаването на допълнителна качествена информация. Тя може да послужи за обяснение на причините за постигане или </w:t>
      </w:r>
      <w:proofErr w:type="spellStart"/>
      <w:r>
        <w:rPr>
          <w:rFonts w:ascii="Verdana" w:hAnsi="Verdana"/>
          <w:sz w:val="20"/>
          <w:szCs w:val="20"/>
          <w:lang w:val="bg-BG"/>
        </w:rPr>
        <w:t>непостигане</w:t>
      </w:r>
      <w:proofErr w:type="spellEnd"/>
      <w:r>
        <w:rPr>
          <w:rFonts w:ascii="Verdana" w:hAnsi="Verdana"/>
          <w:sz w:val="20"/>
          <w:szCs w:val="20"/>
          <w:lang w:val="bg-BG"/>
        </w:rPr>
        <w:t xml:space="preserve"> на заложените цели и да даде допълнително разбиране за ефективността на изпълнение. </w:t>
      </w:r>
      <w:r>
        <w:rPr>
          <w:rFonts w:ascii="Verdana" w:hAnsi="Verdana" w:cs="OpalCYR"/>
          <w:sz w:val="20"/>
          <w:szCs w:val="20"/>
          <w:lang w:val="bg-BG"/>
        </w:rPr>
        <w:t xml:space="preserve">Основен проблем при набирането и докладването на информация за индикаторите в някои случаи е липсата на общо разбиране за значението на индикаторите. </w:t>
      </w:r>
    </w:p>
    <w:p w:rsidR="0026362F" w:rsidRPr="00995BA0" w:rsidRDefault="0026362F" w:rsidP="0026362F">
      <w:pPr>
        <w:spacing w:before="120" w:after="120"/>
        <w:jc w:val="both"/>
        <w:rPr>
          <w:rFonts w:ascii="Verdana" w:hAnsi="Verdana"/>
          <w:sz w:val="20"/>
          <w:szCs w:val="20"/>
          <w:lang w:val="bg-BG"/>
        </w:rPr>
      </w:pPr>
      <w:r w:rsidRPr="00995BA0">
        <w:rPr>
          <w:rFonts w:ascii="Verdana" w:hAnsi="Verdana"/>
          <w:sz w:val="20"/>
          <w:szCs w:val="20"/>
          <w:lang w:val="bg-BG"/>
        </w:rPr>
        <w:t>В настоящия доклад индикаторите по програмата са разгледани подробно в Оценка 3 „Анализ на системата от индикатори“, като също се предвижда да бъдат разработени детайлни индикаторни</w:t>
      </w:r>
      <w:r>
        <w:rPr>
          <w:rFonts w:ascii="Verdana" w:hAnsi="Verdana"/>
          <w:sz w:val="20"/>
          <w:szCs w:val="20"/>
          <w:lang w:val="bg-BG"/>
        </w:rPr>
        <w:t xml:space="preserve"> фишове</w:t>
      </w:r>
      <w:r w:rsidRPr="00F54E78">
        <w:rPr>
          <w:rFonts w:ascii="Verdana" w:hAnsi="Verdana"/>
          <w:sz w:val="20"/>
          <w:szCs w:val="20"/>
          <w:lang w:val="bg-BG"/>
        </w:rPr>
        <w:t>,</w:t>
      </w:r>
      <w:r w:rsidRPr="00995BA0">
        <w:rPr>
          <w:rFonts w:ascii="Verdana" w:hAnsi="Verdana"/>
          <w:sz w:val="20"/>
          <w:szCs w:val="20"/>
          <w:lang w:val="bg-BG"/>
        </w:rPr>
        <w:t xml:space="preserve"> които следва да станат основополагаща част на системата за мониторинг.</w:t>
      </w:r>
      <w:r>
        <w:rPr>
          <w:rFonts w:ascii="Verdana" w:hAnsi="Verdana"/>
          <w:sz w:val="20"/>
          <w:szCs w:val="20"/>
          <w:lang w:val="bg-BG"/>
        </w:rPr>
        <w:t xml:space="preserve"> </w:t>
      </w:r>
      <w:r w:rsidRPr="00995BA0">
        <w:rPr>
          <w:rFonts w:ascii="Verdana" w:hAnsi="Verdana"/>
          <w:sz w:val="20"/>
          <w:szCs w:val="20"/>
          <w:lang w:val="bg-BG"/>
        </w:rPr>
        <w:t>Индикаторните фишове ще представят дефиниция за всеки индикатор на програмата</w:t>
      </w:r>
      <w:r>
        <w:rPr>
          <w:rFonts w:ascii="Verdana" w:hAnsi="Verdana"/>
          <w:sz w:val="20"/>
          <w:szCs w:val="20"/>
          <w:lang w:val="bg-BG"/>
        </w:rPr>
        <w:t>,</w:t>
      </w:r>
      <w:r w:rsidRPr="00995BA0">
        <w:rPr>
          <w:rFonts w:ascii="Verdana" w:hAnsi="Verdana"/>
          <w:sz w:val="20"/>
          <w:szCs w:val="20"/>
          <w:lang w:val="bg-BG"/>
        </w:rPr>
        <w:t xml:space="preserve"> за да се гарантира еднозначно тълкуване и разбиране от страна на всички заинтересовани лица, неговата целева стойност и методите за изчисление на тази стойност. Също така те ще дадат насоки за методите за изчисление на индикатора, необходимата честота за отчитане на индикатора и източниците на ин</w:t>
      </w:r>
      <w:r>
        <w:rPr>
          <w:rFonts w:ascii="Verdana" w:hAnsi="Verdana"/>
          <w:sz w:val="20"/>
          <w:szCs w:val="20"/>
          <w:lang w:val="bg-BG"/>
        </w:rPr>
        <w:t>формация за неговото отчитане.</w:t>
      </w:r>
      <w:r w:rsidRPr="00995BA0">
        <w:rPr>
          <w:rFonts w:ascii="Verdana" w:hAnsi="Verdana"/>
          <w:sz w:val="20"/>
          <w:szCs w:val="20"/>
          <w:lang w:val="bg-BG"/>
        </w:rPr>
        <w:t xml:space="preserve"> </w:t>
      </w:r>
    </w:p>
    <w:p w:rsidR="0026362F" w:rsidRPr="00D17D24" w:rsidRDefault="0026362F" w:rsidP="0026362F">
      <w:pPr>
        <w:keepNext/>
        <w:spacing w:before="360" w:after="120"/>
        <w:jc w:val="both"/>
        <w:rPr>
          <w:rFonts w:ascii="Verdana" w:hAnsi="Verdana"/>
          <w:color w:val="548DD4" w:themeColor="text2" w:themeTint="99"/>
          <w:sz w:val="20"/>
          <w:szCs w:val="20"/>
          <w:lang w:val="bg-BG"/>
        </w:rPr>
      </w:pPr>
      <w:r w:rsidRPr="00D17D24">
        <w:rPr>
          <w:rFonts w:ascii="Verdana" w:hAnsi="Verdana"/>
          <w:color w:val="548DD4" w:themeColor="text2" w:themeTint="99"/>
          <w:sz w:val="20"/>
          <w:szCs w:val="20"/>
          <w:lang w:val="bg-BG"/>
        </w:rPr>
        <w:t>Как да се събира информацията</w:t>
      </w:r>
    </w:p>
    <w:p w:rsidR="0026362F" w:rsidRPr="00995BA0" w:rsidRDefault="0026362F" w:rsidP="0026362F">
      <w:pPr>
        <w:autoSpaceDE w:val="0"/>
        <w:autoSpaceDN w:val="0"/>
        <w:adjustRightInd w:val="0"/>
        <w:spacing w:before="120" w:after="120"/>
        <w:jc w:val="both"/>
        <w:rPr>
          <w:rFonts w:ascii="Verdana" w:hAnsi="Verdana" w:cs="OpalCYR"/>
          <w:sz w:val="20"/>
          <w:szCs w:val="20"/>
          <w:lang w:val="bg-BG"/>
        </w:rPr>
      </w:pPr>
      <w:r w:rsidRPr="00995BA0">
        <w:rPr>
          <w:rFonts w:ascii="Verdana" w:hAnsi="Verdana" w:cs="OpalCYR"/>
          <w:sz w:val="20"/>
          <w:szCs w:val="20"/>
          <w:lang w:val="bg-BG"/>
        </w:rPr>
        <w:t xml:space="preserve">Ключовите фактори за осъществяването на успешен мониторинг е изборът на подходяща методика, която да включва микс от мониторинг инструменти и </w:t>
      </w:r>
      <w:r>
        <w:rPr>
          <w:rFonts w:ascii="Verdana" w:hAnsi="Verdana" w:cs="OpalCYR"/>
          <w:sz w:val="20"/>
          <w:szCs w:val="20"/>
          <w:lang w:val="bg-BG"/>
        </w:rPr>
        <w:t xml:space="preserve">да </w:t>
      </w:r>
      <w:r w:rsidRPr="00995BA0">
        <w:rPr>
          <w:rFonts w:ascii="Verdana" w:hAnsi="Verdana" w:cs="OpalCYR"/>
          <w:sz w:val="20"/>
          <w:szCs w:val="20"/>
          <w:lang w:val="bg-BG"/>
        </w:rPr>
        <w:t>осигурява баланс между</w:t>
      </w:r>
      <w:r>
        <w:rPr>
          <w:rFonts w:ascii="Verdana" w:hAnsi="Verdana" w:cs="OpalCYR"/>
          <w:sz w:val="20"/>
          <w:szCs w:val="20"/>
          <w:lang w:val="bg-BG"/>
        </w:rPr>
        <w:t>:</w:t>
      </w:r>
    </w:p>
    <w:p w:rsidR="0026362F" w:rsidRPr="00995BA0" w:rsidRDefault="0026362F" w:rsidP="006861B0">
      <w:pPr>
        <w:pStyle w:val="ListParagraph"/>
        <w:numPr>
          <w:ilvl w:val="0"/>
          <w:numId w:val="92"/>
        </w:numPr>
        <w:autoSpaceDE w:val="0"/>
        <w:autoSpaceDN w:val="0"/>
        <w:adjustRightInd w:val="0"/>
        <w:spacing w:before="120" w:after="120"/>
        <w:contextualSpacing/>
        <w:jc w:val="both"/>
        <w:rPr>
          <w:rFonts w:ascii="Verdana" w:hAnsi="Verdana" w:cs="OpalCYR"/>
          <w:sz w:val="20"/>
          <w:szCs w:val="20"/>
          <w:lang w:val="bg-BG"/>
        </w:rPr>
      </w:pPr>
      <w:r w:rsidRPr="00995BA0">
        <w:rPr>
          <w:rFonts w:ascii="Verdana" w:hAnsi="Verdana" w:cs="OpalCYR"/>
          <w:sz w:val="20"/>
          <w:szCs w:val="20"/>
          <w:lang w:val="bg-BG"/>
        </w:rPr>
        <w:t>получени данни на хартия или по електронен път;</w:t>
      </w:r>
    </w:p>
    <w:p w:rsidR="0026362F" w:rsidRPr="00995BA0" w:rsidRDefault="0026362F" w:rsidP="006861B0">
      <w:pPr>
        <w:numPr>
          <w:ilvl w:val="0"/>
          <w:numId w:val="92"/>
        </w:numPr>
        <w:autoSpaceDE w:val="0"/>
        <w:autoSpaceDN w:val="0"/>
        <w:adjustRightInd w:val="0"/>
        <w:spacing w:before="120" w:after="120"/>
        <w:contextualSpacing/>
        <w:jc w:val="both"/>
        <w:rPr>
          <w:rFonts w:ascii="Verdana" w:hAnsi="Verdana" w:cs="OpalCYR"/>
          <w:sz w:val="20"/>
          <w:szCs w:val="20"/>
          <w:lang w:val="bg-BG"/>
        </w:rPr>
      </w:pPr>
      <w:r w:rsidRPr="00995BA0">
        <w:rPr>
          <w:rFonts w:ascii="Verdana" w:hAnsi="Verdana" w:cs="OpalCYR"/>
          <w:sz w:val="20"/>
          <w:szCs w:val="20"/>
          <w:lang w:val="bg-BG"/>
        </w:rPr>
        <w:t>обратна връзка от бенефициенти;</w:t>
      </w:r>
    </w:p>
    <w:p w:rsidR="0026362F" w:rsidRPr="00995BA0" w:rsidRDefault="0026362F" w:rsidP="006861B0">
      <w:pPr>
        <w:pStyle w:val="ListParagraph"/>
        <w:numPr>
          <w:ilvl w:val="0"/>
          <w:numId w:val="92"/>
        </w:numPr>
        <w:autoSpaceDE w:val="0"/>
        <w:autoSpaceDN w:val="0"/>
        <w:adjustRightInd w:val="0"/>
        <w:spacing w:before="120" w:after="120"/>
        <w:contextualSpacing/>
        <w:jc w:val="both"/>
        <w:rPr>
          <w:rFonts w:ascii="Verdana" w:hAnsi="Verdana" w:cs="OpalCYR"/>
          <w:sz w:val="20"/>
          <w:szCs w:val="20"/>
          <w:lang w:val="bg-BG"/>
        </w:rPr>
      </w:pPr>
      <w:r w:rsidRPr="00995BA0">
        <w:rPr>
          <w:rFonts w:ascii="Verdana" w:hAnsi="Verdana" w:cs="OpalCYR"/>
          <w:sz w:val="20"/>
          <w:szCs w:val="20"/>
          <w:lang w:val="bg-BG"/>
        </w:rPr>
        <w:t>валидиране на получените данни.</w:t>
      </w:r>
    </w:p>
    <w:p w:rsidR="0026362F" w:rsidRDefault="0026362F" w:rsidP="0026362F">
      <w:pPr>
        <w:autoSpaceDE w:val="0"/>
        <w:autoSpaceDN w:val="0"/>
        <w:adjustRightInd w:val="0"/>
        <w:spacing w:before="120" w:after="120"/>
        <w:jc w:val="both"/>
        <w:rPr>
          <w:rFonts w:ascii="Verdana" w:hAnsi="Verdana" w:cs="OpalCYR"/>
          <w:sz w:val="20"/>
          <w:szCs w:val="20"/>
          <w:lang w:val="bg-BG"/>
        </w:rPr>
      </w:pPr>
      <w:r w:rsidRPr="00995BA0">
        <w:rPr>
          <w:rFonts w:ascii="Verdana" w:hAnsi="Verdana" w:cs="OpalCYR"/>
          <w:sz w:val="20"/>
          <w:szCs w:val="20"/>
          <w:lang w:val="bg-BG"/>
        </w:rPr>
        <w:t>Изборът на методика също се обуславя от възможността и наличните ресурси за получаване  и обработване на  достатъчна по обем и изчерпателна информация, която да даде възможност за формулиране на достоверни изводи, анализи и препоръки.</w:t>
      </w:r>
    </w:p>
    <w:p w:rsidR="0026362F" w:rsidRDefault="0026362F" w:rsidP="0026362F">
      <w:pPr>
        <w:autoSpaceDE w:val="0"/>
        <w:autoSpaceDN w:val="0"/>
        <w:adjustRightInd w:val="0"/>
        <w:spacing w:before="120" w:after="120"/>
        <w:jc w:val="both"/>
        <w:rPr>
          <w:rFonts w:ascii="Verdana" w:hAnsi="Verdana" w:cs="OpalCYR"/>
          <w:sz w:val="20"/>
          <w:szCs w:val="20"/>
          <w:lang w:val="bg-BG"/>
        </w:rPr>
      </w:pPr>
      <w:r>
        <w:rPr>
          <w:rFonts w:ascii="Verdana" w:hAnsi="Verdana" w:cs="OpalCYR"/>
          <w:sz w:val="20"/>
          <w:szCs w:val="20"/>
          <w:lang w:val="bg-BG"/>
        </w:rPr>
        <w:t>Основните правила за добри практики при събиране и докладване на информация включват:</w:t>
      </w:r>
    </w:p>
    <w:p w:rsidR="0026362F" w:rsidRPr="00D17D24" w:rsidRDefault="0026362F" w:rsidP="006861B0">
      <w:pPr>
        <w:pStyle w:val="ListParagraph"/>
        <w:numPr>
          <w:ilvl w:val="0"/>
          <w:numId w:val="98"/>
        </w:numPr>
        <w:autoSpaceDE w:val="0"/>
        <w:autoSpaceDN w:val="0"/>
        <w:adjustRightInd w:val="0"/>
        <w:spacing w:before="120" w:after="120"/>
        <w:jc w:val="both"/>
        <w:rPr>
          <w:rFonts w:ascii="Verdana" w:hAnsi="Verdana" w:cs="OpalCYR"/>
          <w:sz w:val="20"/>
          <w:szCs w:val="20"/>
          <w:lang w:val="bg-BG"/>
        </w:rPr>
      </w:pPr>
      <w:r w:rsidRPr="00D17D24">
        <w:rPr>
          <w:rFonts w:ascii="Verdana" w:hAnsi="Verdana" w:cs="OpalCYR"/>
          <w:sz w:val="20"/>
          <w:szCs w:val="20"/>
          <w:lang w:val="bg-BG"/>
        </w:rPr>
        <w:t>Да се събира само наистина необходимата информация. Събирането на ненужни данни затруднява системата.</w:t>
      </w:r>
    </w:p>
    <w:p w:rsidR="0026362F" w:rsidRPr="00D17D24" w:rsidRDefault="0026362F" w:rsidP="006861B0">
      <w:pPr>
        <w:pStyle w:val="ListParagraph"/>
        <w:numPr>
          <w:ilvl w:val="0"/>
          <w:numId w:val="98"/>
        </w:numPr>
        <w:autoSpaceDE w:val="0"/>
        <w:autoSpaceDN w:val="0"/>
        <w:adjustRightInd w:val="0"/>
        <w:spacing w:before="120" w:after="120"/>
        <w:jc w:val="both"/>
        <w:rPr>
          <w:rFonts w:ascii="Verdana" w:hAnsi="Verdana" w:cs="OpalCYR"/>
          <w:sz w:val="20"/>
          <w:szCs w:val="20"/>
          <w:lang w:val="bg-BG"/>
        </w:rPr>
      </w:pPr>
      <w:r w:rsidRPr="00D17D24">
        <w:rPr>
          <w:rFonts w:ascii="Verdana" w:hAnsi="Verdana" w:cs="OpalCYR"/>
          <w:sz w:val="20"/>
          <w:szCs w:val="20"/>
          <w:lang w:val="bg-BG"/>
        </w:rPr>
        <w:t>Да не се събира повторно информация, която вече е набрана. Добрата система за мониторинг трябва да дава възможност за обобщаване на данните от едно ниво на друго без да се набира допълнителна информация.</w:t>
      </w:r>
    </w:p>
    <w:p w:rsidR="0026362F" w:rsidRPr="00D17D24" w:rsidRDefault="0026362F" w:rsidP="006861B0">
      <w:pPr>
        <w:pStyle w:val="ListParagraph"/>
        <w:numPr>
          <w:ilvl w:val="0"/>
          <w:numId w:val="98"/>
        </w:numPr>
        <w:tabs>
          <w:tab w:val="left" w:pos="426"/>
        </w:tabs>
        <w:autoSpaceDE w:val="0"/>
        <w:autoSpaceDN w:val="0"/>
        <w:adjustRightInd w:val="0"/>
        <w:spacing w:before="120" w:after="120"/>
        <w:jc w:val="both"/>
        <w:rPr>
          <w:rFonts w:ascii="Verdana" w:hAnsi="Verdana"/>
          <w:sz w:val="20"/>
          <w:szCs w:val="20"/>
          <w:lang w:val="bg-BG"/>
        </w:rPr>
      </w:pPr>
      <w:r w:rsidRPr="00D17D24">
        <w:rPr>
          <w:rFonts w:ascii="Verdana" w:hAnsi="Verdana"/>
          <w:sz w:val="20"/>
          <w:szCs w:val="20"/>
          <w:lang w:val="bg-BG"/>
        </w:rPr>
        <w:t>Системата за наблюдение на програмата следва да има йерархична структура, която предполага обработване, обобщаване и проверка на информацията при предаването на следващото ниво. Събирането и докладването на информация  става в следната йерархична последователност:</w:t>
      </w:r>
    </w:p>
    <w:p w:rsidR="0026362F" w:rsidRPr="00D17D24" w:rsidRDefault="0026362F" w:rsidP="006861B0">
      <w:pPr>
        <w:pStyle w:val="ListParagraph"/>
        <w:numPr>
          <w:ilvl w:val="0"/>
          <w:numId w:val="99"/>
        </w:numPr>
        <w:tabs>
          <w:tab w:val="left" w:pos="567"/>
        </w:tabs>
        <w:autoSpaceDE w:val="0"/>
        <w:autoSpaceDN w:val="0"/>
        <w:adjustRightInd w:val="0"/>
        <w:spacing w:before="120" w:after="120"/>
        <w:contextualSpacing/>
        <w:jc w:val="both"/>
        <w:rPr>
          <w:rFonts w:ascii="Verdana" w:hAnsi="Verdana"/>
          <w:sz w:val="20"/>
          <w:szCs w:val="20"/>
          <w:lang w:val="bg-BG"/>
        </w:rPr>
      </w:pPr>
      <w:r w:rsidRPr="00D17D24">
        <w:rPr>
          <w:rFonts w:ascii="Verdana" w:hAnsi="Verdana"/>
          <w:sz w:val="20"/>
          <w:szCs w:val="20"/>
          <w:lang w:val="bg-BG"/>
        </w:rPr>
        <w:t xml:space="preserve">на ниво краен потребител  </w:t>
      </w:r>
    </w:p>
    <w:p w:rsidR="0026362F" w:rsidRPr="00D17D24" w:rsidRDefault="0026362F" w:rsidP="006861B0">
      <w:pPr>
        <w:pStyle w:val="ListParagraph"/>
        <w:numPr>
          <w:ilvl w:val="0"/>
          <w:numId w:val="99"/>
        </w:numPr>
        <w:tabs>
          <w:tab w:val="left" w:pos="567"/>
        </w:tabs>
        <w:autoSpaceDE w:val="0"/>
        <w:autoSpaceDN w:val="0"/>
        <w:adjustRightInd w:val="0"/>
        <w:spacing w:before="120" w:after="120"/>
        <w:contextualSpacing/>
        <w:jc w:val="both"/>
        <w:rPr>
          <w:rFonts w:ascii="Verdana" w:hAnsi="Verdana"/>
          <w:sz w:val="20"/>
          <w:szCs w:val="20"/>
          <w:lang w:val="bg-BG"/>
        </w:rPr>
      </w:pPr>
      <w:r w:rsidRPr="00D17D24">
        <w:rPr>
          <w:rFonts w:ascii="Verdana" w:hAnsi="Verdana"/>
          <w:sz w:val="20"/>
          <w:szCs w:val="20"/>
          <w:lang w:val="bg-BG"/>
        </w:rPr>
        <w:t>на ниво договор</w:t>
      </w:r>
    </w:p>
    <w:p w:rsidR="0026362F" w:rsidRPr="00D17D24" w:rsidRDefault="0026362F" w:rsidP="006861B0">
      <w:pPr>
        <w:pStyle w:val="ListParagraph"/>
        <w:numPr>
          <w:ilvl w:val="0"/>
          <w:numId w:val="99"/>
        </w:numPr>
        <w:tabs>
          <w:tab w:val="left" w:pos="567"/>
        </w:tabs>
        <w:autoSpaceDE w:val="0"/>
        <w:autoSpaceDN w:val="0"/>
        <w:adjustRightInd w:val="0"/>
        <w:spacing w:before="120" w:after="120"/>
        <w:contextualSpacing/>
        <w:jc w:val="both"/>
        <w:rPr>
          <w:rFonts w:ascii="Verdana" w:hAnsi="Verdana"/>
          <w:sz w:val="20"/>
          <w:szCs w:val="20"/>
          <w:lang w:val="bg-BG"/>
        </w:rPr>
      </w:pPr>
      <w:r w:rsidRPr="00D17D24">
        <w:rPr>
          <w:rFonts w:ascii="Verdana" w:hAnsi="Verdana"/>
          <w:sz w:val="20"/>
          <w:szCs w:val="20"/>
          <w:lang w:val="bg-BG"/>
        </w:rPr>
        <w:t>на ниво схема за БФП/ договор за директно предоставяне</w:t>
      </w:r>
    </w:p>
    <w:p w:rsidR="0026362F" w:rsidRPr="00D17D24" w:rsidRDefault="0026362F" w:rsidP="006861B0">
      <w:pPr>
        <w:pStyle w:val="ListParagraph"/>
        <w:numPr>
          <w:ilvl w:val="0"/>
          <w:numId w:val="99"/>
        </w:numPr>
        <w:tabs>
          <w:tab w:val="left" w:pos="567"/>
        </w:tabs>
        <w:autoSpaceDE w:val="0"/>
        <w:autoSpaceDN w:val="0"/>
        <w:adjustRightInd w:val="0"/>
        <w:spacing w:before="120" w:after="120"/>
        <w:contextualSpacing/>
        <w:jc w:val="both"/>
        <w:rPr>
          <w:rFonts w:ascii="Verdana" w:hAnsi="Verdana"/>
          <w:sz w:val="20"/>
          <w:szCs w:val="20"/>
          <w:lang w:val="bg-BG"/>
        </w:rPr>
      </w:pPr>
      <w:r w:rsidRPr="00D17D24">
        <w:rPr>
          <w:rFonts w:ascii="Verdana" w:hAnsi="Verdana"/>
          <w:sz w:val="20"/>
          <w:szCs w:val="20"/>
          <w:lang w:val="bg-BG"/>
        </w:rPr>
        <w:lastRenderedPageBreak/>
        <w:t>на ниво инвестиционен приоритет и постигане на специфични цели</w:t>
      </w:r>
    </w:p>
    <w:p w:rsidR="0026362F" w:rsidRPr="00D17D24" w:rsidRDefault="0026362F" w:rsidP="006861B0">
      <w:pPr>
        <w:pStyle w:val="ListParagraph"/>
        <w:numPr>
          <w:ilvl w:val="0"/>
          <w:numId w:val="99"/>
        </w:numPr>
        <w:tabs>
          <w:tab w:val="left" w:pos="567"/>
        </w:tabs>
        <w:autoSpaceDE w:val="0"/>
        <w:autoSpaceDN w:val="0"/>
        <w:adjustRightInd w:val="0"/>
        <w:spacing w:before="120" w:after="120"/>
        <w:contextualSpacing/>
        <w:jc w:val="both"/>
        <w:rPr>
          <w:rFonts w:ascii="Verdana" w:hAnsi="Verdana"/>
          <w:sz w:val="20"/>
          <w:szCs w:val="20"/>
          <w:lang w:val="bg-BG"/>
        </w:rPr>
      </w:pPr>
      <w:r w:rsidRPr="00D17D24">
        <w:rPr>
          <w:rFonts w:ascii="Verdana" w:hAnsi="Verdana"/>
          <w:sz w:val="20"/>
          <w:szCs w:val="20"/>
          <w:lang w:val="bg-BG"/>
        </w:rPr>
        <w:t>ниво ПО или ниво програма</w:t>
      </w:r>
      <w:r>
        <w:rPr>
          <w:rFonts w:ascii="Verdana" w:hAnsi="Verdana"/>
          <w:sz w:val="20"/>
          <w:szCs w:val="20"/>
          <w:lang w:val="bg-BG"/>
        </w:rPr>
        <w:t>.</w:t>
      </w:r>
    </w:p>
    <w:p w:rsidR="0026362F" w:rsidRPr="00514908" w:rsidRDefault="0026362F" w:rsidP="0026362F">
      <w:pPr>
        <w:keepNext/>
        <w:spacing w:before="120" w:after="120"/>
        <w:jc w:val="both"/>
        <w:rPr>
          <w:rFonts w:ascii="Verdana" w:hAnsi="Verdana"/>
          <w:color w:val="548DD4" w:themeColor="text2" w:themeTint="99"/>
          <w:sz w:val="20"/>
          <w:szCs w:val="20"/>
          <w:lang w:val="bg-BG"/>
        </w:rPr>
      </w:pPr>
      <w:r w:rsidRPr="00514908">
        <w:rPr>
          <w:rFonts w:ascii="Verdana" w:hAnsi="Verdana"/>
          <w:color w:val="548DD4" w:themeColor="text2" w:themeTint="99"/>
          <w:sz w:val="20"/>
          <w:szCs w:val="20"/>
          <w:lang w:val="bg-BG"/>
        </w:rPr>
        <w:t xml:space="preserve">От кого се събира информацията и от кого се </w:t>
      </w:r>
      <w:proofErr w:type="spellStart"/>
      <w:r w:rsidRPr="00514908">
        <w:rPr>
          <w:rFonts w:ascii="Verdana" w:hAnsi="Verdana"/>
          <w:color w:val="548DD4" w:themeColor="text2" w:themeTint="99"/>
          <w:sz w:val="20"/>
          <w:szCs w:val="20"/>
          <w:lang w:val="bg-BG"/>
        </w:rPr>
        <w:t>агрегира</w:t>
      </w:r>
      <w:proofErr w:type="spellEnd"/>
      <w:r w:rsidRPr="00514908">
        <w:rPr>
          <w:rFonts w:ascii="Verdana" w:hAnsi="Verdana"/>
          <w:color w:val="548DD4" w:themeColor="text2" w:themeTint="99"/>
          <w:sz w:val="20"/>
          <w:szCs w:val="20"/>
          <w:lang w:val="bg-BG"/>
        </w:rPr>
        <w:t xml:space="preserve"> информацията</w:t>
      </w:r>
    </w:p>
    <w:p w:rsidR="0026362F" w:rsidRDefault="0026362F" w:rsidP="0026362F">
      <w:pPr>
        <w:spacing w:before="120" w:after="120"/>
        <w:ind w:right="-383"/>
        <w:jc w:val="both"/>
        <w:rPr>
          <w:rFonts w:ascii="Verdana" w:hAnsi="Verdana"/>
          <w:sz w:val="20"/>
          <w:szCs w:val="20"/>
          <w:lang w:val="bg-BG"/>
        </w:rPr>
      </w:pPr>
      <w:r w:rsidRPr="00995BA0">
        <w:rPr>
          <w:rFonts w:ascii="Verdana" w:hAnsi="Verdana"/>
          <w:sz w:val="20"/>
          <w:szCs w:val="20"/>
          <w:lang w:val="bg-BG"/>
        </w:rPr>
        <w:t>Графиката по-долу илюстрира виждането на екипа на Изпълнителя за събиране и агрегиране на данните</w:t>
      </w:r>
      <w:r>
        <w:rPr>
          <w:rFonts w:ascii="Verdana" w:hAnsi="Verdana"/>
          <w:sz w:val="20"/>
          <w:szCs w:val="20"/>
          <w:lang w:val="bg-BG"/>
        </w:rPr>
        <w:t xml:space="preserve"> от системата за мониторинг</w:t>
      </w:r>
      <w:r w:rsidRPr="00995BA0">
        <w:rPr>
          <w:rFonts w:ascii="Verdana" w:hAnsi="Verdana"/>
          <w:sz w:val="20"/>
          <w:szCs w:val="20"/>
          <w:lang w:val="bg-BG"/>
        </w:rPr>
        <w:t>. Схемата следва насоките на Е</w:t>
      </w:r>
      <w:r>
        <w:rPr>
          <w:rFonts w:ascii="Verdana" w:hAnsi="Verdana"/>
          <w:sz w:val="20"/>
          <w:szCs w:val="20"/>
          <w:lang w:val="bg-BG"/>
        </w:rPr>
        <w:t xml:space="preserve">К за мониторинг и оценка на ЕСФ. </w:t>
      </w:r>
    </w:p>
    <w:p w:rsidR="0026362F" w:rsidRPr="002072E2" w:rsidRDefault="0026362F" w:rsidP="0026362F">
      <w:pPr>
        <w:spacing w:before="120" w:after="120"/>
        <w:jc w:val="both"/>
        <w:rPr>
          <w:rFonts w:ascii="Verdana" w:eastAsia="Malgun Gothic" w:hAnsi="Verdana"/>
          <w:sz w:val="20"/>
          <w:szCs w:val="20"/>
          <w:lang w:val="bg-BG" w:eastAsia="ko-KR"/>
        </w:rPr>
      </w:pPr>
      <w:r w:rsidRPr="002072E2">
        <w:rPr>
          <w:rFonts w:ascii="Verdana" w:hAnsi="Verdana"/>
          <w:sz w:val="20"/>
          <w:szCs w:val="20"/>
          <w:lang w:val="bg-BG"/>
        </w:rPr>
        <w:t>Съгласно Насоките за мониторинг и оценка на Кохезионната политика – Европейски социален фонд</w:t>
      </w:r>
      <w:r w:rsidRPr="002072E2">
        <w:rPr>
          <w:rStyle w:val="FootnoteReference"/>
          <w:rFonts w:ascii="Verdana" w:hAnsi="Verdana"/>
          <w:sz w:val="20"/>
          <w:szCs w:val="20"/>
          <w:lang w:val="bg-BG"/>
        </w:rPr>
        <w:footnoteReference w:id="14"/>
      </w:r>
      <w:r w:rsidRPr="002072E2">
        <w:rPr>
          <w:rFonts w:ascii="Verdana" w:eastAsia="Malgun Gothic" w:hAnsi="Verdana"/>
          <w:sz w:val="20"/>
          <w:szCs w:val="20"/>
          <w:lang w:val="bg-BG" w:eastAsia="ko-KR"/>
        </w:rPr>
        <w:t>, мониторингът на програмата включва три типа индикатори:</w:t>
      </w:r>
    </w:p>
    <w:p w:rsidR="0026362F" w:rsidRPr="002072E2" w:rsidRDefault="0026362F" w:rsidP="006861B0">
      <w:pPr>
        <w:pStyle w:val="ListParagraph"/>
        <w:numPr>
          <w:ilvl w:val="0"/>
          <w:numId w:val="101"/>
        </w:numPr>
        <w:spacing w:before="120" w:after="120"/>
        <w:rPr>
          <w:rFonts w:ascii="Verdana" w:eastAsia="Malgun Gothic" w:hAnsi="Verdana"/>
          <w:sz w:val="20"/>
          <w:szCs w:val="20"/>
          <w:lang w:val="bg-BG" w:eastAsia="ko-KR"/>
        </w:rPr>
      </w:pPr>
      <w:r w:rsidRPr="002072E2">
        <w:rPr>
          <w:rFonts w:ascii="Verdana" w:eastAsia="Malgun Gothic" w:hAnsi="Verdana"/>
          <w:sz w:val="20"/>
          <w:szCs w:val="20"/>
          <w:lang w:val="bg-BG" w:eastAsia="ko-KR"/>
        </w:rPr>
        <w:t>Финансови индикатори</w:t>
      </w:r>
      <w:r>
        <w:rPr>
          <w:rFonts w:ascii="Verdana" w:eastAsia="Malgun Gothic" w:hAnsi="Verdana"/>
          <w:sz w:val="20"/>
          <w:szCs w:val="20"/>
          <w:lang w:val="bg-BG" w:eastAsia="ko-KR"/>
        </w:rPr>
        <w:t>;</w:t>
      </w:r>
    </w:p>
    <w:p w:rsidR="0026362F" w:rsidRPr="002072E2" w:rsidRDefault="0026362F" w:rsidP="006861B0">
      <w:pPr>
        <w:pStyle w:val="ListParagraph"/>
        <w:numPr>
          <w:ilvl w:val="0"/>
          <w:numId w:val="101"/>
        </w:numPr>
        <w:spacing w:before="120" w:after="120"/>
        <w:rPr>
          <w:rFonts w:ascii="Verdana" w:eastAsia="Malgun Gothic" w:hAnsi="Verdana"/>
          <w:sz w:val="20"/>
          <w:szCs w:val="20"/>
          <w:lang w:val="bg-BG" w:eastAsia="ko-KR"/>
        </w:rPr>
      </w:pPr>
      <w:r w:rsidRPr="002072E2">
        <w:rPr>
          <w:rFonts w:ascii="Verdana" w:eastAsia="Malgun Gothic" w:hAnsi="Verdana"/>
          <w:sz w:val="20"/>
          <w:szCs w:val="20"/>
          <w:lang w:val="bg-BG" w:eastAsia="ko-KR"/>
        </w:rPr>
        <w:t>Индикатори за продукт</w:t>
      </w:r>
      <w:r>
        <w:rPr>
          <w:rFonts w:ascii="Verdana" w:eastAsia="Malgun Gothic" w:hAnsi="Verdana"/>
          <w:sz w:val="20"/>
          <w:szCs w:val="20"/>
          <w:lang w:val="bg-BG" w:eastAsia="ko-KR"/>
        </w:rPr>
        <w:t>;</w:t>
      </w:r>
    </w:p>
    <w:p w:rsidR="0026362F" w:rsidRPr="002072E2" w:rsidRDefault="0026362F" w:rsidP="006861B0">
      <w:pPr>
        <w:pStyle w:val="ListParagraph"/>
        <w:numPr>
          <w:ilvl w:val="0"/>
          <w:numId w:val="101"/>
        </w:numPr>
        <w:spacing w:before="120" w:after="120"/>
        <w:rPr>
          <w:rFonts w:ascii="Verdana" w:eastAsia="Malgun Gothic" w:hAnsi="Verdana"/>
          <w:sz w:val="20"/>
          <w:szCs w:val="20"/>
          <w:lang w:val="bg-BG" w:eastAsia="ko-KR"/>
        </w:rPr>
      </w:pPr>
      <w:r w:rsidRPr="002072E2">
        <w:rPr>
          <w:rFonts w:ascii="Verdana" w:eastAsia="Malgun Gothic" w:hAnsi="Verdana"/>
          <w:sz w:val="20"/>
          <w:szCs w:val="20"/>
          <w:lang w:val="bg-BG" w:eastAsia="ko-KR"/>
        </w:rPr>
        <w:t>Индикатори за резултат</w:t>
      </w:r>
      <w:r>
        <w:rPr>
          <w:rFonts w:ascii="Verdana" w:eastAsia="Malgun Gothic" w:hAnsi="Verdana"/>
          <w:sz w:val="20"/>
          <w:szCs w:val="20"/>
          <w:lang w:val="bg-BG" w:eastAsia="ko-KR"/>
        </w:rPr>
        <w:t>.</w:t>
      </w:r>
    </w:p>
    <w:p w:rsidR="00492B37" w:rsidRDefault="0026362F" w:rsidP="0026362F">
      <w:pPr>
        <w:jc w:val="both"/>
        <w:rPr>
          <w:rFonts w:ascii="Verdana" w:hAnsi="Verdana"/>
          <w:sz w:val="20"/>
          <w:szCs w:val="20"/>
          <w:lang w:val="bg-BG"/>
        </w:rPr>
      </w:pPr>
      <w:r w:rsidRPr="002072E2">
        <w:rPr>
          <w:rFonts w:ascii="Verdana" w:hAnsi="Verdana"/>
          <w:sz w:val="20"/>
          <w:szCs w:val="20"/>
          <w:lang w:val="bg-BG"/>
        </w:rPr>
        <w:t xml:space="preserve">Първичната информация за напредък ще се събира на ниво договор за безвъзмездна финансова помощ от бенефициентите на програмата. </w:t>
      </w:r>
      <w:proofErr w:type="spellStart"/>
      <w:r w:rsidRPr="002072E2">
        <w:rPr>
          <w:rFonts w:ascii="Verdana" w:hAnsi="Verdana"/>
          <w:sz w:val="20"/>
          <w:szCs w:val="20"/>
          <w:lang w:val="bg-BG"/>
        </w:rPr>
        <w:t>Би</w:t>
      </w:r>
      <w:proofErr w:type="spellEnd"/>
      <w:r w:rsidRPr="002072E2">
        <w:rPr>
          <w:rFonts w:ascii="Verdana" w:hAnsi="Verdana"/>
          <w:sz w:val="20"/>
          <w:szCs w:val="20"/>
          <w:lang w:val="bg-BG"/>
        </w:rPr>
        <w:t xml:space="preserve"> следвало бенефициентите да докладват изпълнението по постигнати резултати и постигнати стойн</w:t>
      </w:r>
      <w:r w:rsidR="00492B37">
        <w:rPr>
          <w:rFonts w:ascii="Verdana" w:hAnsi="Verdana"/>
          <w:sz w:val="20"/>
          <w:szCs w:val="20"/>
          <w:lang w:val="bg-BG"/>
        </w:rPr>
        <w:t>ости на индикатори за продукт.</w:t>
      </w:r>
    </w:p>
    <w:p w:rsidR="0026362F" w:rsidRDefault="001B40F2" w:rsidP="0026362F">
      <w:pPr>
        <w:autoSpaceDE w:val="0"/>
        <w:autoSpaceDN w:val="0"/>
        <w:adjustRightInd w:val="0"/>
        <w:spacing w:after="0" w:line="240" w:lineRule="auto"/>
        <w:ind w:left="851"/>
        <w:jc w:val="center"/>
      </w:pPr>
      <w:r>
        <w:object w:dxaOrig="11649" w:dyaOrig="8304">
          <v:shape id="_x0000_i1028" type="#_x0000_t75" style="width:468pt;height:4in" o:ole="">
            <v:imagedata r:id="rId58" o:title=""/>
          </v:shape>
          <o:OLEObject Type="Embed" ProgID="Visio.Drawing.11" ShapeID="_x0000_i1028" DrawAspect="Content" ObjectID="_1469357523" r:id="rId59"/>
        </w:object>
      </w:r>
    </w:p>
    <w:p w:rsidR="0026362F" w:rsidRPr="00995BA0" w:rsidRDefault="0026362F" w:rsidP="0026362F">
      <w:pPr>
        <w:pStyle w:val="Caption"/>
        <w:jc w:val="center"/>
        <w:rPr>
          <w:rFonts w:ascii="Verdana" w:hAnsi="Verdana"/>
          <w:bCs w:val="0"/>
          <w:color w:val="548DD4" w:themeColor="text2" w:themeTint="99"/>
          <w:lang w:eastAsia="en-US"/>
        </w:rPr>
      </w:pPr>
      <w:bookmarkStart w:id="169" w:name="_Toc381712254"/>
      <w:bookmarkStart w:id="170" w:name="_Toc388432011"/>
      <w:bookmarkStart w:id="171" w:name="_Toc395609468"/>
      <w:r w:rsidRPr="00995BA0">
        <w:rPr>
          <w:rFonts w:ascii="Verdana" w:hAnsi="Verdana"/>
          <w:bCs w:val="0"/>
          <w:color w:val="548DD4" w:themeColor="text2" w:themeTint="99"/>
          <w:lang w:eastAsia="en-US"/>
        </w:rPr>
        <w:t xml:space="preserve">Фигура </w:t>
      </w:r>
      <w:r w:rsidRPr="00995BA0">
        <w:rPr>
          <w:rFonts w:ascii="Verdana" w:hAnsi="Verdana"/>
          <w:bCs w:val="0"/>
          <w:color w:val="548DD4" w:themeColor="text2" w:themeTint="99"/>
          <w:lang w:eastAsia="en-US"/>
        </w:rPr>
        <w:fldChar w:fldCharType="begin"/>
      </w:r>
      <w:r w:rsidRPr="00995BA0">
        <w:rPr>
          <w:rFonts w:ascii="Verdana" w:hAnsi="Verdana"/>
          <w:bCs w:val="0"/>
          <w:color w:val="548DD4" w:themeColor="text2" w:themeTint="99"/>
          <w:lang w:eastAsia="en-US"/>
        </w:rPr>
        <w:instrText>SEQ фигура \* ARABIC</w:instrText>
      </w:r>
      <w:r w:rsidRPr="00995BA0">
        <w:rPr>
          <w:rFonts w:ascii="Verdana" w:hAnsi="Verdana"/>
          <w:bCs w:val="0"/>
          <w:color w:val="548DD4" w:themeColor="text2" w:themeTint="99"/>
          <w:lang w:eastAsia="en-US"/>
        </w:rPr>
        <w:fldChar w:fldCharType="separate"/>
      </w:r>
      <w:r w:rsidR="001361E0">
        <w:rPr>
          <w:rFonts w:ascii="Verdana" w:hAnsi="Verdana"/>
          <w:bCs w:val="0"/>
          <w:noProof/>
          <w:color w:val="548DD4" w:themeColor="text2" w:themeTint="99"/>
          <w:lang w:eastAsia="en-US"/>
        </w:rPr>
        <w:t>14</w:t>
      </w:r>
      <w:r w:rsidRPr="00995BA0">
        <w:rPr>
          <w:rFonts w:ascii="Verdana" w:hAnsi="Verdana"/>
          <w:bCs w:val="0"/>
          <w:color w:val="548DD4" w:themeColor="text2" w:themeTint="99"/>
          <w:lang w:eastAsia="en-US"/>
        </w:rPr>
        <w:fldChar w:fldCharType="end"/>
      </w:r>
      <w:r w:rsidRPr="00995BA0">
        <w:rPr>
          <w:rFonts w:ascii="Verdana" w:hAnsi="Verdana"/>
          <w:bCs w:val="0"/>
          <w:color w:val="548DD4" w:themeColor="text2" w:themeTint="99"/>
          <w:lang w:eastAsia="en-US"/>
        </w:rPr>
        <w:t>: Система за набиране и агрегиране на данни</w:t>
      </w:r>
      <w:bookmarkEnd w:id="169"/>
      <w:bookmarkEnd w:id="170"/>
      <w:bookmarkEnd w:id="171"/>
    </w:p>
    <w:p w:rsidR="0026362F" w:rsidRDefault="0026362F" w:rsidP="0026362F">
      <w:pPr>
        <w:autoSpaceDE w:val="0"/>
        <w:autoSpaceDN w:val="0"/>
        <w:adjustRightInd w:val="0"/>
        <w:spacing w:before="120" w:after="120"/>
        <w:jc w:val="center"/>
        <w:rPr>
          <w:rFonts w:ascii="Verdana" w:hAnsi="Verdana" w:cs="TimesNewRomanPSMT"/>
          <w:sz w:val="16"/>
          <w:szCs w:val="16"/>
          <w:lang w:val="bg-BG" w:eastAsia="bg-BG"/>
        </w:rPr>
      </w:pPr>
      <w:r w:rsidRPr="00995BA0">
        <w:rPr>
          <w:rFonts w:ascii="Verdana" w:hAnsi="Verdana" w:cs="TimesNewRomanPSMT"/>
          <w:sz w:val="16"/>
          <w:szCs w:val="16"/>
          <w:lang w:val="bg-BG" w:eastAsia="bg-BG"/>
        </w:rPr>
        <w:t xml:space="preserve">Източник: </w:t>
      </w:r>
      <w:proofErr w:type="spellStart"/>
      <w:r w:rsidRPr="00995BA0">
        <w:rPr>
          <w:rFonts w:ascii="Verdana" w:hAnsi="Verdana" w:cs="TimesNewRomanPSMT"/>
          <w:sz w:val="16"/>
          <w:szCs w:val="16"/>
          <w:lang w:val="bg-BG" w:eastAsia="bg-BG"/>
        </w:rPr>
        <w:t>Екорис</w:t>
      </w:r>
      <w:proofErr w:type="spellEnd"/>
      <w:r>
        <w:rPr>
          <w:rFonts w:ascii="Verdana" w:hAnsi="Verdana" w:cs="TimesNewRomanPSMT"/>
          <w:sz w:val="16"/>
          <w:szCs w:val="16"/>
          <w:lang w:val="bg-BG" w:eastAsia="bg-BG"/>
        </w:rPr>
        <w:t>, на базата на добри практики на системи за мониторинг</w:t>
      </w:r>
    </w:p>
    <w:p w:rsidR="001B40F2" w:rsidRDefault="001B40F2" w:rsidP="00492B37">
      <w:pPr>
        <w:jc w:val="both"/>
        <w:rPr>
          <w:rFonts w:ascii="Verdana" w:hAnsi="Verdana"/>
          <w:sz w:val="20"/>
          <w:szCs w:val="20"/>
          <w:lang w:val="bg-BG"/>
        </w:rPr>
      </w:pPr>
    </w:p>
    <w:p w:rsidR="001B40F2" w:rsidRPr="002072E2" w:rsidRDefault="001B40F2" w:rsidP="001B40F2">
      <w:pPr>
        <w:spacing w:after="120"/>
        <w:jc w:val="both"/>
        <w:rPr>
          <w:rFonts w:ascii="Verdana" w:hAnsi="Verdana"/>
          <w:sz w:val="20"/>
          <w:szCs w:val="20"/>
          <w:lang w:val="bg-BG"/>
        </w:rPr>
      </w:pPr>
      <w:r w:rsidRPr="002072E2">
        <w:rPr>
          <w:rFonts w:ascii="Verdana" w:hAnsi="Verdana"/>
          <w:sz w:val="20"/>
          <w:szCs w:val="20"/>
          <w:lang w:val="bg-BG"/>
        </w:rPr>
        <w:lastRenderedPageBreak/>
        <w:t>Препоръчително е всички цифрови измерения на индикатори да има възможност да бъдат въвеждани в ИСУН при сключване на съответния договор за БФП и системата да събира постигнатите стойности на индикаторите за</w:t>
      </w:r>
      <w:r>
        <w:rPr>
          <w:rFonts w:ascii="Verdana" w:hAnsi="Verdana"/>
          <w:sz w:val="20"/>
          <w:szCs w:val="20"/>
          <w:lang w:val="bg-BG"/>
        </w:rPr>
        <w:t xml:space="preserve"> следващото ниво на докладване. Много важно е да се създаде добра координация между отделите по отношение събирането и агрегирането на информация и да е  ясно кой отдел какви индикатори събира, кой отдел ги </w:t>
      </w:r>
      <w:proofErr w:type="spellStart"/>
      <w:r>
        <w:rPr>
          <w:rFonts w:ascii="Verdana" w:hAnsi="Verdana"/>
          <w:sz w:val="20"/>
          <w:szCs w:val="20"/>
          <w:lang w:val="bg-BG"/>
        </w:rPr>
        <w:t>агрегира</w:t>
      </w:r>
      <w:proofErr w:type="spellEnd"/>
      <w:r>
        <w:rPr>
          <w:rFonts w:ascii="Verdana" w:hAnsi="Verdana"/>
          <w:sz w:val="20"/>
          <w:szCs w:val="20"/>
          <w:lang w:val="bg-BG"/>
        </w:rPr>
        <w:t xml:space="preserve"> и кой отдел обобщава и анализира постигнатите стойности.</w:t>
      </w:r>
    </w:p>
    <w:p w:rsidR="00492B37" w:rsidRPr="002072E2" w:rsidRDefault="00492B37" w:rsidP="001B40F2">
      <w:pPr>
        <w:spacing w:after="120"/>
        <w:jc w:val="both"/>
        <w:rPr>
          <w:rFonts w:ascii="Verdana" w:hAnsi="Verdana"/>
          <w:sz w:val="20"/>
          <w:szCs w:val="20"/>
          <w:lang w:val="bg-BG"/>
        </w:rPr>
      </w:pPr>
      <w:proofErr w:type="spellStart"/>
      <w:r w:rsidRPr="002072E2">
        <w:rPr>
          <w:rFonts w:ascii="Verdana" w:hAnsi="Verdana"/>
          <w:sz w:val="20"/>
          <w:szCs w:val="20"/>
          <w:lang w:val="bg-BG"/>
        </w:rPr>
        <w:t>Агрегираните</w:t>
      </w:r>
      <w:proofErr w:type="spellEnd"/>
      <w:r w:rsidRPr="002072E2">
        <w:rPr>
          <w:rFonts w:ascii="Verdana" w:hAnsi="Verdana"/>
          <w:sz w:val="20"/>
          <w:szCs w:val="20"/>
          <w:lang w:val="bg-BG"/>
        </w:rPr>
        <w:t xml:space="preserve"> данни на ниво схема за БФП/ дейност се анализират и се оценява техния принос за постигане на финансовите показатели и общите индикатори за резултат. </w:t>
      </w:r>
      <w:proofErr w:type="spellStart"/>
      <w:r w:rsidRPr="002072E2">
        <w:rPr>
          <w:rFonts w:ascii="Verdana" w:hAnsi="Verdana"/>
          <w:sz w:val="20"/>
          <w:szCs w:val="20"/>
          <w:lang w:val="bg-BG"/>
        </w:rPr>
        <w:t>Агрегираните</w:t>
      </w:r>
      <w:proofErr w:type="spellEnd"/>
      <w:r w:rsidRPr="002072E2">
        <w:rPr>
          <w:rFonts w:ascii="Verdana" w:hAnsi="Verdana"/>
          <w:sz w:val="20"/>
          <w:szCs w:val="20"/>
          <w:lang w:val="bg-BG"/>
        </w:rPr>
        <w:t xml:space="preserve"> стойности на индикаторите за резултат ще покажат постигането на заложените специфични цели на инвестиционните приоритети.</w:t>
      </w:r>
    </w:p>
    <w:p w:rsidR="00492B37" w:rsidRPr="002072E2" w:rsidRDefault="00492B37" w:rsidP="001B40F2">
      <w:pPr>
        <w:spacing w:after="120"/>
        <w:jc w:val="both"/>
        <w:rPr>
          <w:rFonts w:ascii="Verdana" w:hAnsi="Verdana"/>
          <w:sz w:val="20"/>
          <w:szCs w:val="20"/>
          <w:lang w:val="bg-BG"/>
        </w:rPr>
      </w:pPr>
      <w:r w:rsidRPr="002072E2">
        <w:rPr>
          <w:rFonts w:ascii="Verdana" w:hAnsi="Verdana"/>
          <w:sz w:val="20"/>
          <w:szCs w:val="20"/>
          <w:lang w:val="bg-BG"/>
        </w:rPr>
        <w:t xml:space="preserve">На базата на </w:t>
      </w:r>
      <w:proofErr w:type="spellStart"/>
      <w:r w:rsidRPr="002072E2">
        <w:rPr>
          <w:rFonts w:ascii="Verdana" w:hAnsi="Verdana"/>
          <w:sz w:val="20"/>
          <w:szCs w:val="20"/>
          <w:lang w:val="bg-BG"/>
        </w:rPr>
        <w:t>агрегираните</w:t>
      </w:r>
      <w:proofErr w:type="spellEnd"/>
      <w:r w:rsidRPr="002072E2">
        <w:rPr>
          <w:rFonts w:ascii="Verdana" w:hAnsi="Verdana"/>
          <w:sz w:val="20"/>
          <w:szCs w:val="20"/>
          <w:lang w:val="bg-BG"/>
        </w:rPr>
        <w:t xml:space="preserve"> стойности на индикаторите за резултат, УО ще </w:t>
      </w:r>
      <w:proofErr w:type="spellStart"/>
      <w:r w:rsidRPr="002072E2">
        <w:rPr>
          <w:rFonts w:ascii="Verdana" w:hAnsi="Verdana"/>
          <w:sz w:val="20"/>
          <w:szCs w:val="20"/>
          <w:lang w:val="bg-BG"/>
        </w:rPr>
        <w:t>съотнесе</w:t>
      </w:r>
      <w:proofErr w:type="spellEnd"/>
      <w:r w:rsidRPr="002072E2">
        <w:rPr>
          <w:rFonts w:ascii="Verdana" w:hAnsi="Verdana"/>
          <w:sz w:val="20"/>
          <w:szCs w:val="20"/>
          <w:lang w:val="bg-BG"/>
        </w:rPr>
        <w:t xml:space="preserve"> постигнатите резултати към мерките в Националната програма за реформи, Стратегия България 2020, Споразумението за партньорство и други национални стратегически документи.</w:t>
      </w:r>
    </w:p>
    <w:p w:rsidR="00492B37" w:rsidRPr="002072E2" w:rsidRDefault="00492B37" w:rsidP="001B40F2">
      <w:pPr>
        <w:spacing w:after="120"/>
        <w:jc w:val="both"/>
        <w:rPr>
          <w:rFonts w:ascii="Verdana" w:hAnsi="Verdana"/>
          <w:sz w:val="20"/>
          <w:szCs w:val="20"/>
          <w:lang w:val="bg-BG"/>
        </w:rPr>
      </w:pPr>
      <w:r w:rsidRPr="002072E2">
        <w:rPr>
          <w:rFonts w:ascii="Verdana" w:hAnsi="Verdana"/>
          <w:sz w:val="20"/>
          <w:szCs w:val="20"/>
          <w:lang w:val="bg-BG"/>
        </w:rPr>
        <w:t xml:space="preserve">В зависимост от определените срокове за докладване към националните органи отговорни за управлението на ЕСИФ, СО, ОО, КН и ЕК и времевата рамка на оценките посочени в Плана за оценка, УО ще определи честота за представяне на доклади от страна на бенефициентите и за изготвяне на доклади от страна отделите в УО отговорни за мониторинга на програмата. </w:t>
      </w:r>
    </w:p>
    <w:p w:rsidR="00492B37" w:rsidRPr="00995BA0" w:rsidRDefault="00492B37" w:rsidP="001B40F2">
      <w:pPr>
        <w:autoSpaceDE w:val="0"/>
        <w:autoSpaceDN w:val="0"/>
        <w:adjustRightInd w:val="0"/>
        <w:spacing w:after="120"/>
        <w:jc w:val="both"/>
        <w:rPr>
          <w:rFonts w:ascii="Verdana" w:hAnsi="Verdana"/>
          <w:sz w:val="20"/>
          <w:szCs w:val="20"/>
          <w:lang w:val="bg-BG"/>
        </w:rPr>
      </w:pPr>
      <w:r w:rsidRPr="002072E2">
        <w:rPr>
          <w:rFonts w:ascii="Verdana" w:hAnsi="Verdana" w:cs="TimesNewRomanPSMT"/>
          <w:sz w:val="20"/>
          <w:szCs w:val="20"/>
          <w:lang w:val="bg-BG" w:eastAsia="bg-BG"/>
        </w:rPr>
        <w:t xml:space="preserve">Данните за постигането на заложените стойности на дългосрочните индикатори за резултат обикновено се събират чрез проучвания и изследвания, а не през изградената система за мониторинг. </w:t>
      </w:r>
    </w:p>
    <w:p w:rsidR="00492B37" w:rsidRDefault="00492B37" w:rsidP="0026362F">
      <w:pPr>
        <w:autoSpaceDE w:val="0"/>
        <w:autoSpaceDN w:val="0"/>
        <w:adjustRightInd w:val="0"/>
        <w:spacing w:before="120" w:after="120"/>
        <w:jc w:val="center"/>
        <w:rPr>
          <w:rFonts w:ascii="Verdana" w:hAnsi="Verdana" w:cs="TimesNewRomanPSMT"/>
          <w:sz w:val="16"/>
          <w:szCs w:val="16"/>
          <w:lang w:val="bg-BG" w:eastAsia="bg-BG"/>
        </w:rPr>
      </w:pPr>
    </w:p>
    <w:p w:rsidR="0026362F" w:rsidRPr="00514908" w:rsidRDefault="0026362F" w:rsidP="0026362F">
      <w:pPr>
        <w:keepNext/>
        <w:pBdr>
          <w:bottom w:val="single" w:sz="12" w:space="1" w:color="0070C0"/>
        </w:pBdr>
        <w:autoSpaceDE w:val="0"/>
        <w:autoSpaceDN w:val="0"/>
        <w:adjustRightInd w:val="0"/>
        <w:spacing w:before="120" w:after="120" w:line="240" w:lineRule="auto"/>
        <w:rPr>
          <w:rFonts w:ascii="Verdana" w:eastAsia="Times New Roman" w:hAnsi="Verdana" w:cs="TimesNewRomanPSMT"/>
          <w:i/>
          <w:color w:val="548DD4" w:themeColor="text2" w:themeTint="99"/>
          <w:sz w:val="20"/>
          <w:szCs w:val="20"/>
          <w:lang w:val="bg-BG" w:eastAsia="bg-BG"/>
        </w:rPr>
      </w:pPr>
      <w:r>
        <w:rPr>
          <w:rFonts w:ascii="Verdana" w:eastAsia="Times New Roman" w:hAnsi="Verdana" w:cs="TimesNewRomanPSMT"/>
          <w:i/>
          <w:color w:val="548DD4" w:themeColor="text2" w:themeTint="99"/>
          <w:sz w:val="20"/>
          <w:szCs w:val="20"/>
          <w:lang w:val="bg-BG" w:eastAsia="bg-BG"/>
        </w:rPr>
        <w:t>Необходими данни за осъществяване на оценки</w:t>
      </w:r>
    </w:p>
    <w:p w:rsidR="0026362F" w:rsidRDefault="0026362F" w:rsidP="0026362F">
      <w:pPr>
        <w:autoSpaceDE w:val="0"/>
        <w:autoSpaceDN w:val="0"/>
        <w:adjustRightInd w:val="0"/>
        <w:spacing w:before="120" w:after="120"/>
        <w:jc w:val="both"/>
        <w:rPr>
          <w:rFonts w:ascii="Verdana" w:hAnsi="Verdana" w:cs="TimesNewRomanPSMT"/>
          <w:sz w:val="20"/>
          <w:szCs w:val="20"/>
          <w:lang w:val="bg-BG" w:eastAsia="bg-BG"/>
        </w:rPr>
      </w:pPr>
      <w:r>
        <w:rPr>
          <w:rFonts w:ascii="Verdana" w:hAnsi="Verdana" w:cs="TimesNewRomanPSMT"/>
          <w:sz w:val="20"/>
          <w:szCs w:val="20"/>
          <w:lang w:val="bg-BG" w:eastAsia="bg-BG"/>
        </w:rPr>
        <w:t>Основен източник на данни за осъществяване на оценките ще бъде системата за наблюдение на програмата, включително административни, количествени и качествени данни като:</w:t>
      </w:r>
    </w:p>
    <w:p w:rsidR="0026362F" w:rsidRPr="00514908" w:rsidRDefault="0026362F" w:rsidP="006861B0">
      <w:pPr>
        <w:pStyle w:val="ListParagraph"/>
        <w:numPr>
          <w:ilvl w:val="0"/>
          <w:numId w:val="100"/>
        </w:numPr>
        <w:autoSpaceDE w:val="0"/>
        <w:autoSpaceDN w:val="0"/>
        <w:adjustRightInd w:val="0"/>
        <w:spacing w:before="120" w:after="120" w:line="240" w:lineRule="auto"/>
        <w:jc w:val="both"/>
        <w:rPr>
          <w:rFonts w:ascii="Verdana" w:hAnsi="Verdana" w:cs="TimesNewRomanPSMT"/>
          <w:sz w:val="20"/>
          <w:szCs w:val="20"/>
          <w:lang w:val="bg-BG" w:eastAsia="bg-BG"/>
        </w:rPr>
      </w:pPr>
      <w:r w:rsidRPr="00514908">
        <w:rPr>
          <w:rFonts w:ascii="Verdana" w:hAnsi="Verdana" w:cs="TimesNewRomanPSMT"/>
          <w:sz w:val="20"/>
          <w:szCs w:val="20"/>
          <w:lang w:val="bg-BG" w:eastAsia="bg-BG"/>
        </w:rPr>
        <w:t>Данни за индикаторите</w:t>
      </w:r>
      <w:r>
        <w:rPr>
          <w:rFonts w:ascii="Verdana" w:hAnsi="Verdana" w:cs="TimesNewRomanPSMT"/>
          <w:sz w:val="20"/>
          <w:szCs w:val="20"/>
          <w:lang w:val="bg-BG" w:eastAsia="bg-BG"/>
        </w:rPr>
        <w:t>;</w:t>
      </w:r>
    </w:p>
    <w:p w:rsidR="0026362F" w:rsidRPr="00514908" w:rsidRDefault="0026362F" w:rsidP="006861B0">
      <w:pPr>
        <w:pStyle w:val="ListParagraph"/>
        <w:numPr>
          <w:ilvl w:val="0"/>
          <w:numId w:val="100"/>
        </w:numPr>
        <w:autoSpaceDE w:val="0"/>
        <w:autoSpaceDN w:val="0"/>
        <w:adjustRightInd w:val="0"/>
        <w:spacing w:before="120" w:after="120" w:line="240" w:lineRule="auto"/>
        <w:jc w:val="both"/>
        <w:rPr>
          <w:rFonts w:ascii="Verdana" w:hAnsi="Verdana" w:cs="TimesNewRomanPSMT"/>
          <w:sz w:val="20"/>
          <w:szCs w:val="20"/>
          <w:lang w:val="bg-BG" w:eastAsia="bg-BG"/>
        </w:rPr>
      </w:pPr>
      <w:r w:rsidRPr="00514908">
        <w:rPr>
          <w:rFonts w:ascii="Verdana" w:hAnsi="Verdana" w:cs="TimesNewRomanPSMT"/>
          <w:sz w:val="20"/>
          <w:szCs w:val="20"/>
          <w:lang w:val="bg-BG" w:eastAsia="bg-BG"/>
        </w:rPr>
        <w:t>Данни за финансовия напредък</w:t>
      </w:r>
      <w:r>
        <w:rPr>
          <w:rFonts w:ascii="Verdana" w:hAnsi="Verdana" w:cs="TimesNewRomanPSMT"/>
          <w:sz w:val="20"/>
          <w:szCs w:val="20"/>
          <w:lang w:val="bg-BG" w:eastAsia="bg-BG"/>
        </w:rPr>
        <w:t>;</w:t>
      </w:r>
    </w:p>
    <w:p w:rsidR="0026362F" w:rsidRDefault="0026362F" w:rsidP="006861B0">
      <w:pPr>
        <w:pStyle w:val="ListParagraph"/>
        <w:numPr>
          <w:ilvl w:val="0"/>
          <w:numId w:val="100"/>
        </w:numPr>
        <w:autoSpaceDE w:val="0"/>
        <w:autoSpaceDN w:val="0"/>
        <w:adjustRightInd w:val="0"/>
        <w:spacing w:before="120" w:after="120" w:line="240" w:lineRule="auto"/>
        <w:jc w:val="both"/>
        <w:rPr>
          <w:rFonts w:ascii="Verdana" w:hAnsi="Verdana" w:cs="TimesNewRomanPSMT"/>
          <w:sz w:val="20"/>
          <w:szCs w:val="20"/>
          <w:lang w:val="bg-BG" w:eastAsia="bg-BG"/>
        </w:rPr>
      </w:pPr>
      <w:r w:rsidRPr="00514908">
        <w:rPr>
          <w:rFonts w:ascii="Verdana" w:hAnsi="Verdana" w:cs="TimesNewRomanPSMT"/>
          <w:sz w:val="20"/>
          <w:szCs w:val="20"/>
          <w:lang w:val="bg-BG" w:eastAsia="bg-BG"/>
        </w:rPr>
        <w:t>Административни данни за  сключени договори, приключени договори, време за преглед и оценка на проектни предложения, вре</w:t>
      </w:r>
      <w:r>
        <w:rPr>
          <w:rFonts w:ascii="Verdana" w:hAnsi="Verdana" w:cs="TimesNewRomanPSMT"/>
          <w:sz w:val="20"/>
          <w:szCs w:val="20"/>
          <w:lang w:val="bg-BG" w:eastAsia="bg-BG"/>
        </w:rPr>
        <w:t>ме за верифициране и разплащане;</w:t>
      </w:r>
    </w:p>
    <w:p w:rsidR="0026362F" w:rsidRPr="00514908" w:rsidRDefault="0026362F" w:rsidP="006861B0">
      <w:pPr>
        <w:pStyle w:val="ListParagraph"/>
        <w:numPr>
          <w:ilvl w:val="0"/>
          <w:numId w:val="100"/>
        </w:numPr>
        <w:autoSpaceDE w:val="0"/>
        <w:autoSpaceDN w:val="0"/>
        <w:adjustRightInd w:val="0"/>
        <w:spacing w:before="120" w:after="120" w:line="240" w:lineRule="auto"/>
        <w:jc w:val="both"/>
        <w:rPr>
          <w:rFonts w:ascii="Verdana" w:hAnsi="Verdana" w:cs="TimesNewRomanPSMT"/>
          <w:sz w:val="20"/>
          <w:szCs w:val="20"/>
          <w:lang w:val="bg-BG" w:eastAsia="bg-BG"/>
        </w:rPr>
      </w:pPr>
      <w:r>
        <w:rPr>
          <w:rFonts w:ascii="Verdana" w:hAnsi="Verdana" w:cs="TimesNewRomanPSMT"/>
          <w:sz w:val="20"/>
          <w:szCs w:val="20"/>
          <w:lang w:val="bg-BG" w:eastAsia="bg-BG"/>
        </w:rPr>
        <w:t>Документи и наръчници по програмата;</w:t>
      </w:r>
    </w:p>
    <w:p w:rsidR="0026362F" w:rsidRPr="00514908" w:rsidRDefault="0026362F" w:rsidP="006861B0">
      <w:pPr>
        <w:pStyle w:val="ListParagraph"/>
        <w:numPr>
          <w:ilvl w:val="0"/>
          <w:numId w:val="100"/>
        </w:numPr>
        <w:autoSpaceDE w:val="0"/>
        <w:autoSpaceDN w:val="0"/>
        <w:adjustRightInd w:val="0"/>
        <w:spacing w:before="120" w:after="120" w:line="240" w:lineRule="auto"/>
        <w:jc w:val="both"/>
        <w:rPr>
          <w:rFonts w:ascii="Verdana" w:hAnsi="Verdana" w:cs="TimesNewRomanPSMT"/>
          <w:sz w:val="20"/>
          <w:szCs w:val="20"/>
          <w:lang w:val="bg-BG" w:eastAsia="bg-BG"/>
        </w:rPr>
      </w:pPr>
      <w:r w:rsidRPr="00514908">
        <w:rPr>
          <w:rFonts w:ascii="Verdana" w:hAnsi="Verdana" w:cs="TimesNewRomanPSMT"/>
          <w:sz w:val="20"/>
          <w:szCs w:val="20"/>
          <w:lang w:val="bg-BG" w:eastAsia="bg-BG"/>
        </w:rPr>
        <w:t>Годишни доклади на програмата и доклади към КН</w:t>
      </w:r>
      <w:r>
        <w:rPr>
          <w:rFonts w:ascii="Verdana" w:hAnsi="Verdana" w:cs="TimesNewRomanPSMT"/>
          <w:sz w:val="20"/>
          <w:szCs w:val="20"/>
          <w:lang w:val="bg-BG" w:eastAsia="bg-BG"/>
        </w:rPr>
        <w:t>;</w:t>
      </w:r>
    </w:p>
    <w:p w:rsidR="0026362F" w:rsidRPr="00514908" w:rsidRDefault="0026362F" w:rsidP="006861B0">
      <w:pPr>
        <w:pStyle w:val="ListParagraph"/>
        <w:numPr>
          <w:ilvl w:val="0"/>
          <w:numId w:val="100"/>
        </w:numPr>
        <w:autoSpaceDE w:val="0"/>
        <w:autoSpaceDN w:val="0"/>
        <w:adjustRightInd w:val="0"/>
        <w:spacing w:before="120" w:after="120" w:line="240" w:lineRule="auto"/>
        <w:jc w:val="both"/>
        <w:rPr>
          <w:rFonts w:ascii="Verdana" w:hAnsi="Verdana" w:cs="TimesNewRomanPSMT"/>
          <w:sz w:val="20"/>
          <w:szCs w:val="20"/>
          <w:lang w:val="bg-BG" w:eastAsia="bg-BG"/>
        </w:rPr>
      </w:pPr>
      <w:r w:rsidRPr="00514908">
        <w:rPr>
          <w:rFonts w:ascii="Verdana" w:hAnsi="Verdana" w:cs="TimesNewRomanPSMT"/>
          <w:sz w:val="20"/>
          <w:szCs w:val="20"/>
          <w:lang w:val="bg-BG" w:eastAsia="bg-BG"/>
        </w:rPr>
        <w:t>Окончателни доклади на ниво схема</w:t>
      </w:r>
      <w:r>
        <w:rPr>
          <w:rFonts w:ascii="Verdana" w:hAnsi="Verdana" w:cs="TimesNewRomanPSMT"/>
          <w:sz w:val="20"/>
          <w:szCs w:val="20"/>
          <w:lang w:val="bg-BG" w:eastAsia="bg-BG"/>
        </w:rPr>
        <w:t>;</w:t>
      </w:r>
    </w:p>
    <w:p w:rsidR="0026362F" w:rsidRPr="00514908" w:rsidRDefault="0026362F" w:rsidP="006861B0">
      <w:pPr>
        <w:pStyle w:val="ListParagraph"/>
        <w:numPr>
          <w:ilvl w:val="0"/>
          <w:numId w:val="100"/>
        </w:numPr>
        <w:autoSpaceDE w:val="0"/>
        <w:autoSpaceDN w:val="0"/>
        <w:adjustRightInd w:val="0"/>
        <w:spacing w:before="120" w:after="120" w:line="240" w:lineRule="auto"/>
        <w:jc w:val="both"/>
        <w:rPr>
          <w:rFonts w:ascii="Verdana" w:hAnsi="Verdana" w:cs="TimesNewRomanPSMT"/>
          <w:sz w:val="20"/>
          <w:szCs w:val="20"/>
          <w:lang w:val="bg-BG" w:eastAsia="bg-BG"/>
        </w:rPr>
      </w:pPr>
      <w:r w:rsidRPr="00514908">
        <w:rPr>
          <w:rFonts w:ascii="Verdana" w:hAnsi="Verdana" w:cs="TimesNewRomanPSMT"/>
          <w:sz w:val="20"/>
          <w:szCs w:val="20"/>
          <w:lang w:val="bg-BG" w:eastAsia="bg-BG"/>
        </w:rPr>
        <w:t>Междинни и окончателни доклади по договори</w:t>
      </w:r>
      <w:r>
        <w:rPr>
          <w:rFonts w:ascii="Verdana" w:hAnsi="Verdana" w:cs="TimesNewRomanPSMT"/>
          <w:sz w:val="20"/>
          <w:szCs w:val="20"/>
          <w:lang w:val="bg-BG" w:eastAsia="bg-BG"/>
        </w:rPr>
        <w:t>.</w:t>
      </w:r>
    </w:p>
    <w:p w:rsidR="0026362F" w:rsidRDefault="0026362F" w:rsidP="0026362F">
      <w:pPr>
        <w:autoSpaceDE w:val="0"/>
        <w:autoSpaceDN w:val="0"/>
        <w:adjustRightInd w:val="0"/>
        <w:spacing w:before="120" w:after="120"/>
        <w:jc w:val="both"/>
        <w:rPr>
          <w:rFonts w:ascii="Verdana" w:hAnsi="Verdana" w:cs="TimesNewRomanPSMT"/>
          <w:sz w:val="20"/>
          <w:szCs w:val="20"/>
          <w:lang w:val="bg-BG" w:eastAsia="bg-BG"/>
        </w:rPr>
      </w:pPr>
      <w:r>
        <w:rPr>
          <w:rFonts w:ascii="Verdana" w:hAnsi="Verdana" w:cs="TimesNewRomanPSMT"/>
          <w:sz w:val="20"/>
          <w:szCs w:val="20"/>
          <w:lang w:val="bg-BG" w:eastAsia="bg-BG"/>
        </w:rPr>
        <w:t xml:space="preserve">Осъществяването на оценките ще се нуждае и от допълнителни данни, които най-често се набират от екипа оценители и включват данни от проучвания, посещения на място, интервюта, административни данни, изисквани от други институции. В настоящия програмен период, на база на опита с провеждане на оценки на ОПРЧР </w:t>
      </w:r>
      <w:r>
        <w:rPr>
          <w:rFonts w:ascii="Verdana" w:hAnsi="Verdana" w:cs="TimesNewRomanPSMT"/>
          <w:sz w:val="20"/>
          <w:szCs w:val="20"/>
          <w:lang w:val="bg-BG" w:eastAsia="bg-BG"/>
        </w:rPr>
        <w:lastRenderedPageBreak/>
        <w:t>2007-2014, към която МОН е бил междинно звено за мерките в областта на образованието, се отчитат затруднения при предоставянето на данни за целите на оценките, най-вече по отношение на данни, които да способстват оценителите да наберат допълнителна информация от крайните бенефициенти.</w:t>
      </w:r>
    </w:p>
    <w:p w:rsidR="0026362F" w:rsidRPr="00514908" w:rsidRDefault="0026362F" w:rsidP="0026362F">
      <w:pPr>
        <w:autoSpaceDE w:val="0"/>
        <w:autoSpaceDN w:val="0"/>
        <w:adjustRightInd w:val="0"/>
        <w:spacing w:before="120" w:after="120"/>
        <w:jc w:val="both"/>
        <w:rPr>
          <w:rFonts w:ascii="Verdana" w:hAnsi="Verdana" w:cs="TimesNewRomanPSMT"/>
          <w:sz w:val="20"/>
          <w:szCs w:val="20"/>
          <w:lang w:val="bg-BG" w:eastAsia="bg-BG"/>
        </w:rPr>
      </w:pPr>
      <w:r>
        <w:rPr>
          <w:rFonts w:ascii="Verdana" w:hAnsi="Verdana" w:cs="TimesNewRomanPSMT"/>
          <w:sz w:val="20"/>
          <w:szCs w:val="20"/>
          <w:lang w:val="bg-BG" w:eastAsia="bg-BG"/>
        </w:rPr>
        <w:t>УО трябва да има готовност да предостави количествени и качествени данни от системата за мониторинг и да предвиди необходимостта от набавяне на допълнителна информация, като осигури подкрепа на екипа оценители за нейното набавяне. Това означава, че системата за мониторинг, освен дискутираното по-горе, трябва да бъде така проектирана, че да дава необходимите контакти за крайните бенефициенти.</w:t>
      </w:r>
    </w:p>
    <w:p w:rsidR="00DC402E" w:rsidRPr="00B45B4F" w:rsidRDefault="00DC402E" w:rsidP="00D001D8">
      <w:pPr>
        <w:pStyle w:val="BodyText"/>
        <w:widowControl w:val="0"/>
        <w:tabs>
          <w:tab w:val="left" w:pos="0"/>
          <w:tab w:val="right" w:pos="9214"/>
        </w:tabs>
        <w:spacing w:before="120" w:line="276" w:lineRule="auto"/>
        <w:jc w:val="both"/>
        <w:rPr>
          <w:rFonts w:ascii="Verdana" w:hAnsi="Verdana"/>
          <w:bCs/>
          <w:color w:val="000000"/>
          <w:sz w:val="20"/>
          <w:szCs w:val="20"/>
        </w:rPr>
      </w:pPr>
    </w:p>
    <w:tbl>
      <w:tblPr>
        <w:tblW w:w="0" w:type="auto"/>
        <w:tblInd w:w="108" w:type="dxa"/>
        <w:tblBorders>
          <w:top w:val="single" w:sz="4" w:space="0" w:color="auto"/>
          <w:bottom w:val="single" w:sz="4" w:space="0" w:color="auto"/>
        </w:tblBorders>
        <w:tblLook w:val="04A0" w:firstRow="1" w:lastRow="0" w:firstColumn="1" w:lastColumn="0" w:noHBand="0" w:noVBand="1"/>
      </w:tblPr>
      <w:tblGrid>
        <w:gridCol w:w="527"/>
        <w:gridCol w:w="8563"/>
      </w:tblGrid>
      <w:tr w:rsidR="00D001D8" w:rsidRPr="005757F7" w:rsidTr="0054272A">
        <w:tc>
          <w:tcPr>
            <w:tcW w:w="527" w:type="dxa"/>
            <w:vAlign w:val="center"/>
          </w:tcPr>
          <w:p w:rsidR="00D001D8" w:rsidRPr="005757F7" w:rsidRDefault="00D001D8" w:rsidP="00D001D8">
            <w:pPr>
              <w:pStyle w:val="BodyText"/>
              <w:spacing w:before="120" w:line="276" w:lineRule="auto"/>
              <w:jc w:val="center"/>
              <w:rPr>
                <w:rFonts w:ascii="Verdana" w:hAnsi="Verdana"/>
                <w:color w:val="548DD4"/>
                <w:sz w:val="36"/>
                <w:szCs w:val="36"/>
              </w:rPr>
            </w:pPr>
            <w:r w:rsidRPr="005757F7">
              <w:rPr>
                <w:rFonts w:ascii="Verdana" w:hAnsi="Verdana"/>
                <w:color w:val="548DD4"/>
                <w:sz w:val="36"/>
                <w:szCs w:val="36"/>
              </w:rPr>
              <w:t>?</w:t>
            </w:r>
          </w:p>
        </w:tc>
        <w:tc>
          <w:tcPr>
            <w:tcW w:w="8563" w:type="dxa"/>
            <w:shd w:val="clear" w:color="auto" w:fill="B8CCE4"/>
          </w:tcPr>
          <w:p w:rsidR="00D001D8" w:rsidRPr="005757F7" w:rsidRDefault="00547C98" w:rsidP="00242AE4">
            <w:pPr>
              <w:autoSpaceDE w:val="0"/>
              <w:autoSpaceDN w:val="0"/>
              <w:adjustRightInd w:val="0"/>
              <w:spacing w:before="120" w:after="120"/>
              <w:rPr>
                <w:rFonts w:ascii="Verdana" w:hAnsi="Verdana"/>
                <w:sz w:val="20"/>
                <w:szCs w:val="20"/>
                <w:lang w:val="bg-BG"/>
              </w:rPr>
            </w:pPr>
            <w:r w:rsidRPr="005757F7">
              <w:rPr>
                <w:rFonts w:ascii="Verdana" w:hAnsi="Verdana"/>
                <w:sz w:val="20"/>
                <w:szCs w:val="20"/>
                <w:lang w:val="bg-BG"/>
              </w:rPr>
              <w:t>Адекватност на Плана за оц</w:t>
            </w:r>
            <w:r w:rsidR="00242AE4">
              <w:rPr>
                <w:rFonts w:ascii="Verdana" w:hAnsi="Verdana"/>
                <w:sz w:val="20"/>
                <w:szCs w:val="20"/>
                <w:lang w:val="bg-BG"/>
              </w:rPr>
              <w:t>енка и формулиране на препоръки</w:t>
            </w:r>
          </w:p>
        </w:tc>
      </w:tr>
    </w:tbl>
    <w:p w:rsidR="004C272D" w:rsidRDefault="004C272D" w:rsidP="004C272D">
      <w:pPr>
        <w:pStyle w:val="BodyText"/>
        <w:widowControl w:val="0"/>
        <w:tabs>
          <w:tab w:val="left" w:pos="0"/>
          <w:tab w:val="right" w:pos="9214"/>
        </w:tabs>
        <w:spacing w:before="240" w:after="0" w:line="276" w:lineRule="auto"/>
        <w:jc w:val="both"/>
        <w:rPr>
          <w:rFonts w:ascii="Verdana" w:hAnsi="Verdana" w:cs="TimesNewRomanPSMT"/>
          <w:sz w:val="20"/>
          <w:szCs w:val="20"/>
        </w:rPr>
      </w:pPr>
      <w:r w:rsidRPr="00173D95">
        <w:rPr>
          <w:rFonts w:ascii="Verdana" w:hAnsi="Verdana" w:cs="TimesNewRomanPSMT"/>
          <w:sz w:val="20"/>
          <w:szCs w:val="20"/>
        </w:rPr>
        <w:t xml:space="preserve">Планът за оценка на </w:t>
      </w:r>
      <w:r>
        <w:rPr>
          <w:rFonts w:ascii="Verdana" w:hAnsi="Verdana" w:cs="TimesNewRomanPSMT"/>
          <w:sz w:val="20"/>
          <w:szCs w:val="20"/>
        </w:rPr>
        <w:t>ОПНОИР</w:t>
      </w:r>
      <w:r w:rsidRPr="00173D95">
        <w:rPr>
          <w:rFonts w:ascii="Verdana" w:hAnsi="Verdana" w:cs="TimesNewRomanPSMT"/>
          <w:sz w:val="20"/>
          <w:szCs w:val="20"/>
        </w:rPr>
        <w:t xml:space="preserve"> 2014-2020 </w:t>
      </w:r>
      <w:r>
        <w:rPr>
          <w:rFonts w:ascii="Verdana" w:hAnsi="Verdana" w:cs="TimesNewRomanPSMT"/>
          <w:sz w:val="20"/>
          <w:szCs w:val="20"/>
        </w:rPr>
        <w:t>г. все още не е изготвен. Предвижда се да бъде разработен след приключване на работата по оперативната програма и в съответствие със сроковете, определени в чл. 114, параграф 1 на Регламент 1303/2013 (общо приложими разпоредби)</w:t>
      </w:r>
      <w:r w:rsidRPr="00173D95">
        <w:rPr>
          <w:rFonts w:ascii="Verdana" w:hAnsi="Verdana" w:cs="TimesNewRomanPSMT"/>
          <w:sz w:val="20"/>
          <w:szCs w:val="20"/>
        </w:rPr>
        <w:t>.</w:t>
      </w:r>
      <w:r>
        <w:rPr>
          <w:rFonts w:ascii="Verdana" w:hAnsi="Verdana" w:cs="TimesNewRomanPSMT"/>
          <w:sz w:val="20"/>
          <w:szCs w:val="20"/>
        </w:rPr>
        <w:t xml:space="preserve"> Поради това в рамките на предварителната оценка на не беше възможно да се прегледа Плана за оценка.</w:t>
      </w:r>
    </w:p>
    <w:p w:rsidR="004C272D" w:rsidRDefault="004C272D" w:rsidP="004C272D">
      <w:pPr>
        <w:pStyle w:val="BodyText"/>
        <w:widowControl w:val="0"/>
        <w:tabs>
          <w:tab w:val="left" w:pos="0"/>
          <w:tab w:val="right" w:pos="9214"/>
        </w:tabs>
        <w:spacing w:before="120" w:after="0" w:line="276" w:lineRule="auto"/>
        <w:jc w:val="both"/>
        <w:rPr>
          <w:rFonts w:ascii="Verdana" w:hAnsi="Verdana" w:cs="TimesNewRomanPSMT"/>
          <w:sz w:val="20"/>
          <w:szCs w:val="20"/>
        </w:rPr>
      </w:pPr>
      <w:r>
        <w:rPr>
          <w:rFonts w:ascii="Verdana" w:hAnsi="Verdana" w:cs="TimesNewRomanPSMT"/>
          <w:sz w:val="20"/>
          <w:szCs w:val="20"/>
        </w:rPr>
        <w:t>С цел да се отговори на техническата спецификация на възложителя и с цел предварителната оценка да е полезна в процеса на подготовката на Плана за оценка на ОПНОИР 2014-2020 г., по-долу са представени насоки за подготовка на плана, които се базират на изискванията на регламентите за периода 2014-2020 г., насоките на ЕК относно мониторинг и оценка и изработване на план за провеждане на оценките</w:t>
      </w:r>
      <w:r>
        <w:rPr>
          <w:rStyle w:val="FootnoteReference"/>
          <w:rFonts w:ascii="Verdana" w:hAnsi="Verdana" w:cs="TimesNewRomanPSMT"/>
          <w:sz w:val="20"/>
          <w:szCs w:val="20"/>
        </w:rPr>
        <w:footnoteReference w:id="15"/>
      </w:r>
      <w:r>
        <w:rPr>
          <w:rFonts w:ascii="Verdana" w:hAnsi="Verdana" w:cs="TimesNewRomanPSMT"/>
          <w:sz w:val="20"/>
          <w:szCs w:val="20"/>
        </w:rPr>
        <w:t xml:space="preserve">. </w:t>
      </w:r>
    </w:p>
    <w:p w:rsidR="004C272D" w:rsidRPr="00BC4894" w:rsidRDefault="004C272D" w:rsidP="004C272D">
      <w:pPr>
        <w:keepNext/>
        <w:pBdr>
          <w:bottom w:val="single" w:sz="12" w:space="1" w:color="0070C0"/>
        </w:pBdr>
        <w:autoSpaceDE w:val="0"/>
        <w:autoSpaceDN w:val="0"/>
        <w:adjustRightInd w:val="0"/>
        <w:spacing w:before="120" w:after="120" w:line="240" w:lineRule="auto"/>
        <w:rPr>
          <w:rFonts w:ascii="Verdana" w:eastAsia="Times New Roman" w:hAnsi="Verdana" w:cs="TimesNewRomanPSMT"/>
          <w:i/>
          <w:color w:val="548DD4" w:themeColor="text2" w:themeTint="99"/>
          <w:sz w:val="20"/>
          <w:szCs w:val="20"/>
          <w:lang w:val="bg-BG" w:eastAsia="bg-BG"/>
        </w:rPr>
      </w:pPr>
      <w:r w:rsidRPr="00BC4894">
        <w:rPr>
          <w:rFonts w:ascii="Verdana" w:eastAsia="Times New Roman" w:hAnsi="Verdana" w:cs="TimesNewRomanPSMT"/>
          <w:i/>
          <w:color w:val="548DD4" w:themeColor="text2" w:themeTint="99"/>
          <w:sz w:val="20"/>
          <w:szCs w:val="20"/>
          <w:lang w:val="bg-BG" w:eastAsia="bg-BG"/>
        </w:rPr>
        <w:t xml:space="preserve">Изисквания на регламентите за програмен период 2014-2020 </w:t>
      </w:r>
      <w:r>
        <w:rPr>
          <w:rFonts w:ascii="Verdana" w:eastAsia="Times New Roman" w:hAnsi="Verdana" w:cs="TimesNewRomanPSMT"/>
          <w:i/>
          <w:color w:val="548DD4" w:themeColor="text2" w:themeTint="99"/>
          <w:sz w:val="20"/>
          <w:szCs w:val="20"/>
          <w:lang w:val="bg-BG" w:eastAsia="bg-BG"/>
        </w:rPr>
        <w:t xml:space="preserve">г. </w:t>
      </w:r>
      <w:r w:rsidRPr="00BC4894">
        <w:rPr>
          <w:rFonts w:ascii="Verdana" w:eastAsia="Times New Roman" w:hAnsi="Verdana" w:cs="TimesNewRomanPSMT"/>
          <w:i/>
          <w:color w:val="548DD4" w:themeColor="text2" w:themeTint="99"/>
          <w:sz w:val="20"/>
          <w:szCs w:val="20"/>
          <w:lang w:val="bg-BG" w:eastAsia="bg-BG"/>
        </w:rPr>
        <w:t xml:space="preserve">относно </w:t>
      </w:r>
      <w:r>
        <w:rPr>
          <w:rFonts w:ascii="Verdana" w:eastAsia="Times New Roman" w:hAnsi="Verdana" w:cs="TimesNewRomanPSMT"/>
          <w:i/>
          <w:color w:val="548DD4" w:themeColor="text2" w:themeTint="99"/>
          <w:sz w:val="20"/>
          <w:szCs w:val="20"/>
          <w:lang w:val="bg-BG" w:eastAsia="bg-BG"/>
        </w:rPr>
        <w:t>изработването на планове</w:t>
      </w:r>
      <w:r w:rsidRPr="00BC4894">
        <w:rPr>
          <w:rFonts w:ascii="Verdana" w:eastAsia="Times New Roman" w:hAnsi="Verdana" w:cs="TimesNewRomanPSMT"/>
          <w:i/>
          <w:color w:val="548DD4" w:themeColor="text2" w:themeTint="99"/>
          <w:sz w:val="20"/>
          <w:szCs w:val="20"/>
          <w:lang w:val="bg-BG" w:eastAsia="bg-BG"/>
        </w:rPr>
        <w:t xml:space="preserve"> за оценка на оперативните програми</w:t>
      </w:r>
    </w:p>
    <w:p w:rsidR="004C272D" w:rsidRDefault="004C272D" w:rsidP="004C272D">
      <w:pPr>
        <w:pStyle w:val="BodyText"/>
        <w:widowControl w:val="0"/>
        <w:tabs>
          <w:tab w:val="left" w:pos="0"/>
          <w:tab w:val="right" w:pos="9214"/>
        </w:tabs>
        <w:spacing w:before="120" w:after="0" w:line="276" w:lineRule="auto"/>
        <w:jc w:val="both"/>
        <w:rPr>
          <w:rFonts w:ascii="Verdana" w:hAnsi="Verdana" w:cs="TimesNewRomanPSMT"/>
          <w:sz w:val="20"/>
          <w:szCs w:val="20"/>
        </w:rPr>
      </w:pPr>
      <w:r>
        <w:rPr>
          <w:rFonts w:ascii="Verdana" w:hAnsi="Verdana" w:cs="TimesNewRomanPSMT"/>
          <w:sz w:val="20"/>
          <w:szCs w:val="20"/>
        </w:rPr>
        <w:t>Изискванията на регламентите за периода 2014-2020 г., относно оценки през програмния период, които имат отношение към плана за оценка (оценките) на ОПНОИР 2014-2020 г., са посочени в регламенти 1303/2013 (общо приложими разпоредби) и 1304 (ЕСФ регламента). Както и за предходния програмен период, е дадена възможност за гъвкавост при планиране на оценките по време на изпълнение на програмата в зависимост от нуждите.</w:t>
      </w:r>
    </w:p>
    <w:p w:rsidR="004C272D" w:rsidRDefault="004C272D" w:rsidP="004C272D">
      <w:pPr>
        <w:pStyle w:val="BodyText"/>
        <w:widowControl w:val="0"/>
        <w:shd w:val="clear" w:color="auto" w:fill="FDE9D9" w:themeFill="accent6" w:themeFillTint="33"/>
        <w:tabs>
          <w:tab w:val="left" w:pos="0"/>
          <w:tab w:val="right" w:pos="9214"/>
        </w:tabs>
        <w:spacing w:before="120" w:after="0" w:line="276" w:lineRule="auto"/>
        <w:jc w:val="both"/>
        <w:rPr>
          <w:rFonts w:ascii="Verdana" w:hAnsi="Verdana" w:cs="TimesNewRomanPSMT"/>
          <w:sz w:val="20"/>
          <w:szCs w:val="20"/>
        </w:rPr>
      </w:pPr>
      <w:r w:rsidRPr="00151473">
        <w:rPr>
          <w:rFonts w:ascii="Verdana" w:hAnsi="Verdana" w:cs="TimesNewRomanPSMT"/>
          <w:sz w:val="20"/>
          <w:szCs w:val="20"/>
        </w:rPr>
        <w:t xml:space="preserve">Чл. </w:t>
      </w:r>
      <w:r w:rsidRPr="005A2E17">
        <w:rPr>
          <w:rFonts w:ascii="Verdana" w:hAnsi="Verdana" w:cs="TimesNewRomanPSMT"/>
          <w:sz w:val="20"/>
          <w:szCs w:val="20"/>
        </w:rPr>
        <w:t xml:space="preserve">54 </w:t>
      </w:r>
      <w:r>
        <w:rPr>
          <w:rFonts w:ascii="Verdana" w:hAnsi="Verdana" w:cs="TimesNewRomanPSMT"/>
          <w:sz w:val="20"/>
          <w:szCs w:val="20"/>
        </w:rPr>
        <w:t>(1) на Р</w:t>
      </w:r>
      <w:r w:rsidRPr="00151473">
        <w:rPr>
          <w:rFonts w:ascii="Verdana" w:hAnsi="Verdana" w:cs="TimesNewRomanPSMT"/>
          <w:sz w:val="20"/>
          <w:szCs w:val="20"/>
        </w:rPr>
        <w:t xml:space="preserve">егламент 1303 посочва, че  </w:t>
      </w:r>
      <w:r>
        <w:rPr>
          <w:rFonts w:ascii="Verdana" w:hAnsi="Verdana" w:cs="TimesNewRomanPSMT"/>
          <w:sz w:val="20"/>
          <w:szCs w:val="20"/>
        </w:rPr>
        <w:t>„</w:t>
      </w:r>
      <w:r w:rsidRPr="00151473">
        <w:rPr>
          <w:rFonts w:ascii="Verdana" w:hAnsi="Verdana" w:cs="TimesNewRomanPSMT"/>
          <w:i/>
          <w:sz w:val="20"/>
          <w:szCs w:val="20"/>
        </w:rPr>
        <w:t xml:space="preserve">с оглед подобряване на качеството на изготвянето и изпълнението на програмите, както и с цел да се направи оценка на тяхната ефективност, ефикасност и на въздействието им, се извършват оценки. Въздействието на програмите се оценява от гледна точка на задачата на всеки европейски структурен и инвестиционен фонд спрямо целите по стратегията на Съюза за интелигентен, устойчив и приобщаващ растеж, и като се отчита размерът на програмата по отношение на БВП и безработицата в съответния програмен район, </w:t>
      </w:r>
      <w:r w:rsidRPr="00151473">
        <w:rPr>
          <w:rFonts w:ascii="Verdana" w:hAnsi="Verdana" w:cs="TimesNewRomanPSMT"/>
          <w:i/>
          <w:sz w:val="20"/>
          <w:szCs w:val="20"/>
        </w:rPr>
        <w:lastRenderedPageBreak/>
        <w:t>когато това е целесъобразно</w:t>
      </w:r>
      <w:r>
        <w:rPr>
          <w:rFonts w:ascii="Verdana" w:hAnsi="Verdana" w:cs="TimesNewRomanPSMT"/>
          <w:i/>
          <w:sz w:val="20"/>
          <w:szCs w:val="20"/>
        </w:rPr>
        <w:t>“</w:t>
      </w:r>
      <w:r w:rsidRPr="00151473">
        <w:rPr>
          <w:rFonts w:ascii="Verdana" w:hAnsi="Verdana" w:cs="TimesNewRomanPSMT"/>
          <w:sz w:val="20"/>
          <w:szCs w:val="20"/>
        </w:rPr>
        <w:t>.</w:t>
      </w:r>
    </w:p>
    <w:p w:rsidR="004C272D" w:rsidRPr="00C3093D" w:rsidRDefault="004C272D" w:rsidP="004C272D">
      <w:pPr>
        <w:pStyle w:val="BodyText"/>
        <w:widowControl w:val="0"/>
        <w:shd w:val="clear" w:color="auto" w:fill="FDE9D9" w:themeFill="accent6" w:themeFillTint="33"/>
        <w:tabs>
          <w:tab w:val="left" w:pos="0"/>
          <w:tab w:val="right" w:pos="9214"/>
        </w:tabs>
        <w:spacing w:before="120" w:after="0" w:line="276" w:lineRule="auto"/>
        <w:jc w:val="both"/>
        <w:rPr>
          <w:rFonts w:ascii="Verdana" w:hAnsi="Verdana" w:cs="TimesNewRomanPSMT"/>
          <w:sz w:val="20"/>
          <w:szCs w:val="20"/>
        </w:rPr>
      </w:pPr>
      <w:r w:rsidRPr="00D22D69">
        <w:rPr>
          <w:rFonts w:ascii="Verdana" w:hAnsi="Verdana" w:cs="TimesNewRomanPSMT"/>
          <w:i/>
          <w:sz w:val="20"/>
          <w:szCs w:val="20"/>
        </w:rPr>
        <w:t xml:space="preserve">Държавите-членки осигуряват средствата, необходими за извършването на оценките, и гарантират, че са налице процедури за създаването и събирането на данните, необходими за извършването на оценки, включително и на данни, свързани с общите и — когато е уместно — специфичните за програмата показатели </w:t>
      </w:r>
      <w:r w:rsidRPr="00D22D69">
        <w:rPr>
          <w:rFonts w:ascii="Verdana" w:hAnsi="Verdana" w:cs="TimesNewRomanPSMT"/>
          <w:sz w:val="20"/>
          <w:szCs w:val="20"/>
        </w:rPr>
        <w:t>(чл. 54 (2)).</w:t>
      </w:r>
    </w:p>
    <w:p w:rsidR="004C272D" w:rsidRDefault="004C272D" w:rsidP="004C272D">
      <w:pPr>
        <w:pStyle w:val="BodyText"/>
        <w:widowControl w:val="0"/>
        <w:shd w:val="clear" w:color="auto" w:fill="FDE9D9" w:themeFill="accent6" w:themeFillTint="33"/>
        <w:tabs>
          <w:tab w:val="left" w:pos="0"/>
          <w:tab w:val="right" w:pos="9214"/>
        </w:tabs>
        <w:spacing w:before="120" w:after="0" w:line="276" w:lineRule="auto"/>
        <w:jc w:val="both"/>
        <w:rPr>
          <w:rFonts w:ascii="Verdana" w:hAnsi="Verdana" w:cs="TimesNewRomanPSMT"/>
          <w:sz w:val="20"/>
          <w:szCs w:val="20"/>
        </w:rPr>
      </w:pPr>
      <w:r>
        <w:rPr>
          <w:rFonts w:ascii="Verdana" w:hAnsi="Verdana" w:cs="TimesNewRomanPSMT"/>
          <w:sz w:val="20"/>
          <w:szCs w:val="20"/>
        </w:rPr>
        <w:t>В същия член (3) се посочва, че „</w:t>
      </w:r>
      <w:r w:rsidRPr="00D22D69">
        <w:rPr>
          <w:rFonts w:ascii="Verdana" w:hAnsi="Verdana" w:cs="TimesNewRomanPSMT"/>
          <w:i/>
          <w:sz w:val="20"/>
          <w:szCs w:val="20"/>
        </w:rPr>
        <w:t>о</w:t>
      </w:r>
      <w:r w:rsidRPr="00C3093D">
        <w:rPr>
          <w:rFonts w:ascii="Verdana" w:hAnsi="Verdana" w:cs="TimesNewRomanPSMT"/>
          <w:i/>
          <w:sz w:val="20"/>
          <w:szCs w:val="20"/>
        </w:rPr>
        <w:t>ценките се извършват от вътрешни или външни експерти, които са функционално независими от органите, отговарящи за изпълнението на програмата. Комисията предоставя насоки относно начина на извършване на оценките веднага след влизане в сила на настоящия регламент</w:t>
      </w:r>
      <w:r>
        <w:rPr>
          <w:rFonts w:ascii="Verdana" w:hAnsi="Verdana" w:cs="TimesNewRomanPSMT"/>
          <w:i/>
          <w:sz w:val="20"/>
          <w:szCs w:val="20"/>
        </w:rPr>
        <w:t>“</w:t>
      </w:r>
      <w:r w:rsidRPr="00C3093D">
        <w:rPr>
          <w:rFonts w:ascii="Verdana" w:hAnsi="Verdana" w:cs="TimesNewRomanPSMT"/>
          <w:sz w:val="20"/>
          <w:szCs w:val="20"/>
        </w:rPr>
        <w:t xml:space="preserve">. </w:t>
      </w:r>
    </w:p>
    <w:p w:rsidR="004C272D" w:rsidRPr="00412976" w:rsidRDefault="004C272D" w:rsidP="004C272D">
      <w:pPr>
        <w:pStyle w:val="BodyText"/>
        <w:widowControl w:val="0"/>
        <w:shd w:val="clear" w:color="auto" w:fill="FDE9D9" w:themeFill="accent6" w:themeFillTint="33"/>
        <w:tabs>
          <w:tab w:val="left" w:pos="0"/>
          <w:tab w:val="right" w:pos="9214"/>
        </w:tabs>
        <w:spacing w:before="120" w:after="0" w:line="276" w:lineRule="auto"/>
        <w:jc w:val="both"/>
        <w:rPr>
          <w:rFonts w:ascii="Verdana" w:hAnsi="Verdana" w:cs="TimesNewRomanPSMT"/>
          <w:sz w:val="20"/>
          <w:szCs w:val="20"/>
        </w:rPr>
      </w:pPr>
      <w:r>
        <w:rPr>
          <w:rFonts w:ascii="Verdana" w:hAnsi="Verdana" w:cs="TimesNewRomanPSMT"/>
          <w:sz w:val="20"/>
          <w:szCs w:val="20"/>
        </w:rPr>
        <w:t>Съгласно чл. 54 (</w:t>
      </w:r>
      <w:r w:rsidRPr="00D22D69">
        <w:rPr>
          <w:rFonts w:ascii="Verdana" w:hAnsi="Verdana" w:cs="TimesNewRomanPSMT"/>
          <w:sz w:val="20"/>
          <w:szCs w:val="20"/>
        </w:rPr>
        <w:t>4</w:t>
      </w:r>
      <w:r>
        <w:rPr>
          <w:rFonts w:ascii="Verdana" w:hAnsi="Verdana" w:cs="TimesNewRomanPSMT"/>
          <w:sz w:val="20"/>
          <w:szCs w:val="20"/>
        </w:rPr>
        <w:t xml:space="preserve">) </w:t>
      </w:r>
      <w:r w:rsidRPr="00D22D69">
        <w:rPr>
          <w:rFonts w:ascii="Verdana" w:hAnsi="Verdana" w:cs="TimesNewRomanPSMT"/>
          <w:i/>
          <w:sz w:val="20"/>
          <w:szCs w:val="20"/>
        </w:rPr>
        <w:t>Всички оценки се правят обществено достояние</w:t>
      </w:r>
      <w:r w:rsidRPr="00D22D69">
        <w:rPr>
          <w:rFonts w:ascii="Verdana" w:hAnsi="Verdana" w:cs="TimesNewRomanPSMT"/>
          <w:sz w:val="20"/>
          <w:szCs w:val="20"/>
        </w:rPr>
        <w:t>.</w:t>
      </w:r>
    </w:p>
    <w:p w:rsidR="004C272D" w:rsidRDefault="004C272D" w:rsidP="004C272D">
      <w:pPr>
        <w:pStyle w:val="BodyText"/>
        <w:widowControl w:val="0"/>
        <w:shd w:val="clear" w:color="auto" w:fill="FDE9D9" w:themeFill="accent6" w:themeFillTint="33"/>
        <w:tabs>
          <w:tab w:val="left" w:pos="0"/>
          <w:tab w:val="right" w:pos="9214"/>
        </w:tabs>
        <w:spacing w:before="120" w:after="0" w:line="276" w:lineRule="auto"/>
        <w:jc w:val="both"/>
        <w:rPr>
          <w:rFonts w:ascii="Verdana" w:hAnsi="Verdana" w:cs="TimesNewRomanPSMT"/>
          <w:sz w:val="20"/>
          <w:szCs w:val="20"/>
        </w:rPr>
      </w:pPr>
      <w:r w:rsidRPr="00412976">
        <w:rPr>
          <w:rFonts w:ascii="Verdana" w:hAnsi="Verdana" w:cs="TimesNewRomanPSMT"/>
          <w:sz w:val="20"/>
          <w:szCs w:val="20"/>
        </w:rPr>
        <w:t>Чл. 56 (3)</w:t>
      </w:r>
      <w:r>
        <w:rPr>
          <w:rFonts w:ascii="Verdana" w:hAnsi="Verdana" w:cs="TimesNewRomanPSMT"/>
          <w:sz w:val="20"/>
          <w:szCs w:val="20"/>
        </w:rPr>
        <w:t xml:space="preserve"> на същия регламент посочва, че „</w:t>
      </w:r>
      <w:r w:rsidRPr="00412976">
        <w:rPr>
          <w:rFonts w:ascii="Verdana" w:hAnsi="Verdana" w:cs="TimesNewRomanPSMT"/>
          <w:i/>
          <w:sz w:val="20"/>
          <w:szCs w:val="20"/>
        </w:rPr>
        <w:t xml:space="preserve">през програмния период управляващият орган гарантира извършването на оценки, включително за оценяване на ефективността, ефикасността и въздействието на всяка програма въз основа на плана за оценка, както и че всяка оценка е подложена на подходящо проследяване в съответствие с правилата за отделните фондове. Поне веднъж през програмния период се провежда оценка, с която се оценява приносът на подкрепата от европейските структурни и инвестиционни фондове за постигането на целите по всеки приоритет. Всички оценки се разглеждат от </w:t>
      </w:r>
      <w:proofErr w:type="spellStart"/>
      <w:r w:rsidRPr="00412976">
        <w:rPr>
          <w:rFonts w:ascii="Verdana" w:hAnsi="Verdana" w:cs="TimesNewRomanPSMT"/>
          <w:i/>
          <w:sz w:val="20"/>
          <w:szCs w:val="20"/>
        </w:rPr>
        <w:t>мониторинговия</w:t>
      </w:r>
      <w:proofErr w:type="spellEnd"/>
      <w:r w:rsidRPr="00412976">
        <w:rPr>
          <w:rFonts w:ascii="Verdana" w:hAnsi="Verdana" w:cs="TimesNewRomanPSMT"/>
          <w:i/>
          <w:sz w:val="20"/>
          <w:szCs w:val="20"/>
        </w:rPr>
        <w:t xml:space="preserve"> комитет и се изпращат на Комисията</w:t>
      </w:r>
      <w:r w:rsidRPr="00412976">
        <w:rPr>
          <w:rFonts w:ascii="Verdana" w:hAnsi="Verdana" w:cs="TimesNewRomanPSMT"/>
          <w:sz w:val="20"/>
          <w:szCs w:val="20"/>
        </w:rPr>
        <w:t>.</w:t>
      </w:r>
    </w:p>
    <w:p w:rsidR="004C272D" w:rsidRDefault="004C272D" w:rsidP="004C272D">
      <w:pPr>
        <w:pStyle w:val="BodyText"/>
        <w:widowControl w:val="0"/>
        <w:tabs>
          <w:tab w:val="left" w:pos="0"/>
          <w:tab w:val="right" w:pos="9214"/>
        </w:tabs>
        <w:spacing w:before="120" w:after="0" w:line="276" w:lineRule="auto"/>
        <w:jc w:val="both"/>
        <w:rPr>
          <w:rFonts w:ascii="Verdana" w:hAnsi="Verdana" w:cs="TimesNewRomanPSMT"/>
          <w:sz w:val="20"/>
          <w:szCs w:val="20"/>
        </w:rPr>
      </w:pPr>
      <w:r>
        <w:rPr>
          <w:rFonts w:ascii="Verdana" w:hAnsi="Verdana" w:cs="TimesNewRomanPSMT"/>
          <w:sz w:val="20"/>
          <w:szCs w:val="20"/>
        </w:rPr>
        <w:t>Според насоките на ЕК, планът за оценка трябва да съдържа следното</w:t>
      </w:r>
      <w:r>
        <w:rPr>
          <w:rStyle w:val="FootnoteReference"/>
          <w:rFonts w:ascii="Verdana" w:hAnsi="Verdana" w:cs="TimesNewRomanPSMT"/>
          <w:sz w:val="20"/>
          <w:szCs w:val="20"/>
        </w:rPr>
        <w:footnoteReference w:id="16"/>
      </w:r>
      <w:r>
        <w:rPr>
          <w:rFonts w:ascii="Verdana" w:hAnsi="Verdana" w:cs="TimesNewRomanPSMT"/>
          <w:sz w:val="20"/>
          <w:szCs w:val="20"/>
        </w:rPr>
        <w:t>:</w:t>
      </w:r>
    </w:p>
    <w:p w:rsidR="004C272D" w:rsidRDefault="004C272D" w:rsidP="006861B0">
      <w:pPr>
        <w:pStyle w:val="BodyText"/>
        <w:widowControl w:val="0"/>
        <w:numPr>
          <w:ilvl w:val="0"/>
          <w:numId w:val="64"/>
        </w:numPr>
        <w:tabs>
          <w:tab w:val="left" w:pos="0"/>
          <w:tab w:val="right" w:pos="9214"/>
        </w:tabs>
        <w:spacing w:before="120" w:after="0" w:line="276" w:lineRule="auto"/>
        <w:ind w:left="714" w:hanging="357"/>
        <w:jc w:val="both"/>
        <w:rPr>
          <w:rFonts w:ascii="Verdana" w:hAnsi="Verdana" w:cs="TimesNewRomanPSMT"/>
          <w:sz w:val="20"/>
          <w:szCs w:val="20"/>
        </w:rPr>
      </w:pPr>
      <w:r>
        <w:rPr>
          <w:rFonts w:ascii="Verdana" w:hAnsi="Verdana" w:cs="TimesNewRomanPSMT"/>
          <w:sz w:val="20"/>
          <w:szCs w:val="20"/>
        </w:rPr>
        <w:t>Индикативен списък на оценките с техния предмет и обосновка;</w:t>
      </w:r>
    </w:p>
    <w:p w:rsidR="004C272D" w:rsidRDefault="004C272D" w:rsidP="006861B0">
      <w:pPr>
        <w:pStyle w:val="BodyText"/>
        <w:widowControl w:val="0"/>
        <w:numPr>
          <w:ilvl w:val="0"/>
          <w:numId w:val="64"/>
        </w:numPr>
        <w:tabs>
          <w:tab w:val="left" w:pos="0"/>
          <w:tab w:val="right" w:pos="9214"/>
        </w:tabs>
        <w:spacing w:before="120" w:after="0" w:line="276" w:lineRule="auto"/>
        <w:ind w:left="714" w:hanging="357"/>
        <w:jc w:val="both"/>
        <w:rPr>
          <w:rFonts w:ascii="Verdana" w:hAnsi="Verdana" w:cs="TimesNewRomanPSMT"/>
          <w:sz w:val="20"/>
          <w:szCs w:val="20"/>
        </w:rPr>
      </w:pPr>
      <w:r>
        <w:rPr>
          <w:rFonts w:ascii="Verdana" w:hAnsi="Verdana" w:cs="TimesNewRomanPSMT"/>
          <w:sz w:val="20"/>
          <w:szCs w:val="20"/>
        </w:rPr>
        <w:t xml:space="preserve">Методи, които ще бъдат използвани за всяка оценка и нуждите от данни за осъществяването им; </w:t>
      </w:r>
    </w:p>
    <w:p w:rsidR="004C272D" w:rsidRDefault="004C272D" w:rsidP="006861B0">
      <w:pPr>
        <w:pStyle w:val="BodyText"/>
        <w:widowControl w:val="0"/>
        <w:numPr>
          <w:ilvl w:val="0"/>
          <w:numId w:val="64"/>
        </w:numPr>
        <w:tabs>
          <w:tab w:val="left" w:pos="0"/>
          <w:tab w:val="right" w:pos="9214"/>
        </w:tabs>
        <w:spacing w:before="120" w:after="0" w:line="276" w:lineRule="auto"/>
        <w:ind w:left="714" w:hanging="357"/>
        <w:jc w:val="both"/>
        <w:rPr>
          <w:rFonts w:ascii="Verdana" w:hAnsi="Verdana" w:cs="TimesNewRomanPSMT"/>
          <w:sz w:val="20"/>
          <w:szCs w:val="20"/>
        </w:rPr>
      </w:pPr>
      <w:r>
        <w:rPr>
          <w:rFonts w:ascii="Verdana" w:hAnsi="Verdana" w:cs="TimesNewRomanPSMT"/>
          <w:sz w:val="20"/>
          <w:szCs w:val="20"/>
        </w:rPr>
        <w:t>Предвиждания, как необходимите данни ще бъдат осигурени или ще бъдат набавени, включително за дългосрочните индикатори за резултат, ако се набавят чрез изследвания;</w:t>
      </w:r>
    </w:p>
    <w:p w:rsidR="004C272D" w:rsidRDefault="004C272D" w:rsidP="006861B0">
      <w:pPr>
        <w:pStyle w:val="BodyText"/>
        <w:widowControl w:val="0"/>
        <w:numPr>
          <w:ilvl w:val="0"/>
          <w:numId w:val="64"/>
        </w:numPr>
        <w:tabs>
          <w:tab w:val="left" w:pos="0"/>
          <w:tab w:val="right" w:pos="9214"/>
        </w:tabs>
        <w:spacing w:before="120" w:after="0" w:line="276" w:lineRule="auto"/>
        <w:ind w:left="714" w:hanging="357"/>
        <w:jc w:val="both"/>
        <w:rPr>
          <w:rFonts w:ascii="Verdana" w:hAnsi="Verdana" w:cs="TimesNewRomanPSMT"/>
          <w:sz w:val="20"/>
          <w:szCs w:val="20"/>
        </w:rPr>
      </w:pPr>
      <w:r>
        <w:rPr>
          <w:rFonts w:ascii="Verdana" w:hAnsi="Verdana" w:cs="TimesNewRomanPSMT"/>
          <w:sz w:val="20"/>
          <w:szCs w:val="20"/>
        </w:rPr>
        <w:t>План-график аз осъществяване на оценките;</w:t>
      </w:r>
    </w:p>
    <w:p w:rsidR="004C272D" w:rsidRDefault="004C272D" w:rsidP="006861B0">
      <w:pPr>
        <w:pStyle w:val="BodyText"/>
        <w:widowControl w:val="0"/>
        <w:numPr>
          <w:ilvl w:val="0"/>
          <w:numId w:val="64"/>
        </w:numPr>
        <w:tabs>
          <w:tab w:val="left" w:pos="0"/>
          <w:tab w:val="right" w:pos="9214"/>
        </w:tabs>
        <w:spacing w:before="120" w:after="0" w:line="276" w:lineRule="auto"/>
        <w:ind w:left="714" w:hanging="357"/>
        <w:jc w:val="both"/>
        <w:rPr>
          <w:rFonts w:ascii="Verdana" w:hAnsi="Verdana" w:cs="TimesNewRomanPSMT"/>
          <w:sz w:val="20"/>
          <w:szCs w:val="20"/>
        </w:rPr>
      </w:pPr>
      <w:r>
        <w:rPr>
          <w:rFonts w:ascii="Verdana" w:hAnsi="Verdana" w:cs="TimesNewRomanPSMT"/>
          <w:sz w:val="20"/>
          <w:szCs w:val="20"/>
        </w:rPr>
        <w:t xml:space="preserve">Стратегия за осигуряване използването на резултатите от оценките и публичност на оценките; </w:t>
      </w:r>
    </w:p>
    <w:p w:rsidR="004C272D" w:rsidRDefault="004C272D" w:rsidP="006861B0">
      <w:pPr>
        <w:pStyle w:val="BodyText"/>
        <w:widowControl w:val="0"/>
        <w:numPr>
          <w:ilvl w:val="0"/>
          <w:numId w:val="64"/>
        </w:numPr>
        <w:tabs>
          <w:tab w:val="left" w:pos="0"/>
          <w:tab w:val="right" w:pos="9214"/>
        </w:tabs>
        <w:spacing w:before="120" w:after="0" w:line="276" w:lineRule="auto"/>
        <w:ind w:left="714" w:hanging="357"/>
        <w:jc w:val="both"/>
        <w:rPr>
          <w:rFonts w:ascii="Verdana" w:hAnsi="Verdana" w:cs="TimesNewRomanPSMT"/>
          <w:sz w:val="20"/>
          <w:szCs w:val="20"/>
        </w:rPr>
      </w:pPr>
      <w:r>
        <w:rPr>
          <w:rFonts w:ascii="Verdana" w:hAnsi="Verdana" w:cs="TimesNewRomanPSMT"/>
          <w:sz w:val="20"/>
          <w:szCs w:val="20"/>
        </w:rPr>
        <w:t>Необходимостта от човешки ресурси;</w:t>
      </w:r>
    </w:p>
    <w:p w:rsidR="004C272D" w:rsidRDefault="004C272D" w:rsidP="006861B0">
      <w:pPr>
        <w:pStyle w:val="BodyText"/>
        <w:widowControl w:val="0"/>
        <w:numPr>
          <w:ilvl w:val="0"/>
          <w:numId w:val="64"/>
        </w:numPr>
        <w:tabs>
          <w:tab w:val="left" w:pos="0"/>
          <w:tab w:val="right" w:pos="9214"/>
        </w:tabs>
        <w:spacing w:before="120" w:after="0" w:line="276" w:lineRule="auto"/>
        <w:ind w:left="714" w:hanging="357"/>
        <w:jc w:val="both"/>
        <w:rPr>
          <w:rFonts w:ascii="Verdana" w:hAnsi="Verdana" w:cs="TimesNewRomanPSMT"/>
          <w:sz w:val="20"/>
          <w:szCs w:val="20"/>
        </w:rPr>
      </w:pPr>
      <w:r>
        <w:rPr>
          <w:rFonts w:ascii="Verdana" w:hAnsi="Verdana" w:cs="TimesNewRomanPSMT"/>
          <w:sz w:val="20"/>
          <w:szCs w:val="20"/>
        </w:rPr>
        <w:t>Индикативен бюджет;</w:t>
      </w:r>
    </w:p>
    <w:p w:rsidR="004C272D" w:rsidRPr="00E20577" w:rsidRDefault="004C272D" w:rsidP="006861B0">
      <w:pPr>
        <w:pStyle w:val="BodyText"/>
        <w:widowControl w:val="0"/>
        <w:numPr>
          <w:ilvl w:val="0"/>
          <w:numId w:val="64"/>
        </w:numPr>
        <w:tabs>
          <w:tab w:val="left" w:pos="0"/>
          <w:tab w:val="right" w:pos="9214"/>
        </w:tabs>
        <w:spacing w:before="120" w:after="0" w:line="276" w:lineRule="auto"/>
        <w:ind w:left="714" w:hanging="357"/>
        <w:jc w:val="both"/>
        <w:rPr>
          <w:rFonts w:ascii="Verdana" w:hAnsi="Verdana" w:cs="TimesNewRomanPSMT"/>
          <w:sz w:val="20"/>
          <w:szCs w:val="20"/>
        </w:rPr>
      </w:pPr>
      <w:r w:rsidRPr="00E20577">
        <w:rPr>
          <w:rFonts w:ascii="Verdana" w:hAnsi="Verdana" w:cs="TimesNewRomanPSMT"/>
          <w:sz w:val="20"/>
          <w:szCs w:val="20"/>
        </w:rPr>
        <w:t>„План за обучение“ (възможност)</w:t>
      </w:r>
    </w:p>
    <w:p w:rsidR="004C272D" w:rsidRPr="00BC4894" w:rsidRDefault="004C272D" w:rsidP="004C272D">
      <w:pPr>
        <w:keepNext/>
        <w:pBdr>
          <w:bottom w:val="single" w:sz="12" w:space="1" w:color="0070C0"/>
        </w:pBdr>
        <w:autoSpaceDE w:val="0"/>
        <w:autoSpaceDN w:val="0"/>
        <w:adjustRightInd w:val="0"/>
        <w:spacing w:before="120" w:after="120" w:line="240" w:lineRule="auto"/>
        <w:rPr>
          <w:rFonts w:ascii="Verdana" w:eastAsia="Times New Roman" w:hAnsi="Verdana" w:cs="TimesNewRomanPSMT"/>
          <w:i/>
          <w:color w:val="548DD4" w:themeColor="text2" w:themeTint="99"/>
          <w:sz w:val="20"/>
          <w:szCs w:val="20"/>
          <w:lang w:val="bg-BG" w:eastAsia="bg-BG"/>
        </w:rPr>
      </w:pPr>
      <w:r>
        <w:rPr>
          <w:rFonts w:ascii="Verdana" w:eastAsia="Times New Roman" w:hAnsi="Verdana" w:cs="TimesNewRomanPSMT"/>
          <w:i/>
          <w:color w:val="548DD4" w:themeColor="text2" w:themeTint="99"/>
          <w:sz w:val="20"/>
          <w:szCs w:val="20"/>
          <w:lang w:val="bg-BG" w:eastAsia="bg-BG"/>
        </w:rPr>
        <w:t>Препоръки към плана за оценка на ОПНОИР 20014-2020 г.</w:t>
      </w:r>
    </w:p>
    <w:p w:rsidR="004C272D" w:rsidRDefault="004C272D" w:rsidP="004C272D">
      <w:pPr>
        <w:pStyle w:val="BodyText"/>
        <w:widowControl w:val="0"/>
        <w:tabs>
          <w:tab w:val="left" w:pos="0"/>
          <w:tab w:val="right" w:pos="9214"/>
        </w:tabs>
        <w:spacing w:before="120" w:after="0" w:line="276" w:lineRule="auto"/>
        <w:jc w:val="both"/>
        <w:rPr>
          <w:rFonts w:ascii="Verdana" w:hAnsi="Verdana"/>
          <w:bCs/>
          <w:color w:val="000000"/>
          <w:sz w:val="20"/>
          <w:szCs w:val="20"/>
        </w:rPr>
      </w:pPr>
      <w:r>
        <w:rPr>
          <w:rFonts w:ascii="Verdana" w:hAnsi="Verdana"/>
          <w:bCs/>
          <w:color w:val="000000"/>
          <w:sz w:val="20"/>
          <w:szCs w:val="20"/>
        </w:rPr>
        <w:t xml:space="preserve">Посочените по-долу препоръки се отнасят към съдържанието на плана за оценка, касаещо оценките по време на изпълнението на програмата. Задължението за извършване на последваща оценка е на ЕК, но страните-членки се насърчават да извършват техни собствени последващи оценки (чл. 57 и чл. 114 на Регламент </w:t>
      </w:r>
      <w:r>
        <w:rPr>
          <w:rFonts w:ascii="Verdana" w:hAnsi="Verdana"/>
          <w:bCs/>
          <w:color w:val="000000"/>
          <w:sz w:val="20"/>
          <w:szCs w:val="20"/>
        </w:rPr>
        <w:lastRenderedPageBreak/>
        <w:t>1303/2013).</w:t>
      </w:r>
    </w:p>
    <w:p w:rsidR="004C272D" w:rsidRDefault="004C272D" w:rsidP="004C272D">
      <w:pPr>
        <w:pStyle w:val="BodyText"/>
        <w:widowControl w:val="0"/>
        <w:tabs>
          <w:tab w:val="left" w:pos="0"/>
          <w:tab w:val="right" w:pos="9214"/>
        </w:tabs>
        <w:spacing w:before="120" w:after="0" w:line="276" w:lineRule="auto"/>
        <w:jc w:val="both"/>
        <w:rPr>
          <w:rFonts w:ascii="Verdana" w:hAnsi="Verdana"/>
          <w:bCs/>
          <w:color w:val="000000"/>
          <w:sz w:val="20"/>
          <w:szCs w:val="20"/>
        </w:rPr>
      </w:pPr>
      <w:r>
        <w:rPr>
          <w:rFonts w:ascii="Verdana" w:hAnsi="Verdana"/>
          <w:bCs/>
          <w:color w:val="000000"/>
          <w:sz w:val="20"/>
          <w:szCs w:val="20"/>
        </w:rPr>
        <w:t>Планът за оценка трябва да отговаря на нуждите от информация и оценка, каквито се предполага, че ще има по време на изпълнение на програмата. Оценките трябва да дават на управляващите информация, която да бъде използвана за управленски цели.</w:t>
      </w:r>
    </w:p>
    <w:p w:rsidR="004C272D" w:rsidRDefault="004C272D" w:rsidP="004C272D">
      <w:pPr>
        <w:pStyle w:val="BodyText"/>
        <w:widowControl w:val="0"/>
        <w:tabs>
          <w:tab w:val="left" w:pos="0"/>
          <w:tab w:val="right" w:pos="9214"/>
        </w:tabs>
        <w:spacing w:before="120" w:after="0" w:line="276" w:lineRule="auto"/>
        <w:jc w:val="both"/>
        <w:rPr>
          <w:rFonts w:ascii="Verdana" w:hAnsi="Verdana"/>
          <w:bCs/>
          <w:color w:val="000000"/>
          <w:sz w:val="20"/>
          <w:szCs w:val="20"/>
        </w:rPr>
      </w:pPr>
      <w:r>
        <w:rPr>
          <w:rFonts w:ascii="Verdana" w:hAnsi="Verdana"/>
          <w:bCs/>
          <w:color w:val="000000"/>
          <w:sz w:val="20"/>
          <w:szCs w:val="20"/>
        </w:rPr>
        <w:t>В първите години на изпълнение на програмата от особена важност е да се получи информация доколко установените системи са ефикасни и работещи и доколко дизайнът на подкрепата е уместен. Към средата на изпълнение на програмата е важно да се знае доколко ефективни са интервенциите и дали ще доведат до постигане на заложените цели</w:t>
      </w:r>
      <w:r>
        <w:rPr>
          <w:rStyle w:val="FootnoteReference"/>
          <w:rFonts w:ascii="Verdana" w:hAnsi="Verdana"/>
          <w:bCs/>
          <w:color w:val="000000"/>
          <w:sz w:val="20"/>
          <w:szCs w:val="20"/>
        </w:rPr>
        <w:footnoteReference w:id="17"/>
      </w:r>
      <w:r>
        <w:rPr>
          <w:rFonts w:ascii="Verdana" w:hAnsi="Verdana"/>
          <w:bCs/>
          <w:color w:val="000000"/>
          <w:sz w:val="20"/>
          <w:szCs w:val="20"/>
        </w:rPr>
        <w:t xml:space="preserve">. Към края на периода вече е важно да се знае какво се очаква да е въздействието, за да може да се предприемат последни </w:t>
      </w:r>
      <w:proofErr w:type="spellStart"/>
      <w:r>
        <w:rPr>
          <w:rFonts w:ascii="Verdana" w:hAnsi="Verdana"/>
          <w:bCs/>
          <w:color w:val="000000"/>
          <w:sz w:val="20"/>
          <w:szCs w:val="20"/>
        </w:rPr>
        <w:t>корективни</w:t>
      </w:r>
      <w:proofErr w:type="spellEnd"/>
      <w:r>
        <w:rPr>
          <w:rFonts w:ascii="Verdana" w:hAnsi="Verdana"/>
          <w:bCs/>
          <w:color w:val="000000"/>
          <w:sz w:val="20"/>
          <w:szCs w:val="20"/>
        </w:rPr>
        <w:t xml:space="preserve"> действия за постигане на максимално въздействие. В тази връзка можем условно да разделим периода за изпълнение на програмата и информацията, която е необходима на три части, както е показано на схемата по-долу:</w:t>
      </w:r>
    </w:p>
    <w:p w:rsidR="004C272D" w:rsidRDefault="004C272D" w:rsidP="004C272D">
      <w:pPr>
        <w:pStyle w:val="BodyText"/>
        <w:widowControl w:val="0"/>
        <w:tabs>
          <w:tab w:val="left" w:pos="0"/>
          <w:tab w:val="right" w:pos="9214"/>
        </w:tabs>
        <w:spacing w:before="120" w:after="0" w:line="276" w:lineRule="auto"/>
        <w:jc w:val="both"/>
        <w:rPr>
          <w:rFonts w:ascii="Verdana" w:hAnsi="Verdana"/>
          <w:bCs/>
          <w:color w:val="000000"/>
          <w:sz w:val="20"/>
          <w:szCs w:val="20"/>
        </w:rPr>
      </w:pPr>
    </w:p>
    <w:p w:rsidR="004C272D" w:rsidRDefault="004C272D" w:rsidP="004C272D">
      <w:pPr>
        <w:pStyle w:val="BodyText"/>
        <w:widowControl w:val="0"/>
        <w:tabs>
          <w:tab w:val="left" w:pos="0"/>
          <w:tab w:val="right" w:pos="9214"/>
        </w:tabs>
        <w:spacing w:before="120" w:after="0" w:line="276" w:lineRule="auto"/>
        <w:jc w:val="both"/>
        <w:rPr>
          <w:rFonts w:ascii="Verdana" w:hAnsi="Verdana"/>
          <w:bCs/>
          <w:color w:val="000000"/>
          <w:sz w:val="20"/>
          <w:szCs w:val="20"/>
        </w:rPr>
      </w:pPr>
      <w:r>
        <w:object w:dxaOrig="14421" w:dyaOrig="2152">
          <v:shape id="_x0000_i1029" type="#_x0000_t75" style="width:460.5pt;height:1in" o:ole="">
            <v:imagedata r:id="rId60" o:title=""/>
          </v:shape>
          <o:OLEObject Type="Embed" ProgID="Visio.Drawing.11" ShapeID="_x0000_i1029" DrawAspect="Content" ObjectID="_1469357524" r:id="rId61"/>
        </w:object>
      </w:r>
    </w:p>
    <w:p w:rsidR="004C272D" w:rsidRDefault="004C272D" w:rsidP="004C272D">
      <w:pPr>
        <w:pStyle w:val="BodyText"/>
        <w:widowControl w:val="0"/>
        <w:tabs>
          <w:tab w:val="left" w:pos="0"/>
          <w:tab w:val="right" w:pos="9214"/>
        </w:tabs>
        <w:spacing w:before="120" w:after="0" w:line="276" w:lineRule="auto"/>
        <w:jc w:val="both"/>
        <w:rPr>
          <w:rFonts w:ascii="Verdana" w:hAnsi="Verdana"/>
          <w:bCs/>
          <w:color w:val="000000"/>
          <w:sz w:val="20"/>
          <w:szCs w:val="20"/>
        </w:rPr>
      </w:pPr>
      <w:r>
        <w:rPr>
          <w:rFonts w:ascii="Verdana" w:hAnsi="Verdana"/>
          <w:bCs/>
          <w:color w:val="000000"/>
          <w:sz w:val="20"/>
          <w:szCs w:val="20"/>
        </w:rPr>
        <w:t>Имайки предвид горното, могат да се отправят следните препоръки към съдържанието на Плана за оценка:</w:t>
      </w:r>
    </w:p>
    <w:p w:rsidR="004C272D" w:rsidRPr="00D13073" w:rsidRDefault="004C272D" w:rsidP="004C272D">
      <w:pPr>
        <w:pStyle w:val="BodyText"/>
        <w:widowControl w:val="0"/>
        <w:tabs>
          <w:tab w:val="left" w:pos="0"/>
          <w:tab w:val="right" w:pos="9214"/>
        </w:tabs>
        <w:spacing w:before="120" w:after="0" w:line="276" w:lineRule="auto"/>
        <w:jc w:val="both"/>
        <w:rPr>
          <w:rFonts w:ascii="Verdana" w:hAnsi="Verdana"/>
          <w:bCs/>
          <w:color w:val="365F91" w:themeColor="accent1" w:themeShade="BF"/>
          <w:sz w:val="20"/>
          <w:szCs w:val="20"/>
        </w:rPr>
      </w:pPr>
      <w:r w:rsidRPr="00D13073">
        <w:rPr>
          <w:rFonts w:ascii="Verdana" w:hAnsi="Verdana"/>
          <w:bCs/>
          <w:color w:val="365F91" w:themeColor="accent1" w:themeShade="BF"/>
          <w:sz w:val="20"/>
          <w:szCs w:val="20"/>
        </w:rPr>
        <w:t xml:space="preserve">По отношение на </w:t>
      </w:r>
      <w:r>
        <w:rPr>
          <w:rFonts w:ascii="Verdana" w:hAnsi="Verdana" w:cs="TimesNewRomanPSMT"/>
          <w:color w:val="365F91" w:themeColor="accent1" w:themeShade="BF"/>
          <w:sz w:val="20"/>
          <w:szCs w:val="20"/>
        </w:rPr>
        <w:t>и</w:t>
      </w:r>
      <w:r w:rsidRPr="00D13073">
        <w:rPr>
          <w:rFonts w:ascii="Verdana" w:hAnsi="Verdana" w:cs="TimesNewRomanPSMT"/>
          <w:color w:val="365F91" w:themeColor="accent1" w:themeShade="BF"/>
          <w:sz w:val="20"/>
          <w:szCs w:val="20"/>
        </w:rPr>
        <w:t>ндикативен списък на оценките с техния предмет</w:t>
      </w:r>
      <w:r>
        <w:rPr>
          <w:rFonts w:ascii="Verdana" w:hAnsi="Verdana" w:cs="TimesNewRomanPSMT"/>
          <w:color w:val="365F91" w:themeColor="accent1" w:themeShade="BF"/>
          <w:sz w:val="20"/>
          <w:szCs w:val="20"/>
        </w:rPr>
        <w:t>,</w:t>
      </w:r>
      <w:r w:rsidRPr="00D13073">
        <w:rPr>
          <w:rFonts w:ascii="Verdana" w:hAnsi="Verdana" w:cs="TimesNewRomanPSMT"/>
          <w:color w:val="365F91" w:themeColor="accent1" w:themeShade="BF"/>
          <w:sz w:val="20"/>
          <w:szCs w:val="20"/>
        </w:rPr>
        <w:t xml:space="preserve"> обосновка</w:t>
      </w:r>
      <w:r>
        <w:rPr>
          <w:rFonts w:ascii="Verdana" w:hAnsi="Verdana" w:cs="TimesNewRomanPSMT"/>
          <w:color w:val="365F91" w:themeColor="accent1" w:themeShade="BF"/>
          <w:sz w:val="20"/>
          <w:szCs w:val="20"/>
        </w:rPr>
        <w:t xml:space="preserve"> и </w:t>
      </w:r>
      <w:r>
        <w:rPr>
          <w:rFonts w:ascii="Verdana" w:hAnsi="Verdana"/>
          <w:bCs/>
          <w:color w:val="365F91" w:themeColor="accent1" w:themeShade="BF"/>
          <w:sz w:val="20"/>
          <w:szCs w:val="20"/>
        </w:rPr>
        <w:t>план-</w:t>
      </w:r>
      <w:r w:rsidRPr="00D13073">
        <w:rPr>
          <w:rFonts w:ascii="Verdana" w:hAnsi="Verdana"/>
          <w:bCs/>
          <w:color w:val="365F91" w:themeColor="accent1" w:themeShade="BF"/>
          <w:sz w:val="20"/>
          <w:szCs w:val="20"/>
        </w:rPr>
        <w:t xml:space="preserve">график </w:t>
      </w:r>
      <w:r>
        <w:rPr>
          <w:rFonts w:ascii="Verdana" w:hAnsi="Verdana"/>
          <w:bCs/>
          <w:color w:val="365F91" w:themeColor="accent1" w:themeShade="BF"/>
          <w:sz w:val="20"/>
          <w:szCs w:val="20"/>
        </w:rPr>
        <w:t>за</w:t>
      </w:r>
      <w:r w:rsidRPr="00D13073">
        <w:rPr>
          <w:rFonts w:ascii="Verdana" w:hAnsi="Verdana"/>
          <w:bCs/>
          <w:color w:val="365F91" w:themeColor="accent1" w:themeShade="BF"/>
          <w:sz w:val="20"/>
          <w:szCs w:val="20"/>
        </w:rPr>
        <w:t xml:space="preserve"> осъществяване на оценките</w:t>
      </w:r>
    </w:p>
    <w:p w:rsidR="004C272D" w:rsidRDefault="004C272D" w:rsidP="004C272D">
      <w:pPr>
        <w:pStyle w:val="BodyText"/>
        <w:widowControl w:val="0"/>
        <w:tabs>
          <w:tab w:val="left" w:pos="0"/>
          <w:tab w:val="right" w:pos="9214"/>
        </w:tabs>
        <w:spacing w:before="120" w:after="0" w:line="276" w:lineRule="auto"/>
        <w:jc w:val="both"/>
        <w:rPr>
          <w:rFonts w:ascii="Verdana" w:hAnsi="Verdana"/>
          <w:bCs/>
          <w:color w:val="000000"/>
          <w:sz w:val="20"/>
          <w:szCs w:val="20"/>
        </w:rPr>
      </w:pPr>
      <w:r>
        <w:rPr>
          <w:rFonts w:ascii="Verdana" w:hAnsi="Verdana"/>
          <w:bCs/>
          <w:color w:val="000000"/>
          <w:sz w:val="20"/>
          <w:szCs w:val="20"/>
        </w:rPr>
        <w:t>Препоръчително е в първите години на изпълнение на програмата (2014-2015) да се предвидят оценки, които да дадат информация и отговор на въпроси, свързани с уместността и ефикасността на изпълнение, като например:</w:t>
      </w:r>
    </w:p>
    <w:p w:rsidR="004C272D" w:rsidRDefault="004C272D" w:rsidP="006861B0">
      <w:pPr>
        <w:pStyle w:val="BodyText"/>
        <w:widowControl w:val="0"/>
        <w:numPr>
          <w:ilvl w:val="0"/>
          <w:numId w:val="61"/>
        </w:numPr>
        <w:tabs>
          <w:tab w:val="left" w:pos="0"/>
          <w:tab w:val="right" w:pos="9214"/>
        </w:tabs>
        <w:spacing w:before="120" w:after="0" w:line="276" w:lineRule="auto"/>
        <w:jc w:val="both"/>
        <w:rPr>
          <w:rFonts w:ascii="Verdana" w:hAnsi="Verdana"/>
          <w:bCs/>
          <w:color w:val="000000"/>
          <w:sz w:val="20"/>
          <w:szCs w:val="20"/>
        </w:rPr>
      </w:pPr>
      <w:r>
        <w:rPr>
          <w:rFonts w:ascii="Verdana" w:hAnsi="Verdana"/>
          <w:bCs/>
          <w:color w:val="000000"/>
          <w:sz w:val="20"/>
          <w:szCs w:val="20"/>
        </w:rPr>
        <w:t>Адекватност на системите за управление и контрол;</w:t>
      </w:r>
    </w:p>
    <w:p w:rsidR="004C272D" w:rsidRDefault="004C272D" w:rsidP="006861B0">
      <w:pPr>
        <w:pStyle w:val="BodyText"/>
        <w:widowControl w:val="0"/>
        <w:numPr>
          <w:ilvl w:val="0"/>
          <w:numId w:val="61"/>
        </w:numPr>
        <w:tabs>
          <w:tab w:val="left" w:pos="0"/>
          <w:tab w:val="right" w:pos="9214"/>
        </w:tabs>
        <w:spacing w:before="120" w:after="0" w:line="276" w:lineRule="auto"/>
        <w:jc w:val="both"/>
        <w:rPr>
          <w:rFonts w:ascii="Verdana" w:hAnsi="Verdana"/>
          <w:bCs/>
          <w:color w:val="000000"/>
          <w:sz w:val="20"/>
          <w:szCs w:val="20"/>
        </w:rPr>
      </w:pPr>
      <w:r>
        <w:rPr>
          <w:rFonts w:ascii="Verdana" w:hAnsi="Verdana"/>
          <w:bCs/>
          <w:color w:val="000000"/>
          <w:sz w:val="20"/>
          <w:szCs w:val="20"/>
        </w:rPr>
        <w:t>Адекватност на системите за мониторинг;</w:t>
      </w:r>
    </w:p>
    <w:p w:rsidR="004C272D" w:rsidRDefault="004C272D" w:rsidP="006861B0">
      <w:pPr>
        <w:pStyle w:val="BodyText"/>
        <w:widowControl w:val="0"/>
        <w:numPr>
          <w:ilvl w:val="0"/>
          <w:numId w:val="61"/>
        </w:numPr>
        <w:tabs>
          <w:tab w:val="left" w:pos="0"/>
          <w:tab w:val="right" w:pos="9214"/>
        </w:tabs>
        <w:spacing w:before="120" w:after="0" w:line="276" w:lineRule="auto"/>
        <w:jc w:val="both"/>
        <w:rPr>
          <w:rFonts w:ascii="Verdana" w:hAnsi="Verdana"/>
          <w:bCs/>
          <w:color w:val="000000"/>
          <w:sz w:val="20"/>
          <w:szCs w:val="20"/>
        </w:rPr>
      </w:pPr>
      <w:r>
        <w:rPr>
          <w:rFonts w:ascii="Verdana" w:hAnsi="Verdana"/>
          <w:bCs/>
          <w:color w:val="000000"/>
          <w:sz w:val="20"/>
          <w:szCs w:val="20"/>
        </w:rPr>
        <w:t>Адекватност на дизайна на процедури;</w:t>
      </w:r>
    </w:p>
    <w:p w:rsidR="004C272D" w:rsidRDefault="004C272D" w:rsidP="006861B0">
      <w:pPr>
        <w:pStyle w:val="BodyText"/>
        <w:widowControl w:val="0"/>
        <w:numPr>
          <w:ilvl w:val="0"/>
          <w:numId w:val="61"/>
        </w:numPr>
        <w:tabs>
          <w:tab w:val="left" w:pos="0"/>
          <w:tab w:val="right" w:pos="9214"/>
        </w:tabs>
        <w:spacing w:before="120" w:after="0" w:line="276" w:lineRule="auto"/>
        <w:jc w:val="both"/>
        <w:rPr>
          <w:rFonts w:ascii="Verdana" w:hAnsi="Verdana"/>
          <w:bCs/>
          <w:color w:val="000000"/>
          <w:sz w:val="20"/>
          <w:szCs w:val="20"/>
        </w:rPr>
      </w:pPr>
      <w:r>
        <w:rPr>
          <w:rFonts w:ascii="Verdana" w:hAnsi="Verdana"/>
          <w:bCs/>
          <w:color w:val="000000"/>
          <w:sz w:val="20"/>
          <w:szCs w:val="20"/>
        </w:rPr>
        <w:t>Адекватност на наличния административен капацитет;</w:t>
      </w:r>
    </w:p>
    <w:p w:rsidR="004C272D" w:rsidRDefault="004C272D" w:rsidP="006861B0">
      <w:pPr>
        <w:pStyle w:val="BodyText"/>
        <w:widowControl w:val="0"/>
        <w:numPr>
          <w:ilvl w:val="0"/>
          <w:numId w:val="61"/>
        </w:numPr>
        <w:tabs>
          <w:tab w:val="left" w:pos="0"/>
          <w:tab w:val="right" w:pos="9214"/>
        </w:tabs>
        <w:spacing w:before="120" w:after="0" w:line="276" w:lineRule="auto"/>
        <w:jc w:val="both"/>
        <w:rPr>
          <w:rFonts w:ascii="Verdana" w:hAnsi="Verdana"/>
          <w:bCs/>
          <w:color w:val="000000"/>
          <w:sz w:val="20"/>
          <w:szCs w:val="20"/>
        </w:rPr>
      </w:pPr>
      <w:r>
        <w:rPr>
          <w:rFonts w:ascii="Verdana" w:hAnsi="Verdana"/>
          <w:bCs/>
          <w:color w:val="000000"/>
          <w:sz w:val="20"/>
          <w:szCs w:val="20"/>
        </w:rPr>
        <w:t>Ефикасност на предоставянето на БФП;</w:t>
      </w:r>
    </w:p>
    <w:p w:rsidR="004C272D" w:rsidRDefault="004C272D" w:rsidP="004C272D">
      <w:pPr>
        <w:pStyle w:val="BodyText"/>
        <w:widowControl w:val="0"/>
        <w:tabs>
          <w:tab w:val="left" w:pos="0"/>
          <w:tab w:val="right" w:pos="9214"/>
        </w:tabs>
        <w:spacing w:before="120" w:after="0" w:line="276" w:lineRule="auto"/>
        <w:jc w:val="both"/>
        <w:rPr>
          <w:rFonts w:ascii="Verdana" w:hAnsi="Verdana"/>
          <w:bCs/>
          <w:color w:val="000000"/>
          <w:sz w:val="20"/>
          <w:szCs w:val="20"/>
        </w:rPr>
      </w:pPr>
      <w:r>
        <w:rPr>
          <w:rFonts w:ascii="Verdana" w:hAnsi="Verdana"/>
          <w:bCs/>
          <w:color w:val="000000"/>
          <w:sz w:val="20"/>
          <w:szCs w:val="20"/>
        </w:rPr>
        <w:t>Това ще даде възможност за подобряване в дизайна на схемите – т.е. на тяхната уместност, както и отстраняването на пропуски, свързани с управлението и изпълнението на програмата.</w:t>
      </w:r>
    </w:p>
    <w:p w:rsidR="004C272D" w:rsidRDefault="004C272D" w:rsidP="004C272D">
      <w:pPr>
        <w:pStyle w:val="BodyText"/>
        <w:widowControl w:val="0"/>
        <w:tabs>
          <w:tab w:val="left" w:pos="0"/>
          <w:tab w:val="right" w:pos="9214"/>
        </w:tabs>
        <w:spacing w:before="120" w:after="0" w:line="276" w:lineRule="auto"/>
        <w:jc w:val="both"/>
        <w:rPr>
          <w:rFonts w:ascii="Verdana" w:hAnsi="Verdana" w:cs="TimesNewRomanPSMT"/>
          <w:sz w:val="20"/>
          <w:szCs w:val="20"/>
        </w:rPr>
      </w:pPr>
      <w:r>
        <w:rPr>
          <w:rFonts w:ascii="Verdana" w:hAnsi="Verdana"/>
          <w:bCs/>
          <w:color w:val="000000"/>
          <w:sz w:val="20"/>
          <w:szCs w:val="20"/>
        </w:rPr>
        <w:t>С напредъка на изпълнение на програмата (2016-2018) е уместно да се предприемат оценки, които ще набавят информация относно евентуално постигане/</w:t>
      </w:r>
      <w:proofErr w:type="spellStart"/>
      <w:r>
        <w:rPr>
          <w:rFonts w:ascii="Verdana" w:hAnsi="Verdana"/>
          <w:bCs/>
          <w:color w:val="000000"/>
          <w:sz w:val="20"/>
          <w:szCs w:val="20"/>
        </w:rPr>
        <w:t>непостигане</w:t>
      </w:r>
      <w:proofErr w:type="spellEnd"/>
      <w:r>
        <w:rPr>
          <w:rFonts w:ascii="Verdana" w:hAnsi="Verdana"/>
          <w:bCs/>
          <w:color w:val="000000"/>
          <w:sz w:val="20"/>
          <w:szCs w:val="20"/>
        </w:rPr>
        <w:t xml:space="preserve"> </w:t>
      </w:r>
      <w:r>
        <w:rPr>
          <w:rFonts w:ascii="Verdana" w:hAnsi="Verdana"/>
          <w:bCs/>
          <w:color w:val="000000"/>
          <w:sz w:val="20"/>
          <w:szCs w:val="20"/>
        </w:rPr>
        <w:lastRenderedPageBreak/>
        <w:t>на целите, за да могат да бъдат предприети навременни и адекватни мерки за нанасяне на корекции в планирането на разходването на средствата и изпълнението на програмата така, че да се гарантира постигане на заложените цели, съгласно изискванията</w:t>
      </w:r>
      <w:r>
        <w:rPr>
          <w:rFonts w:ascii="Verdana" w:hAnsi="Verdana" w:cs="TimesNewRomanPSMT"/>
          <w:i/>
          <w:sz w:val="20"/>
          <w:szCs w:val="20"/>
        </w:rPr>
        <w:t>.</w:t>
      </w:r>
      <w:r>
        <w:rPr>
          <w:rFonts w:ascii="Verdana" w:hAnsi="Verdana" w:cs="TimesNewRomanPSMT"/>
          <w:sz w:val="20"/>
          <w:szCs w:val="20"/>
        </w:rPr>
        <w:t xml:space="preserve"> Поради това, подходящи оценки в периода 2016-2018 г. са оценки на:</w:t>
      </w:r>
    </w:p>
    <w:p w:rsidR="004C272D" w:rsidRPr="004B243D" w:rsidRDefault="004C272D" w:rsidP="006861B0">
      <w:pPr>
        <w:pStyle w:val="BodyText"/>
        <w:widowControl w:val="0"/>
        <w:numPr>
          <w:ilvl w:val="0"/>
          <w:numId w:val="62"/>
        </w:numPr>
        <w:tabs>
          <w:tab w:val="left" w:pos="0"/>
          <w:tab w:val="right" w:pos="9214"/>
        </w:tabs>
        <w:spacing w:before="120" w:after="0" w:line="276" w:lineRule="auto"/>
        <w:jc w:val="both"/>
        <w:rPr>
          <w:rFonts w:ascii="Verdana" w:hAnsi="Verdana"/>
          <w:bCs/>
          <w:color w:val="000000"/>
          <w:sz w:val="20"/>
          <w:szCs w:val="20"/>
        </w:rPr>
      </w:pPr>
      <w:r>
        <w:rPr>
          <w:rFonts w:ascii="Verdana" w:hAnsi="Verdana" w:cs="TimesNewRomanPSMT"/>
          <w:sz w:val="20"/>
          <w:szCs w:val="20"/>
        </w:rPr>
        <w:t>Принос на подкрепата от ЕСИФ за постигане на целите на всеки инвестиционен приоритет (</w:t>
      </w:r>
      <w:r>
        <w:rPr>
          <w:rFonts w:ascii="Verdana" w:hAnsi="Verdana"/>
          <w:bCs/>
          <w:color w:val="000000"/>
          <w:sz w:val="20"/>
          <w:szCs w:val="20"/>
        </w:rPr>
        <w:t>чл. 56 (3) на Регламент 1303 (2013)</w:t>
      </w:r>
      <w:r>
        <w:rPr>
          <w:rFonts w:ascii="Verdana" w:hAnsi="Verdana" w:cs="TimesNewRomanPSMT"/>
          <w:sz w:val="20"/>
          <w:szCs w:val="20"/>
        </w:rPr>
        <w:t>;</w:t>
      </w:r>
    </w:p>
    <w:p w:rsidR="004C272D" w:rsidRPr="00391CB0" w:rsidRDefault="004C272D" w:rsidP="006861B0">
      <w:pPr>
        <w:pStyle w:val="BodyText"/>
        <w:widowControl w:val="0"/>
        <w:numPr>
          <w:ilvl w:val="0"/>
          <w:numId w:val="62"/>
        </w:numPr>
        <w:tabs>
          <w:tab w:val="left" w:pos="0"/>
          <w:tab w:val="right" w:pos="9214"/>
        </w:tabs>
        <w:spacing w:before="120" w:after="0" w:line="276" w:lineRule="auto"/>
        <w:jc w:val="both"/>
        <w:rPr>
          <w:rFonts w:ascii="Verdana" w:hAnsi="Verdana"/>
          <w:bCs/>
          <w:color w:val="000000"/>
          <w:sz w:val="20"/>
          <w:szCs w:val="20"/>
        </w:rPr>
      </w:pPr>
      <w:r>
        <w:rPr>
          <w:rFonts w:ascii="Verdana" w:hAnsi="Verdana" w:cs="TimesNewRomanPSMT"/>
          <w:sz w:val="20"/>
          <w:szCs w:val="20"/>
        </w:rPr>
        <w:t>Ефикасност (доколко принципите са залегнали в различните фази на проектите и програмата – подготовка, изпълнение и докладване) и ефективност (доколко прилагането на принципите води до добавена стойност от изпълнението на мерките) на прилагането на хоризонталните принципи;</w:t>
      </w:r>
    </w:p>
    <w:p w:rsidR="004C272D" w:rsidRPr="00AF574B" w:rsidRDefault="004C272D" w:rsidP="006861B0">
      <w:pPr>
        <w:pStyle w:val="BodyText"/>
        <w:widowControl w:val="0"/>
        <w:numPr>
          <w:ilvl w:val="0"/>
          <w:numId w:val="62"/>
        </w:numPr>
        <w:tabs>
          <w:tab w:val="left" w:pos="0"/>
          <w:tab w:val="right" w:pos="9214"/>
        </w:tabs>
        <w:spacing w:before="120" w:after="0" w:line="276" w:lineRule="auto"/>
        <w:jc w:val="both"/>
        <w:rPr>
          <w:rFonts w:ascii="Verdana" w:hAnsi="Verdana"/>
          <w:bCs/>
          <w:color w:val="000000"/>
          <w:sz w:val="20"/>
          <w:szCs w:val="20"/>
        </w:rPr>
      </w:pPr>
      <w:r w:rsidRPr="00AF574B">
        <w:rPr>
          <w:rFonts w:ascii="Verdana" w:hAnsi="Verdana" w:cs="TimesNewRomanPSMT"/>
          <w:sz w:val="20"/>
          <w:szCs w:val="20"/>
        </w:rPr>
        <w:t>Ефективност на постигане на заложените междинни цели и оценка на вероятността на постигане на заложените крайни цели.</w:t>
      </w:r>
    </w:p>
    <w:p w:rsidR="004C272D" w:rsidRDefault="004C272D" w:rsidP="004C272D">
      <w:pPr>
        <w:pStyle w:val="BodyText"/>
        <w:widowControl w:val="0"/>
        <w:tabs>
          <w:tab w:val="left" w:pos="0"/>
          <w:tab w:val="right" w:pos="9214"/>
        </w:tabs>
        <w:spacing w:before="120" w:after="0" w:line="276" w:lineRule="auto"/>
        <w:jc w:val="both"/>
        <w:rPr>
          <w:rFonts w:ascii="Verdana" w:hAnsi="Verdana"/>
          <w:bCs/>
          <w:color w:val="000000"/>
          <w:sz w:val="20"/>
          <w:szCs w:val="20"/>
        </w:rPr>
      </w:pPr>
      <w:r>
        <w:rPr>
          <w:rFonts w:ascii="Verdana" w:hAnsi="Verdana"/>
          <w:bCs/>
          <w:color w:val="000000"/>
          <w:sz w:val="20"/>
          <w:szCs w:val="20"/>
        </w:rPr>
        <w:t>Оценките в последните години от изпълнението на програмата трябва да са ориентирани към оценка на постигане на целите и очакваното въздействие с оглед не само на цялостна оценка на изпълнение на програмна, но и обобщаващи и тематични оценки, които могат да имат непосредствен принос за програмиране на следващата оперативна програма, защото именно това е периодът, в който започва работата по програмиране за следващия програмен период. Подходящи оценки са:</w:t>
      </w:r>
    </w:p>
    <w:p w:rsidR="004C272D" w:rsidRDefault="004C272D" w:rsidP="006861B0">
      <w:pPr>
        <w:pStyle w:val="BodyText"/>
        <w:widowControl w:val="0"/>
        <w:numPr>
          <w:ilvl w:val="0"/>
          <w:numId w:val="63"/>
        </w:numPr>
        <w:tabs>
          <w:tab w:val="left" w:pos="0"/>
          <w:tab w:val="right" w:pos="9214"/>
        </w:tabs>
        <w:spacing w:before="120" w:after="0" w:line="276" w:lineRule="auto"/>
        <w:jc w:val="both"/>
        <w:rPr>
          <w:rFonts w:ascii="Verdana" w:hAnsi="Verdana"/>
          <w:bCs/>
          <w:color w:val="000000"/>
          <w:sz w:val="20"/>
          <w:szCs w:val="20"/>
        </w:rPr>
      </w:pPr>
      <w:r>
        <w:rPr>
          <w:rFonts w:ascii="Verdana" w:hAnsi="Verdana"/>
          <w:bCs/>
          <w:color w:val="000000"/>
          <w:sz w:val="20"/>
          <w:szCs w:val="20"/>
        </w:rPr>
        <w:t>Принос на програмата за постигане на стратегически цели България 2020/Европа 2020.</w:t>
      </w:r>
    </w:p>
    <w:p w:rsidR="004C272D" w:rsidRDefault="004C272D" w:rsidP="006861B0">
      <w:pPr>
        <w:pStyle w:val="BodyText"/>
        <w:widowControl w:val="0"/>
        <w:numPr>
          <w:ilvl w:val="0"/>
          <w:numId w:val="63"/>
        </w:numPr>
        <w:tabs>
          <w:tab w:val="left" w:pos="0"/>
          <w:tab w:val="right" w:pos="9214"/>
        </w:tabs>
        <w:spacing w:before="120" w:after="0" w:line="276" w:lineRule="auto"/>
        <w:jc w:val="both"/>
        <w:rPr>
          <w:rFonts w:ascii="Verdana" w:hAnsi="Verdana"/>
          <w:bCs/>
          <w:color w:val="000000"/>
          <w:sz w:val="20"/>
          <w:szCs w:val="20"/>
        </w:rPr>
      </w:pPr>
      <w:r>
        <w:rPr>
          <w:rFonts w:ascii="Verdana" w:hAnsi="Verdana"/>
          <w:bCs/>
          <w:color w:val="000000"/>
          <w:sz w:val="20"/>
          <w:szCs w:val="20"/>
        </w:rPr>
        <w:t>Тематични оценки, които са от интерес за програмиране на следващата оперативна програма.</w:t>
      </w:r>
    </w:p>
    <w:p w:rsidR="004C272D" w:rsidRDefault="004C272D" w:rsidP="004C272D">
      <w:pPr>
        <w:pStyle w:val="BodyText"/>
        <w:widowControl w:val="0"/>
        <w:tabs>
          <w:tab w:val="left" w:pos="0"/>
          <w:tab w:val="right" w:pos="9214"/>
        </w:tabs>
        <w:spacing w:before="120" w:after="0" w:line="276" w:lineRule="auto"/>
        <w:jc w:val="both"/>
        <w:rPr>
          <w:rFonts w:ascii="Verdana" w:hAnsi="Verdana"/>
          <w:bCs/>
          <w:color w:val="000000"/>
          <w:sz w:val="20"/>
          <w:szCs w:val="20"/>
        </w:rPr>
      </w:pPr>
      <w:r>
        <w:rPr>
          <w:rFonts w:ascii="Verdana" w:hAnsi="Verdana"/>
          <w:bCs/>
          <w:color w:val="000000"/>
          <w:sz w:val="20"/>
          <w:szCs w:val="20"/>
        </w:rPr>
        <w:t xml:space="preserve">Обхватът на плана за оценка трябва да бъде съобразен с възможностите на УО ефективно да управлява и използва резултатите от оценките, както и с необходимостта ефикасно да се използват средствата, като не се получи застъпване на теми и оценки. За по-голяма гъвкавост на плана е добре да бъде предвидена възможност и ресурс за осъществяване на </w:t>
      </w:r>
      <w:proofErr w:type="spellStart"/>
      <w:r>
        <w:rPr>
          <w:rFonts w:ascii="Verdana" w:hAnsi="Verdana"/>
          <w:bCs/>
          <w:color w:val="000000"/>
          <w:sz w:val="20"/>
          <w:szCs w:val="20"/>
        </w:rPr>
        <w:t>непланирани</w:t>
      </w:r>
      <w:proofErr w:type="spellEnd"/>
      <w:r>
        <w:rPr>
          <w:rFonts w:ascii="Verdana" w:hAnsi="Verdana"/>
          <w:bCs/>
          <w:color w:val="000000"/>
          <w:sz w:val="20"/>
          <w:szCs w:val="20"/>
        </w:rPr>
        <w:t xml:space="preserve"> (непредвидени) оценки, в случай например от специфична нужда от информация с цел вземане на управленски решения и на нужда от промяна на оперативната програма.</w:t>
      </w:r>
    </w:p>
    <w:p w:rsidR="004C272D" w:rsidRDefault="004C272D" w:rsidP="004C272D">
      <w:pPr>
        <w:pStyle w:val="BodyText"/>
        <w:widowControl w:val="0"/>
        <w:tabs>
          <w:tab w:val="left" w:pos="0"/>
          <w:tab w:val="right" w:pos="9214"/>
        </w:tabs>
        <w:spacing w:before="120" w:after="0" w:line="276" w:lineRule="auto"/>
        <w:jc w:val="both"/>
        <w:rPr>
          <w:rFonts w:ascii="Verdana" w:hAnsi="Verdana" w:cs="TimesNewRomanPSMT"/>
          <w:sz w:val="20"/>
          <w:szCs w:val="20"/>
        </w:rPr>
      </w:pPr>
      <w:r w:rsidRPr="00D13073">
        <w:rPr>
          <w:rFonts w:ascii="Verdana" w:hAnsi="Verdana"/>
          <w:bCs/>
          <w:color w:val="365F91" w:themeColor="accent1" w:themeShade="BF"/>
          <w:sz w:val="20"/>
          <w:szCs w:val="20"/>
        </w:rPr>
        <w:t xml:space="preserve">По отношение на </w:t>
      </w:r>
      <w:r>
        <w:rPr>
          <w:rFonts w:ascii="Verdana" w:hAnsi="Verdana" w:cs="TimesNewRomanPSMT"/>
          <w:color w:val="365F91" w:themeColor="accent1" w:themeShade="BF"/>
          <w:sz w:val="20"/>
          <w:szCs w:val="20"/>
        </w:rPr>
        <w:t>м</w:t>
      </w:r>
      <w:r w:rsidRPr="00D13073">
        <w:rPr>
          <w:rFonts w:ascii="Verdana" w:hAnsi="Verdana" w:cs="TimesNewRomanPSMT"/>
          <w:color w:val="365F91" w:themeColor="accent1" w:themeShade="BF"/>
          <w:sz w:val="20"/>
          <w:szCs w:val="20"/>
        </w:rPr>
        <w:t>етоди, които ще бъдат използвани за всяка оценка и нуждите от данни за осъществяването им</w:t>
      </w:r>
    </w:p>
    <w:p w:rsidR="004C272D" w:rsidRDefault="004C272D" w:rsidP="004C272D">
      <w:pPr>
        <w:pStyle w:val="BodyText"/>
        <w:widowControl w:val="0"/>
        <w:tabs>
          <w:tab w:val="left" w:pos="0"/>
          <w:tab w:val="right" w:pos="9214"/>
        </w:tabs>
        <w:spacing w:before="120" w:after="0" w:line="276" w:lineRule="auto"/>
        <w:jc w:val="both"/>
        <w:rPr>
          <w:rFonts w:ascii="Verdana" w:hAnsi="Verdana" w:cs="TimesNewRomanPSMT"/>
          <w:sz w:val="20"/>
          <w:szCs w:val="20"/>
        </w:rPr>
      </w:pPr>
      <w:r>
        <w:rPr>
          <w:rFonts w:ascii="Verdana" w:hAnsi="Verdana" w:cs="TimesNewRomanPSMT"/>
          <w:sz w:val="20"/>
          <w:szCs w:val="20"/>
        </w:rPr>
        <w:t xml:space="preserve">Методите за осъществяване на оценките ще зависят от вида и целта на оценките, както и от данните, с които се разполага или се предвижда да се разполага. Насоките на ЕК за осъществяване на оценки </w:t>
      </w:r>
      <w:r>
        <w:rPr>
          <w:rFonts w:ascii="Verdana" w:hAnsi="Verdana" w:cs="TimesNewRomanPSMT"/>
          <w:sz w:val="20"/>
          <w:szCs w:val="20"/>
          <w:lang w:val="en-US"/>
        </w:rPr>
        <w:t>EVALSED</w:t>
      </w:r>
      <w:r>
        <w:rPr>
          <w:rStyle w:val="FootnoteReference"/>
          <w:rFonts w:ascii="Verdana" w:hAnsi="Verdana" w:cs="TimesNewRomanPSMT"/>
          <w:sz w:val="20"/>
          <w:szCs w:val="20"/>
          <w:lang w:val="en-US"/>
        </w:rPr>
        <w:footnoteReference w:id="18"/>
      </w:r>
      <w:r>
        <w:rPr>
          <w:rFonts w:ascii="Verdana" w:hAnsi="Verdana" w:cs="TimesNewRomanPSMT"/>
          <w:sz w:val="20"/>
          <w:szCs w:val="20"/>
        </w:rPr>
        <w:t>съдържат подробни указания за методите за оценка и техното използване, включително подбора на методи и техники за оценка.</w:t>
      </w:r>
    </w:p>
    <w:p w:rsidR="004C272D" w:rsidRDefault="004C272D" w:rsidP="004C272D">
      <w:pPr>
        <w:pStyle w:val="BodyText"/>
        <w:keepNext/>
        <w:tabs>
          <w:tab w:val="left" w:pos="0"/>
          <w:tab w:val="right" w:pos="9214"/>
        </w:tabs>
        <w:spacing w:before="120" w:after="0" w:line="276" w:lineRule="auto"/>
        <w:jc w:val="both"/>
        <w:rPr>
          <w:rFonts w:ascii="Verdana" w:hAnsi="Verdana"/>
          <w:bCs/>
          <w:color w:val="365F91" w:themeColor="accent1" w:themeShade="BF"/>
          <w:sz w:val="20"/>
          <w:szCs w:val="20"/>
        </w:rPr>
      </w:pPr>
      <w:r>
        <w:rPr>
          <w:rFonts w:ascii="Verdana" w:hAnsi="Verdana"/>
          <w:bCs/>
          <w:color w:val="365F91" w:themeColor="accent1" w:themeShade="BF"/>
          <w:sz w:val="20"/>
          <w:szCs w:val="20"/>
        </w:rPr>
        <w:t>По отношение на п</w:t>
      </w:r>
      <w:r w:rsidRPr="00D13073">
        <w:rPr>
          <w:rFonts w:ascii="Verdana" w:hAnsi="Verdana"/>
          <w:bCs/>
          <w:color w:val="365F91" w:themeColor="accent1" w:themeShade="BF"/>
          <w:sz w:val="20"/>
          <w:szCs w:val="20"/>
        </w:rPr>
        <w:t>редвиждания, как необходимите данни ще бъдат осигурени или ще бъдат набавени</w:t>
      </w:r>
      <w:r>
        <w:rPr>
          <w:rFonts w:ascii="Verdana" w:hAnsi="Verdana"/>
          <w:bCs/>
          <w:color w:val="365F91" w:themeColor="accent1" w:themeShade="BF"/>
          <w:sz w:val="20"/>
          <w:szCs w:val="20"/>
        </w:rPr>
        <w:t>;</w:t>
      </w:r>
    </w:p>
    <w:p w:rsidR="004C272D" w:rsidRDefault="004C272D" w:rsidP="004C272D">
      <w:pPr>
        <w:pStyle w:val="BodyText"/>
        <w:widowControl w:val="0"/>
        <w:tabs>
          <w:tab w:val="left" w:pos="0"/>
          <w:tab w:val="right" w:pos="9214"/>
        </w:tabs>
        <w:spacing w:before="120" w:after="0" w:line="276" w:lineRule="auto"/>
        <w:jc w:val="both"/>
        <w:rPr>
          <w:rFonts w:ascii="Verdana" w:hAnsi="Verdana" w:cs="TimesNewRomanPSMT"/>
          <w:sz w:val="20"/>
          <w:szCs w:val="20"/>
        </w:rPr>
      </w:pPr>
      <w:r>
        <w:rPr>
          <w:rFonts w:ascii="Verdana" w:hAnsi="Verdana" w:cs="TimesNewRomanPSMT"/>
          <w:sz w:val="20"/>
          <w:szCs w:val="20"/>
        </w:rPr>
        <w:t xml:space="preserve">За всяка оценка в зависимост от нейния вид и тема трябва да бъдат описани </w:t>
      </w:r>
      <w:r>
        <w:rPr>
          <w:rFonts w:ascii="Verdana" w:hAnsi="Verdana" w:cs="TimesNewRomanPSMT"/>
          <w:sz w:val="20"/>
          <w:szCs w:val="20"/>
        </w:rPr>
        <w:lastRenderedPageBreak/>
        <w:t xml:space="preserve">основните данни, необходими за нейното осъществяване, източника на данни, както и дали се предполага, че те ще бъдат налични от </w:t>
      </w:r>
      <w:proofErr w:type="spellStart"/>
      <w:r>
        <w:rPr>
          <w:rFonts w:ascii="Verdana" w:hAnsi="Verdana" w:cs="TimesNewRomanPSMT"/>
          <w:sz w:val="20"/>
          <w:szCs w:val="20"/>
        </w:rPr>
        <w:t>мониторинговата</w:t>
      </w:r>
      <w:proofErr w:type="spellEnd"/>
      <w:r>
        <w:rPr>
          <w:rFonts w:ascii="Verdana" w:hAnsi="Verdana" w:cs="TimesNewRomanPSMT"/>
          <w:sz w:val="20"/>
          <w:szCs w:val="20"/>
        </w:rPr>
        <w:t xml:space="preserve"> система на програмата или от други източници или дали е необходимо допълнителното им набавяне. Ако е в сила последното, трябва да бъде описано дали се очаква данните да бъдат набавени в процеса на оценка от оценителите, тъй като това ще се отрази на времетраенето за провеждане на оценката и нейния бюджет. </w:t>
      </w:r>
    </w:p>
    <w:p w:rsidR="004C272D" w:rsidRDefault="004C272D" w:rsidP="004C272D">
      <w:pPr>
        <w:pStyle w:val="BodyText"/>
        <w:widowControl w:val="0"/>
        <w:tabs>
          <w:tab w:val="left" w:pos="0"/>
          <w:tab w:val="right" w:pos="9214"/>
        </w:tabs>
        <w:spacing w:before="120" w:after="0" w:line="276" w:lineRule="auto"/>
        <w:jc w:val="both"/>
        <w:rPr>
          <w:rFonts w:ascii="Verdana" w:hAnsi="Verdana"/>
          <w:bCs/>
          <w:color w:val="365F91" w:themeColor="accent1" w:themeShade="BF"/>
          <w:sz w:val="20"/>
          <w:szCs w:val="20"/>
        </w:rPr>
      </w:pPr>
      <w:r>
        <w:rPr>
          <w:rFonts w:ascii="Verdana" w:hAnsi="Verdana"/>
          <w:bCs/>
          <w:color w:val="365F91" w:themeColor="accent1" w:themeShade="BF"/>
          <w:sz w:val="20"/>
          <w:szCs w:val="20"/>
        </w:rPr>
        <w:t>По отношение на с</w:t>
      </w:r>
      <w:r w:rsidRPr="00D13073">
        <w:rPr>
          <w:rFonts w:ascii="Verdana" w:hAnsi="Verdana"/>
          <w:bCs/>
          <w:color w:val="365F91" w:themeColor="accent1" w:themeShade="BF"/>
          <w:sz w:val="20"/>
          <w:szCs w:val="20"/>
        </w:rPr>
        <w:t>тратегия за осигуряване използването на резултатите от оценките и публичност на оценките</w:t>
      </w:r>
    </w:p>
    <w:p w:rsidR="004C272D" w:rsidRDefault="004C272D" w:rsidP="004C272D">
      <w:pPr>
        <w:pStyle w:val="BodyText"/>
        <w:widowControl w:val="0"/>
        <w:tabs>
          <w:tab w:val="left" w:pos="0"/>
          <w:tab w:val="right" w:pos="9214"/>
        </w:tabs>
        <w:spacing w:before="120" w:after="0" w:line="276" w:lineRule="auto"/>
        <w:jc w:val="both"/>
        <w:rPr>
          <w:rFonts w:ascii="Verdana" w:hAnsi="Verdana" w:cs="TimesNewRomanPSMT"/>
          <w:sz w:val="20"/>
          <w:szCs w:val="20"/>
        </w:rPr>
      </w:pPr>
      <w:r>
        <w:rPr>
          <w:rFonts w:ascii="Verdana" w:hAnsi="Verdana" w:cs="TimesNewRomanPSMT"/>
          <w:sz w:val="20"/>
          <w:szCs w:val="20"/>
        </w:rPr>
        <w:t>Съгласно чл. 54 (</w:t>
      </w:r>
      <w:r w:rsidRPr="00D22D69">
        <w:rPr>
          <w:rFonts w:ascii="Verdana" w:hAnsi="Verdana" w:cs="TimesNewRomanPSMT"/>
          <w:sz w:val="20"/>
          <w:szCs w:val="20"/>
        </w:rPr>
        <w:t>4</w:t>
      </w:r>
      <w:r>
        <w:rPr>
          <w:rFonts w:ascii="Verdana" w:hAnsi="Verdana" w:cs="TimesNewRomanPSMT"/>
          <w:sz w:val="20"/>
          <w:szCs w:val="20"/>
        </w:rPr>
        <w:t>) на Регламент 1303/2013 всички оценки трябва да бъдат обществено достояние. Това предполага публикуване на оценките на интернет страницата на програмата.</w:t>
      </w:r>
    </w:p>
    <w:p w:rsidR="004C272D" w:rsidRDefault="004C272D" w:rsidP="004C272D">
      <w:pPr>
        <w:pStyle w:val="BodyText"/>
        <w:widowControl w:val="0"/>
        <w:tabs>
          <w:tab w:val="left" w:pos="0"/>
          <w:tab w:val="right" w:pos="9214"/>
        </w:tabs>
        <w:spacing w:before="120" w:after="0" w:line="276" w:lineRule="auto"/>
        <w:jc w:val="both"/>
        <w:rPr>
          <w:rFonts w:ascii="Verdana" w:hAnsi="Verdana" w:cs="TimesNewRomanPSMT"/>
          <w:sz w:val="20"/>
          <w:szCs w:val="20"/>
        </w:rPr>
      </w:pPr>
      <w:r>
        <w:rPr>
          <w:rFonts w:ascii="Verdana" w:hAnsi="Verdana" w:cs="TimesNewRomanPSMT"/>
          <w:sz w:val="20"/>
          <w:szCs w:val="20"/>
        </w:rPr>
        <w:t>По отношение на стратегията за използване на резултатите от оценките трябва да бъде описано как препоръките от оценките ще бъдат обсъждани, приемани и тяхното изпълнение наблюдавано, докладвано и отчитано.</w:t>
      </w:r>
    </w:p>
    <w:p w:rsidR="004C272D" w:rsidRDefault="004C272D" w:rsidP="004C272D">
      <w:pPr>
        <w:pStyle w:val="BodyText"/>
        <w:widowControl w:val="0"/>
        <w:tabs>
          <w:tab w:val="left" w:pos="0"/>
          <w:tab w:val="right" w:pos="9214"/>
        </w:tabs>
        <w:spacing w:before="120" w:after="0" w:line="276" w:lineRule="auto"/>
        <w:jc w:val="both"/>
        <w:rPr>
          <w:rFonts w:ascii="Verdana" w:hAnsi="Verdana" w:cs="TimesNewRomanPSMT"/>
          <w:sz w:val="20"/>
          <w:szCs w:val="20"/>
        </w:rPr>
      </w:pPr>
      <w:r>
        <w:rPr>
          <w:rFonts w:ascii="Verdana" w:hAnsi="Verdana" w:cs="TimesNewRomanPSMT"/>
          <w:sz w:val="20"/>
          <w:szCs w:val="20"/>
        </w:rPr>
        <w:t>Също така трябва да се отбележи как резултатите от оценките ще стигат до заинтересованите страни и как възможни действия ще бъдат обсъждани с тях.</w:t>
      </w:r>
    </w:p>
    <w:p w:rsidR="004C272D" w:rsidRDefault="004C272D" w:rsidP="004C272D">
      <w:pPr>
        <w:pStyle w:val="BodyText"/>
        <w:widowControl w:val="0"/>
        <w:tabs>
          <w:tab w:val="left" w:pos="0"/>
          <w:tab w:val="right" w:pos="9214"/>
        </w:tabs>
        <w:spacing w:before="120" w:after="0" w:line="276" w:lineRule="auto"/>
        <w:jc w:val="both"/>
        <w:rPr>
          <w:rFonts w:ascii="Verdana" w:hAnsi="Verdana"/>
          <w:bCs/>
          <w:color w:val="365F91" w:themeColor="accent1" w:themeShade="BF"/>
          <w:sz w:val="20"/>
          <w:szCs w:val="20"/>
        </w:rPr>
      </w:pPr>
      <w:r>
        <w:rPr>
          <w:rFonts w:ascii="Verdana" w:hAnsi="Verdana"/>
          <w:bCs/>
          <w:color w:val="365F91" w:themeColor="accent1" w:themeShade="BF"/>
          <w:sz w:val="20"/>
          <w:szCs w:val="20"/>
        </w:rPr>
        <w:t>По отношение на н</w:t>
      </w:r>
      <w:r w:rsidRPr="00D13073">
        <w:rPr>
          <w:rFonts w:ascii="Verdana" w:hAnsi="Verdana"/>
          <w:bCs/>
          <w:color w:val="365F91" w:themeColor="accent1" w:themeShade="BF"/>
          <w:sz w:val="20"/>
          <w:szCs w:val="20"/>
        </w:rPr>
        <w:t>еобходимостта от човешки ресурси</w:t>
      </w:r>
      <w:r>
        <w:rPr>
          <w:rFonts w:ascii="Verdana" w:hAnsi="Verdana"/>
          <w:bCs/>
          <w:color w:val="365F91" w:themeColor="accent1" w:themeShade="BF"/>
          <w:sz w:val="20"/>
          <w:szCs w:val="20"/>
        </w:rPr>
        <w:t>;</w:t>
      </w:r>
    </w:p>
    <w:p w:rsidR="004C272D" w:rsidRPr="00BD153E" w:rsidRDefault="004C272D" w:rsidP="004C272D">
      <w:pPr>
        <w:pStyle w:val="BodyText"/>
        <w:widowControl w:val="0"/>
        <w:tabs>
          <w:tab w:val="left" w:pos="0"/>
          <w:tab w:val="right" w:pos="9214"/>
        </w:tabs>
        <w:spacing w:before="120" w:after="0" w:line="276" w:lineRule="auto"/>
        <w:jc w:val="both"/>
        <w:rPr>
          <w:rFonts w:ascii="Verdana" w:hAnsi="Verdana" w:cs="TimesNewRomanPSMT"/>
          <w:sz w:val="20"/>
          <w:szCs w:val="20"/>
        </w:rPr>
      </w:pPr>
      <w:r>
        <w:rPr>
          <w:rFonts w:ascii="Verdana" w:hAnsi="Verdana" w:cs="TimesNewRomanPSMT"/>
          <w:sz w:val="20"/>
          <w:szCs w:val="20"/>
        </w:rPr>
        <w:t xml:space="preserve">Важно е да се определят отговорностите и дали се предвижда създаването на специфична работна/координационна група (за всяка оценка). </w:t>
      </w:r>
    </w:p>
    <w:p w:rsidR="004C272D" w:rsidRDefault="004C272D" w:rsidP="004C272D">
      <w:pPr>
        <w:pStyle w:val="BodyText"/>
        <w:widowControl w:val="0"/>
        <w:tabs>
          <w:tab w:val="left" w:pos="0"/>
          <w:tab w:val="right" w:pos="9214"/>
        </w:tabs>
        <w:spacing w:before="120" w:after="0" w:line="276" w:lineRule="auto"/>
        <w:jc w:val="both"/>
        <w:rPr>
          <w:rFonts w:ascii="Verdana" w:hAnsi="Verdana"/>
          <w:bCs/>
          <w:color w:val="365F91" w:themeColor="accent1" w:themeShade="BF"/>
          <w:sz w:val="20"/>
          <w:szCs w:val="20"/>
        </w:rPr>
      </w:pPr>
      <w:r>
        <w:rPr>
          <w:rFonts w:ascii="Verdana" w:hAnsi="Verdana"/>
          <w:bCs/>
          <w:color w:val="365F91" w:themeColor="accent1" w:themeShade="BF"/>
          <w:sz w:val="20"/>
          <w:szCs w:val="20"/>
        </w:rPr>
        <w:t>По отношение на и</w:t>
      </w:r>
      <w:r w:rsidRPr="00D13073">
        <w:rPr>
          <w:rFonts w:ascii="Verdana" w:hAnsi="Verdana"/>
          <w:bCs/>
          <w:color w:val="365F91" w:themeColor="accent1" w:themeShade="BF"/>
          <w:sz w:val="20"/>
          <w:szCs w:val="20"/>
        </w:rPr>
        <w:t>ндик</w:t>
      </w:r>
      <w:r>
        <w:rPr>
          <w:rFonts w:ascii="Verdana" w:hAnsi="Verdana"/>
          <w:bCs/>
          <w:color w:val="365F91" w:themeColor="accent1" w:themeShade="BF"/>
          <w:sz w:val="20"/>
          <w:szCs w:val="20"/>
        </w:rPr>
        <w:t>ативен бюджет;</w:t>
      </w:r>
    </w:p>
    <w:p w:rsidR="004C272D" w:rsidRPr="00BD153E" w:rsidRDefault="004C272D" w:rsidP="004C272D">
      <w:pPr>
        <w:pStyle w:val="BodyText"/>
        <w:widowControl w:val="0"/>
        <w:tabs>
          <w:tab w:val="left" w:pos="0"/>
          <w:tab w:val="right" w:pos="9214"/>
        </w:tabs>
        <w:spacing w:before="120" w:after="0" w:line="276" w:lineRule="auto"/>
        <w:jc w:val="both"/>
        <w:rPr>
          <w:rFonts w:ascii="Verdana" w:hAnsi="Verdana" w:cs="TimesNewRomanPSMT"/>
          <w:sz w:val="20"/>
          <w:szCs w:val="20"/>
        </w:rPr>
      </w:pPr>
      <w:r>
        <w:rPr>
          <w:rFonts w:ascii="Verdana" w:hAnsi="Verdana" w:cs="TimesNewRomanPSMT"/>
          <w:sz w:val="20"/>
          <w:szCs w:val="20"/>
        </w:rPr>
        <w:t>Препоръчително е залагането на</w:t>
      </w:r>
      <w:r w:rsidRPr="00BD153E">
        <w:rPr>
          <w:rFonts w:ascii="Verdana" w:hAnsi="Verdana" w:cs="TimesNewRomanPSMT"/>
          <w:sz w:val="20"/>
          <w:szCs w:val="20"/>
        </w:rPr>
        <w:t xml:space="preserve"> индикативен бюджет за всяка оценка</w:t>
      </w:r>
      <w:r>
        <w:rPr>
          <w:rFonts w:ascii="Verdana" w:hAnsi="Verdana" w:cs="TimesNewRomanPSMT"/>
          <w:sz w:val="20"/>
          <w:szCs w:val="20"/>
        </w:rPr>
        <w:t>, на базата на предвижданото времетраене, методи за осъществяване на оценката и предвиждано или не набиране на допълнителни данни към наличните, защото по този начин е възможно по-прецизно планиране. В същото време може да се задели и известен резерв или бюджет за непредвидени оценки, който ако не се използва да бъде пренасочен към други дейности в обхвата на приоритетната ос за техническа помощ.</w:t>
      </w:r>
    </w:p>
    <w:p w:rsidR="004C272D" w:rsidRDefault="004C272D" w:rsidP="004C272D">
      <w:pPr>
        <w:pStyle w:val="BodyText"/>
        <w:widowControl w:val="0"/>
        <w:tabs>
          <w:tab w:val="left" w:pos="0"/>
          <w:tab w:val="right" w:pos="9214"/>
        </w:tabs>
        <w:spacing w:before="120" w:after="0" w:line="276" w:lineRule="auto"/>
        <w:jc w:val="both"/>
        <w:rPr>
          <w:rFonts w:ascii="Verdana" w:hAnsi="Verdana"/>
          <w:bCs/>
          <w:color w:val="365F91" w:themeColor="accent1" w:themeShade="BF"/>
          <w:sz w:val="20"/>
          <w:szCs w:val="20"/>
        </w:rPr>
      </w:pPr>
      <w:r>
        <w:rPr>
          <w:rFonts w:ascii="Verdana" w:hAnsi="Verdana"/>
          <w:bCs/>
          <w:color w:val="365F91" w:themeColor="accent1" w:themeShade="BF"/>
          <w:sz w:val="20"/>
          <w:szCs w:val="20"/>
        </w:rPr>
        <w:t xml:space="preserve">По отношение на </w:t>
      </w:r>
      <w:r w:rsidRPr="00D13073">
        <w:rPr>
          <w:rFonts w:ascii="Verdana" w:hAnsi="Verdana"/>
          <w:bCs/>
          <w:color w:val="365F91" w:themeColor="accent1" w:themeShade="BF"/>
          <w:sz w:val="20"/>
          <w:szCs w:val="20"/>
        </w:rPr>
        <w:t>„План за обучение“ (възможност)</w:t>
      </w:r>
      <w:r>
        <w:rPr>
          <w:rFonts w:ascii="Verdana" w:hAnsi="Verdana"/>
          <w:bCs/>
          <w:color w:val="365F91" w:themeColor="accent1" w:themeShade="BF"/>
          <w:sz w:val="20"/>
          <w:szCs w:val="20"/>
        </w:rPr>
        <w:t>;</w:t>
      </w:r>
    </w:p>
    <w:p w:rsidR="004C272D" w:rsidRPr="00B014C4" w:rsidRDefault="004C272D" w:rsidP="004C272D">
      <w:pPr>
        <w:pStyle w:val="BodyText"/>
        <w:widowControl w:val="0"/>
        <w:tabs>
          <w:tab w:val="left" w:pos="0"/>
          <w:tab w:val="right" w:pos="9214"/>
        </w:tabs>
        <w:spacing w:before="120" w:after="0" w:line="276" w:lineRule="auto"/>
        <w:jc w:val="both"/>
        <w:rPr>
          <w:rFonts w:ascii="Verdana" w:hAnsi="Verdana" w:cs="TimesNewRomanPSMT"/>
          <w:sz w:val="20"/>
          <w:szCs w:val="20"/>
        </w:rPr>
      </w:pPr>
      <w:r w:rsidRPr="00B014C4">
        <w:rPr>
          <w:rFonts w:ascii="Verdana" w:hAnsi="Verdana" w:cs="TimesNewRomanPSMT"/>
          <w:sz w:val="20"/>
          <w:szCs w:val="20"/>
        </w:rPr>
        <w:t>В зависимост от нуждите</w:t>
      </w:r>
      <w:r>
        <w:rPr>
          <w:rFonts w:ascii="Verdana" w:hAnsi="Verdana" w:cs="TimesNewRomanPSMT"/>
          <w:sz w:val="20"/>
          <w:szCs w:val="20"/>
        </w:rPr>
        <w:t>,</w:t>
      </w:r>
      <w:r w:rsidR="003220D9">
        <w:rPr>
          <w:rFonts w:ascii="Verdana" w:hAnsi="Verdana" w:cs="TimesNewRomanPSMT"/>
          <w:sz w:val="20"/>
          <w:szCs w:val="20"/>
        </w:rPr>
        <w:t xml:space="preserve"> </w:t>
      </w:r>
      <w:r>
        <w:rPr>
          <w:rFonts w:ascii="Verdana" w:hAnsi="Verdana" w:cs="TimesNewRomanPSMT"/>
          <w:sz w:val="20"/>
          <w:szCs w:val="20"/>
        </w:rPr>
        <w:t>може да се предвиди обучение на човешките ресурси отговарящи за планиране/изпълнение/управление на оценките. Тъй както ОПНОИР е нова програма тази възможност трябва да се разглежда в светлината на дейностите за повишаване на капацитета на служителите на УО. Част от това обучение може да бъде вменено и на изпълнителите на оценки.</w:t>
      </w:r>
    </w:p>
    <w:p w:rsidR="008B0BFF" w:rsidRPr="00632267" w:rsidRDefault="0015412F" w:rsidP="00632267">
      <w:pPr>
        <w:widowControl w:val="0"/>
        <w:tabs>
          <w:tab w:val="left" w:pos="1276"/>
        </w:tabs>
        <w:overflowPunct w:val="0"/>
        <w:autoSpaceDE w:val="0"/>
        <w:autoSpaceDN w:val="0"/>
        <w:adjustRightInd w:val="0"/>
        <w:spacing w:before="360" w:after="120"/>
        <w:jc w:val="both"/>
        <w:textAlignment w:val="baseline"/>
        <w:outlineLvl w:val="2"/>
        <w:rPr>
          <w:rFonts w:ascii="Verdana" w:eastAsia="Times New Roman" w:hAnsi="Verdana" w:cs="Calibri"/>
          <w:b/>
          <w:color w:val="365F91"/>
          <w:lang w:val="bg-BG" w:eastAsia="cs-CZ"/>
        </w:rPr>
      </w:pPr>
      <w:bookmarkStart w:id="172" w:name="_Toc395612527"/>
      <w:r w:rsidRPr="00632267">
        <w:rPr>
          <w:rFonts w:ascii="Verdana" w:eastAsia="Times New Roman" w:hAnsi="Verdana" w:cs="Calibri"/>
          <w:b/>
          <w:color w:val="365F91"/>
          <w:lang w:val="bg-BG" w:eastAsia="cs-CZ"/>
        </w:rPr>
        <w:t>Изводи и препоръки</w:t>
      </w:r>
      <w:bookmarkEnd w:id="172"/>
    </w:p>
    <w:bookmarkEnd w:id="150"/>
    <w:p w:rsidR="006861B0" w:rsidRDefault="006861B0" w:rsidP="006861B0">
      <w:pPr>
        <w:spacing w:before="120" w:after="120"/>
        <w:rPr>
          <w:rFonts w:ascii="Verdana" w:hAnsi="Verdana"/>
          <w:sz w:val="20"/>
          <w:szCs w:val="20"/>
          <w:lang w:val="bg-BG"/>
        </w:rPr>
      </w:pPr>
      <w:r>
        <w:rPr>
          <w:rFonts w:ascii="Verdana" w:hAnsi="Verdana"/>
          <w:sz w:val="20"/>
          <w:szCs w:val="20"/>
          <w:lang w:val="bg-BG"/>
        </w:rPr>
        <w:t>Направените изводи и препоръки не касаят текстове на доклада, а изпълнението и управлението на програмата. Отправени са препоръки за:</w:t>
      </w:r>
    </w:p>
    <w:p w:rsidR="002966E4" w:rsidRDefault="002966E4" w:rsidP="002966E4">
      <w:pPr>
        <w:pStyle w:val="ListParagraph"/>
        <w:numPr>
          <w:ilvl w:val="0"/>
          <w:numId w:val="68"/>
        </w:numPr>
        <w:jc w:val="both"/>
        <w:rPr>
          <w:rFonts w:ascii="Verdana" w:hAnsi="Verdana"/>
          <w:sz w:val="20"/>
          <w:szCs w:val="20"/>
          <w:lang w:val="bg-BG"/>
        </w:rPr>
      </w:pPr>
      <w:r w:rsidRPr="00355798">
        <w:rPr>
          <w:rFonts w:ascii="Verdana" w:hAnsi="Verdana"/>
          <w:sz w:val="20"/>
          <w:szCs w:val="20"/>
          <w:lang w:val="bg-BG"/>
        </w:rPr>
        <w:t>Отделът по управление на риска и контрол, който включва и служителят по нередности да бъдат на директно подчинение на главния директор на ГДСФМОП, а не на заместник-директор.</w:t>
      </w:r>
    </w:p>
    <w:p w:rsidR="002966E4" w:rsidRPr="00355798" w:rsidRDefault="002966E4" w:rsidP="002966E4">
      <w:pPr>
        <w:pStyle w:val="ListParagraph"/>
        <w:numPr>
          <w:ilvl w:val="0"/>
          <w:numId w:val="68"/>
        </w:numPr>
        <w:jc w:val="both"/>
        <w:rPr>
          <w:rFonts w:ascii="Verdana" w:hAnsi="Verdana"/>
          <w:sz w:val="20"/>
          <w:szCs w:val="20"/>
          <w:lang w:val="bg-BG"/>
        </w:rPr>
      </w:pPr>
      <w:r w:rsidRPr="00261140">
        <w:rPr>
          <w:rFonts w:ascii="Verdana" w:hAnsi="Verdana"/>
          <w:sz w:val="20"/>
          <w:szCs w:val="20"/>
          <w:lang w:val="bg-BG"/>
        </w:rPr>
        <w:lastRenderedPageBreak/>
        <w:t xml:space="preserve">Осигуряване на адекватни ресурси спрямо отговорностите на отдели „Програмиране и договаряне“, „Финансово планиране, счетоводна отчетност и плащания“ и „Управление на риска и контрол“. </w:t>
      </w:r>
    </w:p>
    <w:p w:rsidR="002966E4" w:rsidRPr="00355798" w:rsidRDefault="002966E4" w:rsidP="002966E4">
      <w:pPr>
        <w:pStyle w:val="ListParagraph"/>
        <w:numPr>
          <w:ilvl w:val="0"/>
          <w:numId w:val="68"/>
        </w:numPr>
        <w:jc w:val="both"/>
        <w:rPr>
          <w:rFonts w:ascii="Verdana" w:hAnsi="Verdana"/>
          <w:sz w:val="20"/>
          <w:szCs w:val="20"/>
          <w:lang w:val="bg-BG"/>
        </w:rPr>
      </w:pPr>
      <w:r w:rsidRPr="00355798">
        <w:rPr>
          <w:rFonts w:ascii="Verdana" w:hAnsi="Verdana"/>
          <w:sz w:val="20"/>
          <w:szCs w:val="20"/>
          <w:lang w:val="bg-BG"/>
        </w:rPr>
        <w:t xml:space="preserve">Осигуряване на необходимите технически средства за управление и изпълнение на програмата. </w:t>
      </w:r>
    </w:p>
    <w:p w:rsidR="002966E4" w:rsidRPr="00355798" w:rsidRDefault="002966E4" w:rsidP="002966E4">
      <w:pPr>
        <w:pStyle w:val="ListParagraph"/>
        <w:numPr>
          <w:ilvl w:val="0"/>
          <w:numId w:val="68"/>
        </w:numPr>
        <w:jc w:val="both"/>
        <w:rPr>
          <w:rFonts w:ascii="Verdana" w:hAnsi="Verdana"/>
          <w:sz w:val="20"/>
          <w:szCs w:val="20"/>
          <w:lang w:val="bg-BG"/>
        </w:rPr>
      </w:pPr>
      <w:r w:rsidRPr="00355798">
        <w:rPr>
          <w:rFonts w:ascii="Verdana" w:hAnsi="Verdana"/>
          <w:sz w:val="20"/>
          <w:szCs w:val="20"/>
          <w:lang w:val="bg-BG"/>
        </w:rPr>
        <w:t>Възможно най-бързо стартиране на обучения свързани с новите отговорности като УО.</w:t>
      </w:r>
    </w:p>
    <w:p w:rsidR="002966E4" w:rsidRPr="00355798" w:rsidRDefault="002966E4" w:rsidP="002966E4">
      <w:pPr>
        <w:pStyle w:val="ListParagraph"/>
        <w:numPr>
          <w:ilvl w:val="0"/>
          <w:numId w:val="68"/>
        </w:numPr>
        <w:jc w:val="both"/>
        <w:rPr>
          <w:rFonts w:ascii="Verdana" w:hAnsi="Verdana"/>
          <w:sz w:val="20"/>
          <w:szCs w:val="20"/>
          <w:lang w:val="bg-BG"/>
        </w:rPr>
      </w:pPr>
      <w:r w:rsidRPr="00355798">
        <w:rPr>
          <w:rFonts w:ascii="Verdana" w:hAnsi="Verdana"/>
          <w:sz w:val="20"/>
          <w:szCs w:val="20"/>
          <w:lang w:val="bg-BG"/>
        </w:rPr>
        <w:t xml:space="preserve">Разработване на  </w:t>
      </w:r>
      <w:r w:rsidRPr="00261140">
        <w:rPr>
          <w:rFonts w:ascii="Verdana" w:hAnsi="Verdana"/>
          <w:sz w:val="20"/>
          <w:szCs w:val="20"/>
          <w:lang w:val="bg-BG"/>
        </w:rPr>
        <w:t>атрактивен пакет за стимулиране и възнаграждение на експертите</w:t>
      </w:r>
      <w:r w:rsidRPr="00355798">
        <w:rPr>
          <w:rFonts w:ascii="Verdana" w:hAnsi="Verdana"/>
          <w:sz w:val="20"/>
          <w:szCs w:val="20"/>
          <w:lang w:val="bg-BG"/>
        </w:rPr>
        <w:t xml:space="preserve"> с цел повишаване тяхната мотивация.</w:t>
      </w:r>
    </w:p>
    <w:p w:rsidR="002966E4" w:rsidRPr="00261140" w:rsidRDefault="002966E4" w:rsidP="002966E4">
      <w:pPr>
        <w:pStyle w:val="ListParagraph"/>
        <w:numPr>
          <w:ilvl w:val="0"/>
          <w:numId w:val="68"/>
        </w:numPr>
        <w:jc w:val="both"/>
        <w:rPr>
          <w:rFonts w:ascii="Verdana" w:hAnsi="Verdana"/>
          <w:sz w:val="20"/>
          <w:szCs w:val="20"/>
          <w:lang w:val="bg-BG"/>
        </w:rPr>
      </w:pPr>
      <w:r w:rsidRPr="00261140">
        <w:rPr>
          <w:rFonts w:ascii="Verdana" w:hAnsi="Verdana"/>
          <w:sz w:val="20"/>
          <w:szCs w:val="20"/>
          <w:lang w:val="bg-BG"/>
        </w:rPr>
        <w:t>Въвеждане на „контактна точка“ за бенефициенти в Наръчника за изпълнение на проекта, с ясно определени лица, отговорности  и срокове  за отговор на въпроси</w:t>
      </w:r>
      <w:r>
        <w:rPr>
          <w:rFonts w:ascii="Verdana" w:hAnsi="Verdana"/>
          <w:sz w:val="20"/>
          <w:szCs w:val="20"/>
          <w:lang w:val="bg-BG"/>
        </w:rPr>
        <w:t>.</w:t>
      </w:r>
    </w:p>
    <w:p w:rsidR="00492B37" w:rsidRPr="00B45B4F" w:rsidRDefault="00492B37" w:rsidP="009A4F67">
      <w:pPr>
        <w:spacing w:before="120" w:after="120"/>
        <w:jc w:val="both"/>
        <w:rPr>
          <w:rFonts w:ascii="Verdana" w:hAnsi="Verdana"/>
          <w:sz w:val="20"/>
          <w:szCs w:val="20"/>
          <w:lang w:val="bg-BG"/>
        </w:rPr>
      </w:pPr>
    </w:p>
    <w:p w:rsidR="00B67535" w:rsidRPr="00B45B4F" w:rsidRDefault="00B67535" w:rsidP="009C70C5">
      <w:pPr>
        <w:pStyle w:val="BodyText"/>
        <w:widowControl w:val="0"/>
        <w:tabs>
          <w:tab w:val="left" w:pos="0"/>
          <w:tab w:val="right" w:pos="9214"/>
        </w:tabs>
        <w:spacing w:before="120" w:after="0" w:line="276" w:lineRule="auto"/>
        <w:jc w:val="both"/>
        <w:rPr>
          <w:rFonts w:ascii="Verdana" w:hAnsi="Verdana"/>
          <w:bCs/>
          <w:color w:val="000000"/>
          <w:sz w:val="20"/>
          <w:szCs w:val="20"/>
        </w:rPr>
        <w:sectPr w:rsidR="00B67535" w:rsidRPr="00B45B4F" w:rsidSect="00957212">
          <w:headerReference w:type="default" r:id="rId62"/>
          <w:footerReference w:type="default" r:id="rId63"/>
          <w:pgSz w:w="11907" w:h="16839" w:code="9"/>
          <w:pgMar w:top="2085" w:right="1377" w:bottom="1440" w:left="1440" w:header="720" w:footer="726" w:gutter="0"/>
          <w:cols w:space="720"/>
          <w:docGrid w:linePitch="360"/>
        </w:sectPr>
      </w:pPr>
    </w:p>
    <w:p w:rsidR="00632267" w:rsidRPr="00632267" w:rsidRDefault="00632267" w:rsidP="00632267">
      <w:pPr>
        <w:pStyle w:val="Heading1"/>
        <w:shd w:val="clear" w:color="auto" w:fill="0063B8"/>
        <w:tabs>
          <w:tab w:val="num" w:pos="720"/>
        </w:tabs>
        <w:spacing w:before="0" w:line="276" w:lineRule="auto"/>
        <w:ind w:left="720" w:hanging="720"/>
        <w:rPr>
          <w:rFonts w:ascii="Verdana" w:hAnsi="Verdana"/>
          <w:b w:val="0"/>
          <w:lang w:val="bg-BG"/>
        </w:rPr>
      </w:pPr>
      <w:bookmarkStart w:id="173" w:name="_Toc319344751"/>
      <w:bookmarkStart w:id="174" w:name="_Toc362617907"/>
      <w:bookmarkStart w:id="175" w:name="_Toc379372163"/>
      <w:bookmarkStart w:id="176" w:name="_Toc395612528"/>
      <w:r w:rsidRPr="00632267">
        <w:rPr>
          <w:rFonts w:ascii="Verdana" w:hAnsi="Verdana"/>
          <w:b w:val="0"/>
          <w:color w:val="FFFFFF"/>
          <w:lang w:val="en-US"/>
        </w:rPr>
        <w:lastRenderedPageBreak/>
        <w:t>I</w:t>
      </w:r>
      <w:r w:rsidRPr="00632267">
        <w:rPr>
          <w:rFonts w:ascii="Verdana" w:hAnsi="Verdana"/>
          <w:b w:val="0"/>
          <w:color w:val="FFFFFF"/>
          <w:lang w:val="bg-BG"/>
        </w:rPr>
        <w:t>V.</w:t>
      </w:r>
      <w:r w:rsidRPr="00632267">
        <w:rPr>
          <w:rFonts w:ascii="Verdana" w:hAnsi="Verdana"/>
          <w:b w:val="0"/>
          <w:color w:val="FFFFFF"/>
          <w:lang w:val="bg-BG"/>
        </w:rPr>
        <w:tab/>
      </w:r>
      <w:bookmarkEnd w:id="173"/>
      <w:r w:rsidRPr="00632267">
        <w:rPr>
          <w:rFonts w:ascii="Verdana" w:hAnsi="Verdana"/>
          <w:b w:val="0"/>
          <w:color w:val="FFFFFF"/>
          <w:lang w:val="bg-BG"/>
        </w:rPr>
        <w:t>Заключения и препоръки</w:t>
      </w:r>
      <w:bookmarkEnd w:id="174"/>
      <w:bookmarkEnd w:id="175"/>
      <w:bookmarkEnd w:id="176"/>
      <w:r w:rsidRPr="00632267">
        <w:rPr>
          <w:rFonts w:ascii="Verdana" w:hAnsi="Verdana"/>
          <w:b w:val="0"/>
          <w:lang w:val="bg-BG"/>
        </w:rPr>
        <w:tab/>
      </w:r>
    </w:p>
    <w:p w:rsidR="00FC6BAD" w:rsidRPr="00B45B4F" w:rsidRDefault="00FC6BAD" w:rsidP="00B75D91">
      <w:pPr>
        <w:spacing w:after="120"/>
        <w:jc w:val="both"/>
        <w:rPr>
          <w:rFonts w:ascii="Verdana" w:hAnsi="Verdana"/>
          <w:sz w:val="20"/>
          <w:szCs w:val="20"/>
          <w:lang w:val="bg-BG"/>
        </w:rPr>
      </w:pPr>
    </w:p>
    <w:p w:rsidR="00632267" w:rsidRPr="00CE3DBD" w:rsidRDefault="00632267" w:rsidP="00632267">
      <w:pPr>
        <w:pStyle w:val="Heading2"/>
        <w:shd w:val="clear" w:color="auto" w:fill="FFCC99"/>
        <w:spacing w:line="276" w:lineRule="auto"/>
        <w:rPr>
          <w:rFonts w:ascii="Verdana" w:hAnsi="Verdana"/>
          <w:i w:val="0"/>
          <w:iCs/>
          <w:color w:val="0063B8"/>
          <w:sz w:val="26"/>
          <w:szCs w:val="26"/>
          <w:lang w:val="bg-BG"/>
        </w:rPr>
      </w:pPr>
      <w:bookmarkStart w:id="177" w:name="_Toc362617908"/>
      <w:bookmarkStart w:id="178" w:name="_Toc379372164"/>
      <w:bookmarkStart w:id="179" w:name="_Toc395612529"/>
      <w:r>
        <w:rPr>
          <w:rFonts w:ascii="Verdana" w:hAnsi="Verdana"/>
          <w:i w:val="0"/>
          <w:iCs/>
          <w:color w:val="0063B8"/>
          <w:sz w:val="26"/>
          <w:szCs w:val="26"/>
          <w:lang w:val="bg-BG"/>
        </w:rPr>
        <w:t>Заключения</w:t>
      </w:r>
      <w:bookmarkEnd w:id="177"/>
      <w:bookmarkEnd w:id="178"/>
      <w:bookmarkEnd w:id="179"/>
    </w:p>
    <w:p w:rsidR="00E6129B" w:rsidRPr="003220D9" w:rsidRDefault="00E6129B" w:rsidP="00E6129B">
      <w:pPr>
        <w:keepNext/>
        <w:spacing w:before="240" w:after="120"/>
        <w:jc w:val="both"/>
        <w:rPr>
          <w:rFonts w:ascii="Verdana" w:hAnsi="Verdana"/>
          <w:color w:val="548DD4" w:themeColor="text2" w:themeTint="99"/>
          <w:sz w:val="20"/>
          <w:szCs w:val="20"/>
          <w:lang w:val="bg-BG"/>
        </w:rPr>
      </w:pPr>
      <w:r w:rsidRPr="003220D9">
        <w:rPr>
          <w:rFonts w:ascii="Verdana" w:hAnsi="Verdana"/>
          <w:color w:val="548DD4" w:themeColor="text2" w:themeTint="99"/>
          <w:sz w:val="20"/>
          <w:szCs w:val="20"/>
          <w:lang w:val="bg-BG"/>
        </w:rPr>
        <w:t>По отношение на външната съгласуваност</w:t>
      </w:r>
    </w:p>
    <w:p w:rsidR="001971E8" w:rsidRDefault="001971E8" w:rsidP="001971E8">
      <w:pPr>
        <w:pStyle w:val="BodyText"/>
        <w:widowControl w:val="0"/>
        <w:spacing w:line="276" w:lineRule="auto"/>
        <w:jc w:val="both"/>
        <w:rPr>
          <w:rFonts w:ascii="Verdana" w:hAnsi="Verdana"/>
          <w:sz w:val="20"/>
          <w:szCs w:val="20"/>
          <w:lang w:eastAsia="en-US"/>
        </w:rPr>
      </w:pPr>
      <w:r w:rsidRPr="00B45B4F">
        <w:rPr>
          <w:rFonts w:ascii="Verdana" w:hAnsi="Verdana"/>
          <w:sz w:val="20"/>
          <w:szCs w:val="20"/>
          <w:lang w:eastAsia="en-US"/>
        </w:rPr>
        <w:t xml:space="preserve">ОПНОИР 2014–2020 </w:t>
      </w:r>
      <w:r>
        <w:rPr>
          <w:rFonts w:ascii="Verdana" w:hAnsi="Verdana"/>
          <w:sz w:val="20"/>
          <w:szCs w:val="20"/>
          <w:lang w:eastAsia="en-US"/>
        </w:rPr>
        <w:t>отразява в голяма степен целите и приоритетите на основни европейски и национални стратегически документи в областта на науката и образованието, включително основните цели на стратегията Европа 2020 в тази област.</w:t>
      </w:r>
    </w:p>
    <w:p w:rsidR="001971E8" w:rsidRDefault="001971E8" w:rsidP="001971E8">
      <w:pPr>
        <w:pStyle w:val="BodyText"/>
        <w:widowControl w:val="0"/>
        <w:spacing w:line="276" w:lineRule="auto"/>
        <w:jc w:val="both"/>
        <w:rPr>
          <w:rFonts w:ascii="Verdana" w:hAnsi="Verdana"/>
          <w:sz w:val="20"/>
          <w:szCs w:val="20"/>
          <w:lang w:eastAsia="en-US"/>
        </w:rPr>
      </w:pPr>
      <w:r>
        <w:rPr>
          <w:rFonts w:ascii="Verdana" w:hAnsi="Verdana"/>
          <w:sz w:val="20"/>
          <w:szCs w:val="20"/>
          <w:lang w:eastAsia="en-US"/>
        </w:rPr>
        <w:t xml:space="preserve">В същото време някои основни национални стратегически и нормативни документи са в процес на подготовка или в процес на актуализация, което  в известна степен затруднява фокусирането на предвижданата подкрепа по оперативната програма. </w:t>
      </w:r>
    </w:p>
    <w:p w:rsidR="001971E8" w:rsidRDefault="001971E8" w:rsidP="001971E8">
      <w:pPr>
        <w:pStyle w:val="BodyText"/>
        <w:widowControl w:val="0"/>
        <w:spacing w:line="276" w:lineRule="auto"/>
        <w:jc w:val="both"/>
        <w:rPr>
          <w:rFonts w:ascii="Verdana" w:hAnsi="Verdana"/>
          <w:sz w:val="20"/>
          <w:szCs w:val="20"/>
          <w:lang w:eastAsia="en-US"/>
        </w:rPr>
      </w:pPr>
      <w:r>
        <w:rPr>
          <w:rFonts w:ascii="Verdana" w:hAnsi="Verdana"/>
          <w:sz w:val="20"/>
          <w:szCs w:val="20"/>
          <w:lang w:eastAsia="en-US"/>
        </w:rPr>
        <w:t xml:space="preserve">Отразяването на част от препоръките на предавателната оценка в резултат доведе до подобряване на </w:t>
      </w:r>
      <w:proofErr w:type="spellStart"/>
      <w:r>
        <w:rPr>
          <w:rFonts w:ascii="Verdana" w:hAnsi="Verdana"/>
          <w:sz w:val="20"/>
          <w:szCs w:val="20"/>
          <w:lang w:eastAsia="en-US"/>
        </w:rPr>
        <w:t>синергията</w:t>
      </w:r>
      <w:proofErr w:type="spellEnd"/>
      <w:r>
        <w:rPr>
          <w:rFonts w:ascii="Verdana" w:hAnsi="Verdana"/>
          <w:sz w:val="20"/>
          <w:szCs w:val="20"/>
          <w:lang w:eastAsia="en-US"/>
        </w:rPr>
        <w:t xml:space="preserve"> между програмата и Хоризонт 2020 и по-ясно разделяни и допълване с някои от оперативните програми. Актуализирани бяха текстове на програмата съобразно последните версии на документите.</w:t>
      </w:r>
    </w:p>
    <w:p w:rsidR="001971E8" w:rsidRDefault="001971E8" w:rsidP="001971E8">
      <w:pPr>
        <w:pStyle w:val="BodyText"/>
        <w:widowControl w:val="0"/>
        <w:spacing w:line="276" w:lineRule="auto"/>
        <w:jc w:val="both"/>
        <w:rPr>
          <w:rFonts w:ascii="Verdana" w:hAnsi="Verdana"/>
          <w:sz w:val="20"/>
          <w:szCs w:val="20"/>
          <w:lang w:eastAsia="en-US"/>
        </w:rPr>
      </w:pPr>
      <w:r w:rsidRPr="00B45B4F">
        <w:rPr>
          <w:rFonts w:ascii="Verdana" w:hAnsi="Verdana"/>
          <w:sz w:val="20"/>
          <w:szCs w:val="20"/>
          <w:lang w:eastAsia="en-US"/>
        </w:rPr>
        <w:t xml:space="preserve">Програмата </w:t>
      </w:r>
      <w:r>
        <w:rPr>
          <w:rFonts w:ascii="Verdana" w:hAnsi="Verdana"/>
          <w:sz w:val="20"/>
          <w:szCs w:val="20"/>
          <w:lang w:eastAsia="en-US"/>
        </w:rPr>
        <w:t xml:space="preserve">все още в </w:t>
      </w:r>
      <w:r w:rsidRPr="00B45B4F">
        <w:rPr>
          <w:rFonts w:ascii="Verdana" w:hAnsi="Verdana"/>
          <w:sz w:val="20"/>
          <w:szCs w:val="20"/>
          <w:lang w:eastAsia="en-US"/>
        </w:rPr>
        <w:t>недостатъчна степен адресира териториалните аспекти</w:t>
      </w:r>
      <w:r>
        <w:rPr>
          <w:rFonts w:ascii="Verdana" w:hAnsi="Verdana"/>
          <w:sz w:val="20"/>
          <w:szCs w:val="20"/>
          <w:lang w:eastAsia="en-US"/>
        </w:rPr>
        <w:t xml:space="preserve"> по отношение на</w:t>
      </w:r>
      <w:r w:rsidRPr="00B45B4F">
        <w:rPr>
          <w:rFonts w:ascii="Verdana" w:hAnsi="Verdana"/>
          <w:sz w:val="20"/>
          <w:szCs w:val="20"/>
          <w:lang w:eastAsia="en-US"/>
        </w:rPr>
        <w:t xml:space="preserve"> качеството на образованието в малките и големите населени места.</w:t>
      </w:r>
      <w:r>
        <w:rPr>
          <w:rFonts w:ascii="Verdana" w:hAnsi="Verdana"/>
          <w:sz w:val="20"/>
          <w:szCs w:val="20"/>
          <w:lang w:eastAsia="en-US"/>
        </w:rPr>
        <w:t xml:space="preserve"> </w:t>
      </w:r>
    </w:p>
    <w:p w:rsidR="001971E8" w:rsidRPr="001971E8" w:rsidRDefault="001971E8" w:rsidP="001971E8">
      <w:pPr>
        <w:pStyle w:val="BodyText"/>
        <w:widowControl w:val="0"/>
        <w:spacing w:line="276" w:lineRule="auto"/>
        <w:jc w:val="both"/>
        <w:rPr>
          <w:rFonts w:ascii="Verdana" w:hAnsi="Verdana"/>
          <w:sz w:val="20"/>
          <w:szCs w:val="20"/>
          <w:lang w:eastAsia="en-US"/>
        </w:rPr>
      </w:pPr>
      <w:r>
        <w:rPr>
          <w:rFonts w:ascii="Verdana" w:hAnsi="Verdana"/>
          <w:sz w:val="20"/>
          <w:szCs w:val="20"/>
          <w:lang w:eastAsia="en-US"/>
        </w:rPr>
        <w:t xml:space="preserve">Възможно е и по-ясно отразяване в текста на програмата на разписаните цели в СП по отношение на </w:t>
      </w:r>
      <w:r w:rsidRPr="001971E8">
        <w:rPr>
          <w:rFonts w:ascii="Verdana" w:hAnsi="Verdana"/>
          <w:sz w:val="20"/>
          <w:szCs w:val="20"/>
          <w:lang w:eastAsia="en-US"/>
        </w:rPr>
        <w:t>партньорства между висшето образование, предприятията и научните изследвания и подобряване капацитета за управление на научните институти.</w:t>
      </w:r>
    </w:p>
    <w:p w:rsidR="001971E8" w:rsidRDefault="001971E8" w:rsidP="001971E8">
      <w:pPr>
        <w:pStyle w:val="BodyText"/>
        <w:widowControl w:val="0"/>
        <w:spacing w:line="276" w:lineRule="auto"/>
        <w:jc w:val="both"/>
        <w:rPr>
          <w:rFonts w:ascii="Verdana" w:hAnsi="Verdana"/>
          <w:sz w:val="20"/>
          <w:szCs w:val="20"/>
          <w:lang w:eastAsia="en-US"/>
        </w:rPr>
      </w:pPr>
      <w:r>
        <w:rPr>
          <w:rFonts w:ascii="Verdana" w:hAnsi="Verdana"/>
          <w:sz w:val="20"/>
          <w:szCs w:val="20"/>
          <w:lang w:eastAsia="en-US"/>
        </w:rPr>
        <w:t>Разграничаването и допълването с някои от останалите оперативни програми предстои да бъде уточнено и по-специално с ОПИК.</w:t>
      </w:r>
    </w:p>
    <w:p w:rsidR="00E6129B" w:rsidRPr="003220D9" w:rsidRDefault="00E6129B" w:rsidP="00E6129B">
      <w:pPr>
        <w:keepNext/>
        <w:spacing w:before="240" w:after="120"/>
        <w:jc w:val="both"/>
        <w:rPr>
          <w:rFonts w:ascii="Verdana" w:hAnsi="Verdana"/>
          <w:color w:val="548DD4" w:themeColor="text2" w:themeTint="99"/>
          <w:sz w:val="20"/>
          <w:szCs w:val="20"/>
          <w:lang w:val="bg-BG"/>
        </w:rPr>
      </w:pPr>
      <w:r w:rsidRPr="003220D9">
        <w:rPr>
          <w:rFonts w:ascii="Verdana" w:hAnsi="Verdana"/>
          <w:color w:val="548DD4" w:themeColor="text2" w:themeTint="99"/>
          <w:sz w:val="20"/>
          <w:szCs w:val="20"/>
          <w:lang w:val="bg-BG"/>
        </w:rPr>
        <w:t xml:space="preserve">По отношение на вътрешната съгласуваност </w:t>
      </w:r>
    </w:p>
    <w:p w:rsidR="00F13B14" w:rsidRDefault="00F13B14" w:rsidP="00F13B14">
      <w:pPr>
        <w:autoSpaceDE w:val="0"/>
        <w:autoSpaceDN w:val="0"/>
        <w:adjustRightInd w:val="0"/>
        <w:spacing w:after="120"/>
        <w:jc w:val="both"/>
        <w:rPr>
          <w:rFonts w:ascii="Verdana" w:hAnsi="Verdana"/>
          <w:sz w:val="20"/>
          <w:szCs w:val="20"/>
          <w:lang w:val="bg-BG"/>
        </w:rPr>
      </w:pPr>
      <w:r>
        <w:rPr>
          <w:rFonts w:ascii="Verdana" w:hAnsi="Verdana"/>
          <w:sz w:val="20"/>
          <w:szCs w:val="20"/>
          <w:lang w:val="bg-BG"/>
        </w:rPr>
        <w:t>Стратегията на програмата се базира върху проблемите в три основни области – наука, висше и училищно образование. Анализите посочват основните съществуващи проблеми и възможни подходи за тяхното решаване. Включването на допълваща информация би подобрило пълнотата на анализите и може да доведе до формулиране на по-целенасочени мерки за адресиране на проблемите. Не всички идентифицирани проблеми са адресирани с конкретни подходи за тяхното решаване.</w:t>
      </w:r>
    </w:p>
    <w:p w:rsidR="00F13B14" w:rsidRDefault="00F13B14" w:rsidP="00F13B14">
      <w:pPr>
        <w:autoSpaceDE w:val="0"/>
        <w:autoSpaceDN w:val="0"/>
        <w:adjustRightInd w:val="0"/>
        <w:spacing w:after="120"/>
        <w:jc w:val="both"/>
        <w:rPr>
          <w:rFonts w:ascii="Verdana" w:hAnsi="Verdana"/>
          <w:sz w:val="20"/>
          <w:szCs w:val="20"/>
          <w:lang w:val="bg-BG"/>
        </w:rPr>
      </w:pPr>
      <w:r w:rsidRPr="009E018E">
        <w:rPr>
          <w:rFonts w:ascii="Verdana" w:hAnsi="Verdana"/>
          <w:sz w:val="20"/>
          <w:szCs w:val="20"/>
          <w:lang w:val="bg-BG"/>
        </w:rPr>
        <w:t xml:space="preserve">Логиката на интервенция на програмата е изградена </w:t>
      </w:r>
      <w:r>
        <w:rPr>
          <w:rFonts w:ascii="Verdana" w:hAnsi="Verdana"/>
          <w:sz w:val="20"/>
          <w:szCs w:val="20"/>
          <w:lang w:val="bg-BG"/>
        </w:rPr>
        <w:t>в 3 основни приоритетни оси, обхващащи основните за страната проблеми в областта на науката и технологичното развитие, училищното и висше образование и социалното приобщаване в образованието на уязвими групи.</w:t>
      </w:r>
    </w:p>
    <w:p w:rsidR="00F13B14" w:rsidRDefault="00F13B14" w:rsidP="00F13B14">
      <w:pPr>
        <w:autoSpaceDE w:val="0"/>
        <w:autoSpaceDN w:val="0"/>
        <w:adjustRightInd w:val="0"/>
        <w:spacing w:after="120"/>
        <w:jc w:val="both"/>
        <w:rPr>
          <w:rFonts w:ascii="Verdana" w:hAnsi="Verdana"/>
          <w:sz w:val="20"/>
          <w:szCs w:val="20"/>
          <w:lang w:val="bg-BG"/>
        </w:rPr>
      </w:pPr>
      <w:r>
        <w:rPr>
          <w:rFonts w:ascii="Verdana" w:hAnsi="Verdana"/>
          <w:sz w:val="20"/>
          <w:szCs w:val="20"/>
          <w:lang w:val="bg-BG"/>
        </w:rPr>
        <w:t xml:space="preserve">Определените инвестиционни приоритети са адекватно подбрани и като цяло добре фокусирани чрез разписаните специфични цели. Анализите и представянето на </w:t>
      </w:r>
      <w:r>
        <w:rPr>
          <w:rFonts w:ascii="Verdana" w:hAnsi="Verdana"/>
          <w:sz w:val="20"/>
          <w:szCs w:val="20"/>
          <w:lang w:val="bg-BG"/>
        </w:rPr>
        <w:lastRenderedPageBreak/>
        <w:t>нуждите особено по отношение на специфичните цели, касаещи връзката между наука, образование и бизнес (ИП2 на ПО1, ИП4 на ПО2) могат да бъдат подобрени.</w:t>
      </w:r>
    </w:p>
    <w:p w:rsidR="00F13B14" w:rsidRDefault="00F13B14" w:rsidP="00F13B14">
      <w:pPr>
        <w:autoSpaceDE w:val="0"/>
        <w:autoSpaceDN w:val="0"/>
        <w:adjustRightInd w:val="0"/>
        <w:spacing w:after="120"/>
        <w:jc w:val="both"/>
        <w:rPr>
          <w:rFonts w:ascii="Verdana" w:hAnsi="Verdana"/>
          <w:sz w:val="20"/>
          <w:szCs w:val="20"/>
          <w:lang w:val="bg-BG"/>
        </w:rPr>
      </w:pPr>
      <w:r>
        <w:rPr>
          <w:rFonts w:ascii="Verdana" w:hAnsi="Verdana"/>
          <w:sz w:val="20"/>
          <w:szCs w:val="20"/>
          <w:lang w:val="bg-BG"/>
        </w:rPr>
        <w:t>Дейностите по повечето от приоритетите са уместни. Не са разписани достатъчно адекватни дейности, които да адресират нуждите от по-добро сътрудничество между науката и бизнеса. Дейностите по ПО2 са твърде многобройни и могат да се обобщят.</w:t>
      </w:r>
    </w:p>
    <w:p w:rsidR="00F13B14" w:rsidRDefault="00F13B14" w:rsidP="00F13B14">
      <w:pPr>
        <w:jc w:val="both"/>
        <w:rPr>
          <w:rFonts w:ascii="Verdana" w:hAnsi="Verdana"/>
          <w:sz w:val="20"/>
          <w:szCs w:val="20"/>
          <w:lang w:val="bg-BG"/>
        </w:rPr>
      </w:pPr>
      <w:r>
        <w:rPr>
          <w:rFonts w:ascii="Verdana" w:hAnsi="Verdana"/>
          <w:sz w:val="20"/>
          <w:szCs w:val="20"/>
          <w:lang w:val="bg-BG"/>
        </w:rPr>
        <w:t>Бенефициентите и целевите групи в като цяло са уместни и отговарят на заложените цели и дейности.</w:t>
      </w:r>
    </w:p>
    <w:p w:rsidR="00F13B14" w:rsidRDefault="00F13B14" w:rsidP="00F13B14">
      <w:pPr>
        <w:jc w:val="both"/>
        <w:rPr>
          <w:rFonts w:ascii="Verdana" w:hAnsi="Verdana"/>
          <w:sz w:val="20"/>
          <w:szCs w:val="20"/>
          <w:lang w:val="bg-BG"/>
        </w:rPr>
      </w:pPr>
      <w:r w:rsidRPr="00FA37CC">
        <w:rPr>
          <w:rFonts w:ascii="Verdana" w:hAnsi="Verdana"/>
          <w:sz w:val="20"/>
          <w:szCs w:val="20"/>
          <w:lang w:val="bg-BG"/>
        </w:rPr>
        <w:t>Програмата не специфицира подходи за предоставяне на помощта като очакванията са те да включват както директно предоставяне на подкрепа, така и грантове на принципа на конкурентен подбор. Програмата не предвижда изпо</w:t>
      </w:r>
      <w:r>
        <w:rPr>
          <w:rFonts w:ascii="Verdana" w:hAnsi="Verdana"/>
          <w:sz w:val="20"/>
          <w:szCs w:val="20"/>
          <w:lang w:val="bg-BG"/>
        </w:rPr>
        <w:t xml:space="preserve">лзване на финансови инструменти. </w:t>
      </w:r>
      <w:r w:rsidRPr="00B45B4F">
        <w:rPr>
          <w:rFonts w:ascii="Verdana" w:hAnsi="Verdana"/>
          <w:sz w:val="20"/>
          <w:szCs w:val="20"/>
          <w:lang w:val="bg-BG"/>
        </w:rPr>
        <w:t xml:space="preserve">Предвид на заложените дейности за кредитиране на висшето образование както и възможностите за съвместни инициативи бизнес –наука и бизнес – висше образование е препоръчително да се анализират възможностите </w:t>
      </w:r>
      <w:r>
        <w:rPr>
          <w:rFonts w:ascii="Verdana" w:hAnsi="Verdana"/>
          <w:sz w:val="20"/>
          <w:szCs w:val="20"/>
          <w:lang w:val="bg-BG"/>
        </w:rPr>
        <w:t>за</w:t>
      </w:r>
      <w:r w:rsidRPr="00B45B4F">
        <w:rPr>
          <w:rFonts w:ascii="Verdana" w:hAnsi="Verdana"/>
          <w:sz w:val="20"/>
          <w:szCs w:val="20"/>
          <w:lang w:val="bg-BG"/>
        </w:rPr>
        <w:t xml:space="preserve"> използване на финансови инструменти</w:t>
      </w:r>
      <w:r>
        <w:rPr>
          <w:rFonts w:ascii="Verdana" w:hAnsi="Verdana"/>
          <w:sz w:val="20"/>
          <w:szCs w:val="20"/>
          <w:lang w:val="bg-BG"/>
        </w:rPr>
        <w:t xml:space="preserve"> по някои от операциите.</w:t>
      </w:r>
    </w:p>
    <w:p w:rsidR="00F13B14" w:rsidRPr="00FA37CC" w:rsidRDefault="00F13B14" w:rsidP="00F13B14">
      <w:pPr>
        <w:jc w:val="both"/>
        <w:rPr>
          <w:lang w:val="bg-BG"/>
        </w:rPr>
      </w:pPr>
      <w:r>
        <w:rPr>
          <w:rFonts w:ascii="Verdana" w:hAnsi="Verdana"/>
          <w:sz w:val="20"/>
          <w:szCs w:val="20"/>
          <w:lang w:val="bg-BG"/>
        </w:rPr>
        <w:t xml:space="preserve">Основните хоризонтални принципи – „партньорство“, „устойчиво развитие“, „равенство и превенция на дискриминацията“ и „равенство между половете“ са отразени в програмата. Необходимо е добавяне на информация по отношение на наблюдението на прилагането на принципите за „устойчиво развитие“ и „равенство между половете“. Препоръчително е наблюдението на прилагането на принципа за „равни възможности и превенция на дискриминацията“ да се осъществява чрез системата за мониторинг а не чрез допълнителни проверки, тъй като последното би довело до увеличаване на административната тежест. </w:t>
      </w:r>
    </w:p>
    <w:p w:rsidR="00F13B14" w:rsidRPr="003220D9" w:rsidRDefault="00F13B14" w:rsidP="001A66A0">
      <w:pPr>
        <w:keepNext/>
        <w:spacing w:before="240" w:after="120"/>
        <w:jc w:val="both"/>
        <w:rPr>
          <w:rFonts w:ascii="Verdana" w:hAnsi="Verdana"/>
          <w:color w:val="548DD4" w:themeColor="text2" w:themeTint="99"/>
          <w:sz w:val="20"/>
          <w:szCs w:val="20"/>
          <w:lang w:val="bg-BG"/>
        </w:rPr>
      </w:pPr>
      <w:r w:rsidRPr="003220D9">
        <w:rPr>
          <w:rFonts w:ascii="Verdana" w:hAnsi="Verdana"/>
          <w:color w:val="548DD4" w:themeColor="text2" w:themeTint="99"/>
          <w:sz w:val="20"/>
          <w:szCs w:val="20"/>
          <w:lang w:val="bg-BG"/>
        </w:rPr>
        <w:t>По отношение на финансовото разпределение</w:t>
      </w:r>
    </w:p>
    <w:p w:rsidR="00A5448B" w:rsidRDefault="00A5448B" w:rsidP="00462336">
      <w:pPr>
        <w:widowControl w:val="0"/>
        <w:tabs>
          <w:tab w:val="left" w:pos="0"/>
          <w:tab w:val="right" w:pos="9214"/>
        </w:tabs>
        <w:spacing w:before="240" w:after="120"/>
        <w:jc w:val="both"/>
        <w:rPr>
          <w:rFonts w:ascii="Verdana" w:eastAsia="Times New Roman" w:hAnsi="Verdana"/>
          <w:bCs/>
          <w:color w:val="000000"/>
          <w:sz w:val="20"/>
          <w:szCs w:val="20"/>
          <w:lang w:val="bg-BG" w:eastAsia="bg-BG"/>
        </w:rPr>
      </w:pPr>
      <w:r>
        <w:rPr>
          <w:rFonts w:ascii="Verdana" w:eastAsia="Times New Roman" w:hAnsi="Verdana"/>
          <w:bCs/>
          <w:color w:val="000000"/>
          <w:sz w:val="20"/>
          <w:szCs w:val="20"/>
          <w:lang w:val="bg-BG" w:eastAsia="bg-BG"/>
        </w:rPr>
        <w:t xml:space="preserve">Финансовото разпределение на програмата следва изискванията на регламентите на Европейската комисия за програмния период 2014-2020 и разпределението на средствата, посочено в СП. </w:t>
      </w:r>
    </w:p>
    <w:p w:rsidR="00A5448B" w:rsidRDefault="00A5448B" w:rsidP="00462336">
      <w:pPr>
        <w:widowControl w:val="0"/>
        <w:tabs>
          <w:tab w:val="left" w:pos="0"/>
          <w:tab w:val="right" w:pos="9214"/>
        </w:tabs>
        <w:spacing w:after="120"/>
        <w:jc w:val="both"/>
        <w:rPr>
          <w:rFonts w:ascii="Verdana" w:eastAsia="Times New Roman" w:hAnsi="Verdana"/>
          <w:bCs/>
          <w:color w:val="000000"/>
          <w:sz w:val="20"/>
          <w:szCs w:val="20"/>
          <w:lang w:val="bg-BG" w:eastAsia="bg-BG"/>
        </w:rPr>
      </w:pPr>
      <w:r>
        <w:rPr>
          <w:rFonts w:ascii="Verdana" w:eastAsia="Times New Roman" w:hAnsi="Verdana"/>
          <w:bCs/>
          <w:color w:val="000000"/>
          <w:sz w:val="20"/>
          <w:szCs w:val="20"/>
          <w:lang w:val="bg-BG" w:eastAsia="bg-BG"/>
        </w:rPr>
        <w:t>Финансирането е насочено към постигане национални стратегическите цели, свързани с наука и иновации и образование. Косвено се очаква да се постигане ефект и върху пазара на труда, социалното приобщаване и икономическото развитие.</w:t>
      </w:r>
    </w:p>
    <w:p w:rsidR="00462336" w:rsidRDefault="00A5448B" w:rsidP="00462336">
      <w:pPr>
        <w:widowControl w:val="0"/>
        <w:tabs>
          <w:tab w:val="left" w:pos="0"/>
          <w:tab w:val="right" w:pos="9214"/>
        </w:tabs>
        <w:spacing w:before="120" w:after="120"/>
        <w:jc w:val="both"/>
        <w:rPr>
          <w:rFonts w:ascii="Verdana" w:eastAsia="Calibri" w:hAnsi="Verdana"/>
          <w:sz w:val="20"/>
          <w:szCs w:val="20"/>
          <w:lang w:val="bg-BG"/>
        </w:rPr>
      </w:pPr>
      <w:r>
        <w:rPr>
          <w:rFonts w:ascii="Verdana" w:eastAsia="Times New Roman" w:hAnsi="Verdana"/>
          <w:bCs/>
          <w:color w:val="000000"/>
          <w:sz w:val="20"/>
          <w:szCs w:val="20"/>
          <w:lang w:val="bg-BG" w:eastAsia="bg-BG"/>
        </w:rPr>
        <w:t xml:space="preserve">Размерът на заделените средства като цяло </w:t>
      </w:r>
      <w:r w:rsidR="00462336">
        <w:rPr>
          <w:rFonts w:ascii="Verdana" w:eastAsia="Times New Roman" w:hAnsi="Verdana"/>
          <w:bCs/>
          <w:color w:val="000000"/>
          <w:sz w:val="20"/>
          <w:szCs w:val="20"/>
          <w:lang w:val="bg-BG" w:eastAsia="bg-BG"/>
        </w:rPr>
        <w:t xml:space="preserve">е недостатъчен. Заделените средства за образование, приобщаване към образование и учене през целия живот в реално изражение са по-малки в сравнение с предходния програмен период. </w:t>
      </w:r>
    </w:p>
    <w:p w:rsidR="00A5448B" w:rsidRDefault="00A5448B" w:rsidP="00462336">
      <w:pPr>
        <w:jc w:val="both"/>
        <w:rPr>
          <w:rFonts w:ascii="Verdana" w:hAnsi="Verdana"/>
          <w:sz w:val="20"/>
          <w:szCs w:val="20"/>
          <w:lang w:val="bg-BG"/>
        </w:rPr>
      </w:pPr>
      <w:r w:rsidRPr="00462336">
        <w:rPr>
          <w:rFonts w:ascii="Verdana" w:hAnsi="Verdana"/>
          <w:sz w:val="20"/>
          <w:szCs w:val="20"/>
          <w:lang w:val="bg-BG"/>
        </w:rPr>
        <w:t xml:space="preserve">Във варианта на програмата от  май 2014 г. няма изложена финансова обосновка, което не позволява да се оцени изпълнението на изискването относно тематичната концентрация. </w:t>
      </w:r>
    </w:p>
    <w:p w:rsidR="00F13B14" w:rsidRPr="003220D9" w:rsidRDefault="00F13B14" w:rsidP="001A66A0">
      <w:pPr>
        <w:keepNext/>
        <w:spacing w:before="240" w:after="120"/>
        <w:jc w:val="both"/>
        <w:rPr>
          <w:rFonts w:ascii="Verdana" w:hAnsi="Verdana"/>
          <w:color w:val="548DD4" w:themeColor="text2" w:themeTint="99"/>
          <w:sz w:val="20"/>
          <w:szCs w:val="20"/>
          <w:lang w:val="bg-BG"/>
        </w:rPr>
      </w:pPr>
      <w:r w:rsidRPr="003220D9">
        <w:rPr>
          <w:rFonts w:ascii="Verdana" w:hAnsi="Verdana"/>
          <w:color w:val="548DD4" w:themeColor="text2" w:themeTint="99"/>
          <w:sz w:val="20"/>
          <w:szCs w:val="20"/>
          <w:lang w:val="bg-BG"/>
        </w:rPr>
        <w:t>По отношение на индикаторите</w:t>
      </w:r>
    </w:p>
    <w:p w:rsidR="002C1A8B" w:rsidRDefault="002C1A8B" w:rsidP="002C1A8B">
      <w:pPr>
        <w:widowControl w:val="0"/>
        <w:tabs>
          <w:tab w:val="left" w:pos="0"/>
          <w:tab w:val="right" w:pos="9214"/>
        </w:tabs>
        <w:spacing w:after="120"/>
        <w:jc w:val="both"/>
        <w:rPr>
          <w:rFonts w:ascii="Verdana" w:eastAsia="Times New Roman" w:hAnsi="Verdana"/>
          <w:bCs/>
          <w:noProof/>
          <w:color w:val="000000"/>
          <w:sz w:val="20"/>
          <w:szCs w:val="20"/>
          <w:lang w:val="bg-BG" w:eastAsia="bg-BG"/>
        </w:rPr>
      </w:pPr>
      <w:r>
        <w:rPr>
          <w:rFonts w:ascii="Verdana" w:eastAsia="Times New Roman" w:hAnsi="Verdana"/>
          <w:bCs/>
          <w:noProof/>
          <w:color w:val="000000"/>
          <w:sz w:val="20"/>
          <w:szCs w:val="20"/>
          <w:lang w:val="bg-BG" w:eastAsia="bg-BG"/>
        </w:rPr>
        <w:t xml:space="preserve">Системата от индикатори беше прецизирана и значително подобрена спрямо </w:t>
      </w:r>
      <w:r>
        <w:rPr>
          <w:rFonts w:ascii="Verdana" w:eastAsia="Times New Roman" w:hAnsi="Verdana"/>
          <w:bCs/>
          <w:noProof/>
          <w:color w:val="000000"/>
          <w:sz w:val="20"/>
          <w:szCs w:val="20"/>
          <w:lang w:val="bg-BG" w:eastAsia="bg-BG"/>
        </w:rPr>
        <w:lastRenderedPageBreak/>
        <w:t xml:space="preserve">първоначалния си вариант. Въпреки това се очакват редакции в някои от индикаторите. </w:t>
      </w:r>
      <w:r w:rsidR="00565858">
        <w:rPr>
          <w:rFonts w:ascii="Verdana" w:hAnsi="Verdana"/>
          <w:sz w:val="20"/>
          <w:szCs w:val="20"/>
          <w:lang w:val="bg-BG"/>
        </w:rPr>
        <w:t>Не по всички индикатори за резултат са заложени базови стойности. Повечето от заложените стойности изглеждат реалистични, предвид на изходната информация, с която се разполага.</w:t>
      </w:r>
      <w:r w:rsidR="00565858">
        <w:rPr>
          <w:rFonts w:ascii="Verdana" w:eastAsia="Times New Roman" w:hAnsi="Verdana"/>
          <w:bCs/>
          <w:noProof/>
          <w:color w:val="000000"/>
          <w:sz w:val="20"/>
          <w:szCs w:val="20"/>
          <w:lang w:val="bg-BG" w:eastAsia="bg-BG"/>
        </w:rPr>
        <w:t xml:space="preserve"> Все още не е разработена рамката за изпълнение и поради това не е осъществена оценка на етапните цели.</w:t>
      </w:r>
    </w:p>
    <w:p w:rsidR="002C1A8B" w:rsidRDefault="002C1A8B" w:rsidP="002C1A8B">
      <w:pPr>
        <w:widowControl w:val="0"/>
        <w:tabs>
          <w:tab w:val="left" w:pos="0"/>
          <w:tab w:val="right" w:pos="9214"/>
        </w:tabs>
        <w:spacing w:after="120"/>
        <w:jc w:val="both"/>
        <w:rPr>
          <w:rFonts w:ascii="Verdana" w:eastAsia="Times New Roman" w:hAnsi="Verdana"/>
          <w:bCs/>
          <w:noProof/>
          <w:color w:val="000000"/>
          <w:sz w:val="20"/>
          <w:szCs w:val="20"/>
          <w:lang w:val="bg-BG" w:eastAsia="bg-BG"/>
        </w:rPr>
      </w:pPr>
      <w:r>
        <w:rPr>
          <w:rFonts w:ascii="Verdana" w:eastAsia="Times New Roman" w:hAnsi="Verdana"/>
          <w:bCs/>
          <w:noProof/>
          <w:color w:val="000000"/>
          <w:sz w:val="20"/>
          <w:szCs w:val="20"/>
          <w:lang w:val="bg-BG" w:eastAsia="bg-BG"/>
        </w:rPr>
        <w:t>Отправени са специфични препоръки по отношение на индикаторите за всяка от приоритетните оси.</w:t>
      </w:r>
    </w:p>
    <w:p w:rsidR="00462336" w:rsidRPr="003220D9" w:rsidRDefault="00462336" w:rsidP="00462336">
      <w:pPr>
        <w:keepNext/>
        <w:spacing w:before="240" w:after="120"/>
        <w:jc w:val="both"/>
        <w:rPr>
          <w:rFonts w:ascii="Verdana" w:hAnsi="Verdana"/>
          <w:color w:val="548DD4" w:themeColor="text2" w:themeTint="99"/>
          <w:sz w:val="20"/>
          <w:szCs w:val="20"/>
          <w:lang w:val="bg-BG"/>
        </w:rPr>
      </w:pPr>
      <w:r w:rsidRPr="003220D9">
        <w:rPr>
          <w:rFonts w:ascii="Verdana" w:hAnsi="Verdana"/>
          <w:color w:val="548DD4" w:themeColor="text2" w:themeTint="99"/>
          <w:sz w:val="20"/>
          <w:szCs w:val="20"/>
          <w:lang w:val="bg-BG"/>
        </w:rPr>
        <w:t xml:space="preserve">По отношение на </w:t>
      </w:r>
      <w:r>
        <w:rPr>
          <w:rFonts w:ascii="Verdana" w:hAnsi="Verdana"/>
          <w:color w:val="548DD4" w:themeColor="text2" w:themeTint="99"/>
          <w:sz w:val="20"/>
          <w:szCs w:val="20"/>
          <w:lang w:val="bg-BG"/>
        </w:rPr>
        <w:t>административния капацитет</w:t>
      </w:r>
    </w:p>
    <w:p w:rsidR="00462336" w:rsidRDefault="000E7FCE" w:rsidP="00B75D91">
      <w:pPr>
        <w:spacing w:after="120"/>
        <w:jc w:val="both"/>
        <w:rPr>
          <w:rFonts w:ascii="Verdana" w:hAnsi="Verdana"/>
          <w:sz w:val="20"/>
          <w:szCs w:val="20"/>
          <w:lang w:val="bg-BG"/>
        </w:rPr>
      </w:pPr>
      <w:r>
        <w:rPr>
          <w:rFonts w:ascii="Verdana" w:hAnsi="Verdana"/>
          <w:sz w:val="20"/>
          <w:szCs w:val="20"/>
          <w:lang w:val="bg-BG" w:eastAsia="cs-CZ"/>
        </w:rPr>
        <w:t xml:space="preserve">Новата структура на </w:t>
      </w:r>
      <w:r w:rsidR="006E5733">
        <w:rPr>
          <w:rFonts w:ascii="Verdana" w:hAnsi="Verdana"/>
          <w:sz w:val="20"/>
          <w:szCs w:val="20"/>
          <w:lang w:val="bg-BG" w:eastAsia="cs-CZ"/>
        </w:rPr>
        <w:t>ГДСФМОП, е адекватна на новите отговорности на дирекцията</w:t>
      </w:r>
      <w:r>
        <w:rPr>
          <w:rFonts w:ascii="Verdana" w:hAnsi="Verdana"/>
          <w:sz w:val="20"/>
          <w:szCs w:val="20"/>
          <w:lang w:val="bg-BG" w:eastAsia="cs-CZ"/>
        </w:rPr>
        <w:t xml:space="preserve"> като УО на програмата</w:t>
      </w:r>
      <w:r w:rsidR="006E5733">
        <w:rPr>
          <w:rFonts w:ascii="Verdana" w:hAnsi="Verdana"/>
          <w:sz w:val="20"/>
          <w:szCs w:val="20"/>
          <w:lang w:val="bg-BG" w:eastAsia="cs-CZ"/>
        </w:rPr>
        <w:t>.</w:t>
      </w:r>
      <w:r>
        <w:rPr>
          <w:rFonts w:ascii="Verdana" w:hAnsi="Verdana"/>
          <w:sz w:val="20"/>
          <w:szCs w:val="20"/>
          <w:lang w:val="bg-BG" w:eastAsia="cs-CZ"/>
        </w:rPr>
        <w:t xml:space="preserve"> Създадени са нови отдели, които ще поемат допълнителните функции.</w:t>
      </w:r>
      <w:r w:rsidR="006E5733">
        <w:rPr>
          <w:rFonts w:ascii="Verdana" w:hAnsi="Verdana"/>
          <w:sz w:val="20"/>
          <w:szCs w:val="20"/>
          <w:lang w:val="bg-BG" w:eastAsia="cs-CZ"/>
        </w:rPr>
        <w:t xml:space="preserve"> Отдел </w:t>
      </w:r>
      <w:r w:rsidR="006E5733" w:rsidRPr="007531D3">
        <w:rPr>
          <w:rFonts w:ascii="Verdana" w:hAnsi="Verdana"/>
          <w:sz w:val="20"/>
          <w:szCs w:val="20"/>
        </w:rPr>
        <w:t>„</w:t>
      </w:r>
      <w:proofErr w:type="spellStart"/>
      <w:r w:rsidR="006E5733" w:rsidRPr="007531D3">
        <w:rPr>
          <w:rFonts w:ascii="Verdana" w:hAnsi="Verdana"/>
          <w:sz w:val="20"/>
          <w:szCs w:val="20"/>
        </w:rPr>
        <w:t>Управление</w:t>
      </w:r>
      <w:proofErr w:type="spellEnd"/>
      <w:r w:rsidR="006E5733" w:rsidRPr="007531D3">
        <w:rPr>
          <w:rFonts w:ascii="Verdana" w:hAnsi="Verdana"/>
          <w:sz w:val="20"/>
          <w:szCs w:val="20"/>
        </w:rPr>
        <w:t xml:space="preserve"> </w:t>
      </w:r>
      <w:proofErr w:type="spellStart"/>
      <w:r w:rsidR="006E5733" w:rsidRPr="007531D3">
        <w:rPr>
          <w:rFonts w:ascii="Verdana" w:hAnsi="Verdana"/>
          <w:sz w:val="20"/>
          <w:szCs w:val="20"/>
        </w:rPr>
        <w:t>на</w:t>
      </w:r>
      <w:proofErr w:type="spellEnd"/>
      <w:r w:rsidR="006E5733" w:rsidRPr="007531D3">
        <w:rPr>
          <w:rFonts w:ascii="Verdana" w:hAnsi="Verdana"/>
          <w:sz w:val="20"/>
          <w:szCs w:val="20"/>
        </w:rPr>
        <w:t xml:space="preserve"> </w:t>
      </w:r>
      <w:proofErr w:type="spellStart"/>
      <w:r w:rsidR="006E5733" w:rsidRPr="007531D3">
        <w:rPr>
          <w:rFonts w:ascii="Verdana" w:hAnsi="Verdana"/>
          <w:sz w:val="20"/>
          <w:szCs w:val="20"/>
        </w:rPr>
        <w:t>риска</w:t>
      </w:r>
      <w:proofErr w:type="spellEnd"/>
      <w:r w:rsidR="006E5733" w:rsidRPr="007531D3">
        <w:rPr>
          <w:rFonts w:ascii="Verdana" w:hAnsi="Verdana"/>
          <w:sz w:val="20"/>
          <w:szCs w:val="20"/>
        </w:rPr>
        <w:t xml:space="preserve"> и </w:t>
      </w:r>
      <w:proofErr w:type="spellStart"/>
      <w:r w:rsidR="006E5733" w:rsidRPr="007531D3">
        <w:rPr>
          <w:rFonts w:ascii="Verdana" w:hAnsi="Verdana"/>
          <w:sz w:val="20"/>
          <w:szCs w:val="20"/>
        </w:rPr>
        <w:t>контрол</w:t>
      </w:r>
      <w:proofErr w:type="spellEnd"/>
      <w:r w:rsidR="006E5733" w:rsidRPr="007531D3">
        <w:rPr>
          <w:rFonts w:ascii="Verdana" w:hAnsi="Verdana"/>
          <w:sz w:val="20"/>
          <w:szCs w:val="20"/>
        </w:rPr>
        <w:t>“</w:t>
      </w:r>
      <w:r w:rsidR="006E5733">
        <w:rPr>
          <w:rFonts w:ascii="Verdana" w:hAnsi="Verdana"/>
          <w:sz w:val="20"/>
          <w:szCs w:val="20"/>
          <w:lang w:val="bg-BG"/>
        </w:rPr>
        <w:t xml:space="preserve"> би трябвало да бъде на подчинение директно на главния директор за да се осигури независимостта на експерта по нередности.</w:t>
      </w:r>
    </w:p>
    <w:p w:rsidR="006E5733" w:rsidRDefault="006E5733" w:rsidP="006E5733">
      <w:pPr>
        <w:autoSpaceDE w:val="0"/>
        <w:autoSpaceDN w:val="0"/>
        <w:adjustRightInd w:val="0"/>
        <w:spacing w:before="120" w:after="120"/>
        <w:jc w:val="both"/>
        <w:rPr>
          <w:rFonts w:ascii="Verdana" w:hAnsi="Verdana"/>
          <w:sz w:val="20"/>
          <w:szCs w:val="20"/>
          <w:lang w:val="bg-BG"/>
        </w:rPr>
      </w:pPr>
      <w:r>
        <w:rPr>
          <w:rFonts w:ascii="Verdana" w:hAnsi="Verdana"/>
          <w:sz w:val="20"/>
          <w:szCs w:val="20"/>
          <w:lang w:val="bg-BG"/>
        </w:rPr>
        <w:t xml:space="preserve">Предвидените човешки ресурси като цяло са адекватни. Евентуални проблеми поради недостиг на човешки ресурс може да възникнат за отдели </w:t>
      </w:r>
      <w:r w:rsidRPr="00F10F7E">
        <w:rPr>
          <w:rFonts w:ascii="Verdana" w:hAnsi="Verdana" w:cs="TimesNewRomanPSMT"/>
          <w:sz w:val="20"/>
          <w:szCs w:val="20"/>
          <w:lang w:val="bg-BG" w:eastAsia="bg-BG"/>
        </w:rPr>
        <w:t>„</w:t>
      </w:r>
      <w:r>
        <w:rPr>
          <w:rFonts w:ascii="Verdana" w:hAnsi="Verdana" w:cs="TimesNewRomanPSMT"/>
          <w:sz w:val="20"/>
          <w:szCs w:val="20"/>
          <w:lang w:val="bg-BG" w:eastAsia="bg-BG"/>
        </w:rPr>
        <w:t>Програмиране и договаряне</w:t>
      </w:r>
      <w:r w:rsidRPr="00F10F7E">
        <w:rPr>
          <w:rFonts w:ascii="Verdana" w:hAnsi="Verdana" w:cs="TimesNewRomanPSMT"/>
          <w:sz w:val="20"/>
          <w:szCs w:val="20"/>
          <w:lang w:val="bg-BG" w:eastAsia="bg-BG"/>
        </w:rPr>
        <w:t>“</w:t>
      </w:r>
      <w:r>
        <w:rPr>
          <w:rFonts w:ascii="Verdana" w:hAnsi="Verdana" w:cs="TimesNewRomanPSMT"/>
          <w:sz w:val="20"/>
          <w:szCs w:val="20"/>
          <w:lang w:val="bg-BG" w:eastAsia="bg-BG"/>
        </w:rPr>
        <w:t xml:space="preserve">, „Финансово планиране, счетоводна отчетност и плащания“ и </w:t>
      </w:r>
      <w:r w:rsidRPr="007531D3">
        <w:rPr>
          <w:rFonts w:ascii="Verdana" w:hAnsi="Verdana"/>
          <w:sz w:val="20"/>
          <w:szCs w:val="20"/>
        </w:rPr>
        <w:t>„</w:t>
      </w:r>
      <w:proofErr w:type="spellStart"/>
      <w:r w:rsidRPr="007531D3">
        <w:rPr>
          <w:rFonts w:ascii="Verdana" w:hAnsi="Verdana"/>
          <w:sz w:val="20"/>
          <w:szCs w:val="20"/>
        </w:rPr>
        <w:t>Управление</w:t>
      </w:r>
      <w:proofErr w:type="spellEnd"/>
      <w:r w:rsidRPr="007531D3">
        <w:rPr>
          <w:rFonts w:ascii="Verdana" w:hAnsi="Verdana"/>
          <w:sz w:val="20"/>
          <w:szCs w:val="20"/>
        </w:rPr>
        <w:t xml:space="preserve"> </w:t>
      </w:r>
      <w:proofErr w:type="spellStart"/>
      <w:r w:rsidRPr="007531D3">
        <w:rPr>
          <w:rFonts w:ascii="Verdana" w:hAnsi="Verdana"/>
          <w:sz w:val="20"/>
          <w:szCs w:val="20"/>
        </w:rPr>
        <w:t>на</w:t>
      </w:r>
      <w:proofErr w:type="spellEnd"/>
      <w:r w:rsidRPr="007531D3">
        <w:rPr>
          <w:rFonts w:ascii="Verdana" w:hAnsi="Verdana"/>
          <w:sz w:val="20"/>
          <w:szCs w:val="20"/>
        </w:rPr>
        <w:t xml:space="preserve"> </w:t>
      </w:r>
      <w:proofErr w:type="spellStart"/>
      <w:r w:rsidRPr="007531D3">
        <w:rPr>
          <w:rFonts w:ascii="Verdana" w:hAnsi="Verdana"/>
          <w:sz w:val="20"/>
          <w:szCs w:val="20"/>
        </w:rPr>
        <w:t>риска</w:t>
      </w:r>
      <w:proofErr w:type="spellEnd"/>
      <w:r w:rsidRPr="007531D3">
        <w:rPr>
          <w:rFonts w:ascii="Verdana" w:hAnsi="Verdana"/>
          <w:sz w:val="20"/>
          <w:szCs w:val="20"/>
        </w:rPr>
        <w:t xml:space="preserve"> и </w:t>
      </w:r>
      <w:proofErr w:type="spellStart"/>
      <w:r w:rsidRPr="007531D3">
        <w:rPr>
          <w:rFonts w:ascii="Verdana" w:hAnsi="Verdana"/>
          <w:sz w:val="20"/>
          <w:szCs w:val="20"/>
        </w:rPr>
        <w:t>контрол</w:t>
      </w:r>
      <w:proofErr w:type="spellEnd"/>
      <w:r w:rsidRPr="007531D3">
        <w:rPr>
          <w:rFonts w:ascii="Verdana" w:hAnsi="Verdana"/>
          <w:sz w:val="20"/>
          <w:szCs w:val="20"/>
        </w:rPr>
        <w:t>“</w:t>
      </w:r>
      <w:r>
        <w:rPr>
          <w:rFonts w:ascii="Verdana" w:hAnsi="Verdana"/>
          <w:sz w:val="20"/>
          <w:szCs w:val="20"/>
        </w:rPr>
        <w:t>.</w:t>
      </w:r>
      <w:r>
        <w:rPr>
          <w:rFonts w:ascii="Verdana" w:hAnsi="Verdana"/>
          <w:sz w:val="20"/>
          <w:szCs w:val="20"/>
          <w:lang w:val="bg-BG"/>
        </w:rPr>
        <w:t xml:space="preserve"> За първите два отдела е необходими допълнителни човешки ресурс, който може да бъде набавен и чрез преразпределение на ресурси в дирекцията или от външна подкрепа. За намаляване натоварването на отдел „</w:t>
      </w:r>
      <w:proofErr w:type="spellStart"/>
      <w:r w:rsidRPr="007531D3">
        <w:rPr>
          <w:rFonts w:ascii="Verdana" w:hAnsi="Verdana"/>
          <w:sz w:val="20"/>
          <w:szCs w:val="20"/>
        </w:rPr>
        <w:t>Управление</w:t>
      </w:r>
      <w:proofErr w:type="spellEnd"/>
      <w:r w:rsidRPr="007531D3">
        <w:rPr>
          <w:rFonts w:ascii="Verdana" w:hAnsi="Verdana"/>
          <w:sz w:val="20"/>
          <w:szCs w:val="20"/>
        </w:rPr>
        <w:t xml:space="preserve"> </w:t>
      </w:r>
      <w:proofErr w:type="spellStart"/>
      <w:r w:rsidRPr="007531D3">
        <w:rPr>
          <w:rFonts w:ascii="Verdana" w:hAnsi="Verdana"/>
          <w:sz w:val="20"/>
          <w:szCs w:val="20"/>
        </w:rPr>
        <w:t>на</w:t>
      </w:r>
      <w:proofErr w:type="spellEnd"/>
      <w:r w:rsidRPr="007531D3">
        <w:rPr>
          <w:rFonts w:ascii="Verdana" w:hAnsi="Verdana"/>
          <w:sz w:val="20"/>
          <w:szCs w:val="20"/>
        </w:rPr>
        <w:t xml:space="preserve"> </w:t>
      </w:r>
      <w:proofErr w:type="spellStart"/>
      <w:r w:rsidRPr="007531D3">
        <w:rPr>
          <w:rFonts w:ascii="Verdana" w:hAnsi="Verdana"/>
          <w:sz w:val="20"/>
          <w:szCs w:val="20"/>
        </w:rPr>
        <w:t>риска</w:t>
      </w:r>
      <w:proofErr w:type="spellEnd"/>
      <w:r w:rsidRPr="007531D3">
        <w:rPr>
          <w:rFonts w:ascii="Verdana" w:hAnsi="Verdana"/>
          <w:sz w:val="20"/>
          <w:szCs w:val="20"/>
        </w:rPr>
        <w:t xml:space="preserve"> и </w:t>
      </w:r>
      <w:proofErr w:type="spellStart"/>
      <w:r w:rsidRPr="007531D3">
        <w:rPr>
          <w:rFonts w:ascii="Verdana" w:hAnsi="Verdana"/>
          <w:sz w:val="20"/>
          <w:szCs w:val="20"/>
        </w:rPr>
        <w:t>контрол</w:t>
      </w:r>
      <w:proofErr w:type="spellEnd"/>
      <w:r w:rsidRPr="007531D3">
        <w:rPr>
          <w:rFonts w:ascii="Verdana" w:hAnsi="Verdana"/>
          <w:sz w:val="20"/>
          <w:szCs w:val="20"/>
        </w:rPr>
        <w:t>“</w:t>
      </w:r>
      <w:r>
        <w:rPr>
          <w:rFonts w:ascii="Verdana" w:hAnsi="Verdana"/>
          <w:sz w:val="20"/>
          <w:szCs w:val="20"/>
          <w:lang w:val="bg-BG"/>
        </w:rPr>
        <w:t xml:space="preserve"> е препоръчително да бъде премахнат предварителният контрол върху обществените поръчки на бенефициентите или да се въведе праг, над който да бъде осъществяван такъв контрол.</w:t>
      </w:r>
    </w:p>
    <w:p w:rsidR="006E5733" w:rsidRDefault="006E5733" w:rsidP="006E5733">
      <w:pPr>
        <w:autoSpaceDE w:val="0"/>
        <w:autoSpaceDN w:val="0"/>
        <w:adjustRightInd w:val="0"/>
        <w:spacing w:before="120" w:after="120"/>
        <w:jc w:val="both"/>
        <w:rPr>
          <w:rFonts w:ascii="Verdana" w:hAnsi="Verdana"/>
          <w:sz w:val="20"/>
          <w:szCs w:val="20"/>
          <w:lang w:val="bg-BG"/>
        </w:rPr>
      </w:pPr>
      <w:r>
        <w:rPr>
          <w:rFonts w:ascii="Verdana" w:hAnsi="Verdana"/>
          <w:sz w:val="20"/>
          <w:szCs w:val="20"/>
          <w:lang w:val="bg-BG"/>
        </w:rPr>
        <w:t>Служителите притежават опит в управление на фондове на ЕС и имат възможност да получават обучение. Съществува опит в разработване на процедури и наръчници. Работата по разписване на системите за управление и контрол е започнала.</w:t>
      </w:r>
    </w:p>
    <w:p w:rsidR="006E5733" w:rsidRDefault="006E5733" w:rsidP="006E5733">
      <w:pPr>
        <w:autoSpaceDE w:val="0"/>
        <w:autoSpaceDN w:val="0"/>
        <w:adjustRightInd w:val="0"/>
        <w:spacing w:before="120" w:after="120"/>
        <w:jc w:val="both"/>
        <w:rPr>
          <w:rFonts w:ascii="Verdana" w:hAnsi="Verdana"/>
          <w:sz w:val="20"/>
          <w:szCs w:val="20"/>
          <w:lang w:val="bg-BG"/>
        </w:rPr>
      </w:pPr>
      <w:r>
        <w:rPr>
          <w:rFonts w:ascii="Verdana" w:hAnsi="Verdana"/>
          <w:sz w:val="20"/>
          <w:szCs w:val="20"/>
          <w:lang w:val="bg-BG"/>
        </w:rPr>
        <w:t xml:space="preserve">Основен проблем пред изпълнението на програмата се оказват недостатъчните технически средства, с които разполага дирекцията. Вече е стартирана поръчка за доставка на оборудване. </w:t>
      </w:r>
    </w:p>
    <w:p w:rsidR="00355798" w:rsidRPr="00355798" w:rsidRDefault="00355798" w:rsidP="00355798">
      <w:pPr>
        <w:widowControl w:val="0"/>
        <w:tabs>
          <w:tab w:val="left" w:pos="0"/>
          <w:tab w:val="right" w:pos="9214"/>
        </w:tabs>
        <w:spacing w:before="120" w:after="120"/>
        <w:jc w:val="both"/>
        <w:rPr>
          <w:rFonts w:ascii="Verdana" w:hAnsi="Verdana"/>
          <w:bCs/>
          <w:color w:val="000000"/>
          <w:sz w:val="20"/>
          <w:szCs w:val="20"/>
          <w:lang w:val="bg-BG"/>
        </w:rPr>
      </w:pPr>
      <w:r w:rsidRPr="00355798">
        <w:rPr>
          <w:rFonts w:ascii="Verdana" w:hAnsi="Verdana"/>
          <w:bCs/>
          <w:color w:val="000000"/>
          <w:sz w:val="20"/>
          <w:szCs w:val="20"/>
          <w:lang w:val="bg-BG"/>
        </w:rPr>
        <w:t>Служителите като цяло са удовлетворени от работата в ГДСФМОП, но тяхната по-добра мотивация ще повиши административния капацитет на дирекцията.</w:t>
      </w:r>
    </w:p>
    <w:p w:rsidR="006E5733" w:rsidRDefault="006E5733" w:rsidP="006E5733">
      <w:pPr>
        <w:autoSpaceDE w:val="0"/>
        <w:autoSpaceDN w:val="0"/>
        <w:adjustRightInd w:val="0"/>
        <w:spacing w:before="120" w:after="120"/>
        <w:jc w:val="both"/>
        <w:rPr>
          <w:rFonts w:ascii="Verdana" w:hAnsi="Verdana"/>
          <w:sz w:val="20"/>
          <w:szCs w:val="20"/>
          <w:lang w:val="bg-BG"/>
        </w:rPr>
      </w:pPr>
      <w:r w:rsidRPr="006E5733">
        <w:rPr>
          <w:rFonts w:ascii="Verdana" w:hAnsi="Verdana"/>
          <w:sz w:val="20"/>
          <w:szCs w:val="20"/>
          <w:lang w:val="bg-BG"/>
        </w:rPr>
        <w:t>Голяма част от потенциалните бенефициенти по програмата вече имат изграден капацитет на базата на изпълнени проекти в настоящия програмен период. Въпреки това е необходима подкрепа и през настоящия програмен период.</w:t>
      </w:r>
    </w:p>
    <w:p w:rsidR="006E5733" w:rsidRPr="000E7FCE" w:rsidRDefault="006E5733" w:rsidP="000E7FCE">
      <w:pPr>
        <w:autoSpaceDE w:val="0"/>
        <w:autoSpaceDN w:val="0"/>
        <w:adjustRightInd w:val="0"/>
        <w:spacing w:before="120" w:after="120"/>
        <w:jc w:val="both"/>
        <w:rPr>
          <w:rFonts w:ascii="Verdana" w:hAnsi="Verdana"/>
          <w:sz w:val="20"/>
          <w:szCs w:val="20"/>
          <w:lang w:val="bg-BG"/>
        </w:rPr>
      </w:pPr>
      <w:r>
        <w:rPr>
          <w:rFonts w:ascii="Verdana" w:hAnsi="Verdana"/>
          <w:sz w:val="20"/>
          <w:szCs w:val="20"/>
          <w:lang w:val="bg-BG"/>
        </w:rPr>
        <w:t xml:space="preserve">Основните проблеми по отношение на системата за мониторинг се очаква да са свързани с </w:t>
      </w:r>
      <w:r w:rsidRPr="000E7FCE">
        <w:rPr>
          <w:rFonts w:ascii="Verdana" w:hAnsi="Verdana"/>
          <w:sz w:val="20"/>
          <w:szCs w:val="20"/>
          <w:lang w:val="bg-BG"/>
        </w:rPr>
        <w:t xml:space="preserve">качество на подаваната информация на ниво проект, качество на  обработваната информация на ниво схема/ приоритетна ос (възможност за агрегиране на данните и информацията), използване на набраните данни от система за </w:t>
      </w:r>
      <w:proofErr w:type="spellStart"/>
      <w:r w:rsidRPr="000E7FCE">
        <w:rPr>
          <w:rFonts w:ascii="Verdana" w:hAnsi="Verdana"/>
          <w:sz w:val="20"/>
          <w:szCs w:val="20"/>
          <w:lang w:val="bg-BG"/>
        </w:rPr>
        <w:t>мониториг</w:t>
      </w:r>
      <w:proofErr w:type="spellEnd"/>
      <w:r w:rsidRPr="000E7FCE">
        <w:rPr>
          <w:rFonts w:ascii="Verdana" w:hAnsi="Verdana"/>
          <w:sz w:val="20"/>
          <w:szCs w:val="20"/>
          <w:lang w:val="bg-BG"/>
        </w:rPr>
        <w:t xml:space="preserve"> за изготвяне на анализи за изпълнението на програмата и ефективното използване на индикаторите за целите на наблюдение и оценка.</w:t>
      </w:r>
    </w:p>
    <w:p w:rsidR="000E7FCE" w:rsidRDefault="000E7FCE" w:rsidP="000E7FCE">
      <w:pPr>
        <w:autoSpaceDE w:val="0"/>
        <w:autoSpaceDN w:val="0"/>
        <w:adjustRightInd w:val="0"/>
        <w:spacing w:before="120" w:after="120"/>
        <w:jc w:val="both"/>
        <w:rPr>
          <w:rFonts w:ascii="Verdana" w:hAnsi="Verdana"/>
          <w:sz w:val="20"/>
          <w:szCs w:val="20"/>
          <w:lang w:val="bg-BG"/>
        </w:rPr>
      </w:pPr>
      <w:r w:rsidRPr="000E7FCE">
        <w:rPr>
          <w:rFonts w:ascii="Verdana" w:hAnsi="Verdana"/>
          <w:sz w:val="20"/>
          <w:szCs w:val="20"/>
          <w:lang w:val="bg-BG"/>
        </w:rPr>
        <w:lastRenderedPageBreak/>
        <w:t>Планът за оценка на оперативната програма все още не е изготвен. Поради това в рамките на предварителната оценка не беше възможно да бъде прегледан</w:t>
      </w:r>
      <w:r>
        <w:rPr>
          <w:rFonts w:ascii="Verdana" w:hAnsi="Verdana"/>
          <w:sz w:val="20"/>
          <w:szCs w:val="20"/>
          <w:lang w:val="bg-BG"/>
        </w:rPr>
        <w:t>.</w:t>
      </w:r>
    </w:p>
    <w:p w:rsidR="00632267" w:rsidRPr="00CE3DBD" w:rsidRDefault="00632267" w:rsidP="00632267">
      <w:pPr>
        <w:pStyle w:val="Heading2"/>
        <w:shd w:val="clear" w:color="auto" w:fill="FFCC99"/>
        <w:spacing w:line="276" w:lineRule="auto"/>
        <w:rPr>
          <w:rFonts w:ascii="Verdana" w:hAnsi="Verdana"/>
          <w:i w:val="0"/>
          <w:iCs/>
          <w:color w:val="0063B8"/>
          <w:sz w:val="26"/>
          <w:szCs w:val="26"/>
          <w:lang w:val="bg-BG"/>
        </w:rPr>
      </w:pPr>
      <w:bookmarkStart w:id="180" w:name="_Toc362617909"/>
      <w:bookmarkStart w:id="181" w:name="_Toc379372165"/>
      <w:bookmarkStart w:id="182" w:name="_Toc395612530"/>
      <w:r>
        <w:rPr>
          <w:rFonts w:ascii="Verdana" w:hAnsi="Verdana"/>
          <w:i w:val="0"/>
          <w:iCs/>
          <w:color w:val="0063B8"/>
          <w:sz w:val="26"/>
          <w:szCs w:val="26"/>
          <w:lang w:val="bg-BG"/>
        </w:rPr>
        <w:t>Препоръки</w:t>
      </w:r>
      <w:bookmarkEnd w:id="180"/>
      <w:bookmarkEnd w:id="181"/>
      <w:bookmarkEnd w:id="182"/>
    </w:p>
    <w:p w:rsidR="00632267" w:rsidRDefault="00632267" w:rsidP="00B75D91">
      <w:pPr>
        <w:spacing w:after="120"/>
        <w:jc w:val="both"/>
        <w:rPr>
          <w:rFonts w:ascii="Verdana" w:hAnsi="Verdana"/>
          <w:sz w:val="20"/>
          <w:szCs w:val="20"/>
          <w:lang w:val="bg-BG"/>
        </w:rPr>
      </w:pPr>
    </w:p>
    <w:p w:rsidR="00D737F0" w:rsidRPr="003220D9" w:rsidRDefault="00D737F0" w:rsidP="001A66A0">
      <w:pPr>
        <w:keepNext/>
        <w:spacing w:before="240" w:after="120"/>
        <w:jc w:val="both"/>
        <w:rPr>
          <w:rFonts w:ascii="Verdana" w:hAnsi="Verdana"/>
          <w:color w:val="548DD4" w:themeColor="text2" w:themeTint="99"/>
          <w:sz w:val="20"/>
          <w:szCs w:val="20"/>
          <w:lang w:val="bg-BG"/>
        </w:rPr>
      </w:pPr>
      <w:r w:rsidRPr="003220D9">
        <w:rPr>
          <w:rFonts w:ascii="Verdana" w:hAnsi="Verdana"/>
          <w:color w:val="548DD4" w:themeColor="text2" w:themeTint="99"/>
          <w:sz w:val="20"/>
          <w:szCs w:val="20"/>
          <w:lang w:val="bg-BG"/>
        </w:rPr>
        <w:t>По отношение на външната съгласуваност</w:t>
      </w:r>
    </w:p>
    <w:tbl>
      <w:tblPr>
        <w:tblStyle w:val="TableGrid"/>
        <w:tblW w:w="0" w:type="auto"/>
        <w:tblInd w:w="108" w:type="dxa"/>
        <w:tblBorders>
          <w:top w:val="single" w:sz="4" w:space="0" w:color="17365D" w:themeColor="text2" w:themeShade="BF"/>
          <w:left w:val="single" w:sz="4" w:space="0" w:color="17365D" w:themeColor="text2" w:themeShade="BF"/>
          <w:bottom w:val="single" w:sz="4" w:space="0" w:color="17365D" w:themeColor="text2" w:themeShade="BF"/>
          <w:right w:val="single" w:sz="4" w:space="0" w:color="17365D" w:themeColor="text2" w:themeShade="BF"/>
          <w:insideH w:val="single" w:sz="4" w:space="0" w:color="17365D" w:themeColor="text2" w:themeShade="BF"/>
          <w:insideV w:val="single" w:sz="4" w:space="0" w:color="17365D" w:themeColor="text2" w:themeShade="BF"/>
        </w:tblBorders>
        <w:tblLook w:val="04A0" w:firstRow="1" w:lastRow="0" w:firstColumn="1" w:lastColumn="0" w:noHBand="0" w:noVBand="1"/>
      </w:tblPr>
      <w:tblGrid>
        <w:gridCol w:w="5387"/>
        <w:gridCol w:w="3585"/>
      </w:tblGrid>
      <w:tr w:rsidR="003220D9" w:rsidRPr="00B45B4F" w:rsidTr="0036128F">
        <w:tc>
          <w:tcPr>
            <w:tcW w:w="5387" w:type="dxa"/>
            <w:shd w:val="clear" w:color="auto" w:fill="548DD4" w:themeFill="text2" w:themeFillTint="99"/>
          </w:tcPr>
          <w:p w:rsidR="003220D9" w:rsidRPr="00B45B4F" w:rsidRDefault="003220D9" w:rsidP="0036128F">
            <w:pPr>
              <w:spacing w:before="120" w:after="120"/>
              <w:jc w:val="center"/>
              <w:rPr>
                <w:rFonts w:ascii="Verdana" w:hAnsi="Verdana"/>
                <w:b/>
                <w:color w:val="FFFFFF" w:themeColor="background1"/>
                <w:sz w:val="20"/>
                <w:szCs w:val="20"/>
                <w:lang w:val="bg-BG"/>
              </w:rPr>
            </w:pPr>
            <w:r w:rsidRPr="00B45B4F">
              <w:rPr>
                <w:rFonts w:ascii="Verdana" w:hAnsi="Verdana"/>
                <w:b/>
                <w:color w:val="FFFFFF" w:themeColor="background1"/>
                <w:sz w:val="20"/>
                <w:szCs w:val="20"/>
                <w:lang w:val="bg-BG"/>
              </w:rPr>
              <w:t>Извод</w:t>
            </w:r>
          </w:p>
        </w:tc>
        <w:tc>
          <w:tcPr>
            <w:tcW w:w="3585" w:type="dxa"/>
            <w:shd w:val="clear" w:color="auto" w:fill="548DD4" w:themeFill="text2" w:themeFillTint="99"/>
          </w:tcPr>
          <w:p w:rsidR="003220D9" w:rsidRPr="00B45B4F" w:rsidRDefault="003220D9" w:rsidP="0036128F">
            <w:pPr>
              <w:spacing w:before="120" w:after="120"/>
              <w:jc w:val="center"/>
              <w:rPr>
                <w:rFonts w:ascii="Verdana" w:hAnsi="Verdana"/>
                <w:b/>
                <w:color w:val="FFFFFF" w:themeColor="background1"/>
                <w:sz w:val="20"/>
                <w:szCs w:val="20"/>
                <w:lang w:val="bg-BG"/>
              </w:rPr>
            </w:pPr>
            <w:r w:rsidRPr="00B45B4F">
              <w:rPr>
                <w:rFonts w:ascii="Verdana" w:hAnsi="Verdana"/>
                <w:b/>
                <w:color w:val="FFFFFF" w:themeColor="background1"/>
                <w:sz w:val="20"/>
                <w:szCs w:val="20"/>
                <w:lang w:val="bg-BG"/>
              </w:rPr>
              <w:t>Препоръка</w:t>
            </w:r>
          </w:p>
        </w:tc>
      </w:tr>
      <w:tr w:rsidR="003220D9" w:rsidRPr="00B45B4F" w:rsidTr="0036128F">
        <w:tc>
          <w:tcPr>
            <w:tcW w:w="5387" w:type="dxa"/>
          </w:tcPr>
          <w:p w:rsidR="003220D9" w:rsidRPr="00B45B4F" w:rsidRDefault="003220D9" w:rsidP="0036128F">
            <w:pPr>
              <w:autoSpaceDE w:val="0"/>
              <w:autoSpaceDN w:val="0"/>
              <w:adjustRightInd w:val="0"/>
              <w:spacing w:after="60" w:line="240" w:lineRule="auto"/>
              <w:jc w:val="both"/>
              <w:rPr>
                <w:rFonts w:ascii="Verdana" w:hAnsi="Verdana"/>
                <w:sz w:val="20"/>
                <w:szCs w:val="20"/>
                <w:lang w:val="bg-BG"/>
              </w:rPr>
            </w:pPr>
            <w:r w:rsidRPr="00B45B4F">
              <w:rPr>
                <w:rFonts w:ascii="Verdana" w:eastAsiaTheme="minorHAnsi" w:hAnsi="Verdana"/>
                <w:sz w:val="20"/>
                <w:szCs w:val="20"/>
                <w:lang w:val="bg-BG"/>
              </w:rPr>
              <w:t>“Териториален дневен ред на Европейския съюз 2020”, поставя като основна цел постигане на “териториално сближаване за по-хармонизирани и балансирани условия в Европа</w:t>
            </w:r>
            <w:r w:rsidRPr="00B45B4F">
              <w:rPr>
                <w:rFonts w:ascii="Verdana" w:hAnsi="Verdana"/>
                <w:sz w:val="20"/>
                <w:szCs w:val="20"/>
                <w:lang w:val="bg-BG"/>
              </w:rPr>
              <w:t xml:space="preserve">”, включително сближаване </w:t>
            </w:r>
            <w:r w:rsidRPr="00B45B4F">
              <w:rPr>
                <w:rFonts w:ascii="Verdana" w:eastAsiaTheme="minorHAnsi" w:hAnsi="Verdana"/>
                <w:sz w:val="20"/>
                <w:szCs w:val="20"/>
                <w:lang w:val="bg-BG"/>
              </w:rPr>
              <w:t>в дадена страна и вътрешно-регионално в отделните райони</w:t>
            </w:r>
            <w:r w:rsidRPr="00B45B4F">
              <w:rPr>
                <w:rFonts w:ascii="Verdana" w:hAnsi="Verdana"/>
                <w:sz w:val="20"/>
                <w:szCs w:val="20"/>
                <w:lang w:val="bg-BG"/>
              </w:rPr>
              <w:t xml:space="preserve">. </w:t>
            </w:r>
          </w:p>
          <w:p w:rsidR="003220D9" w:rsidRPr="00B45B4F" w:rsidRDefault="003220D9" w:rsidP="0036128F">
            <w:pPr>
              <w:autoSpaceDE w:val="0"/>
              <w:autoSpaceDN w:val="0"/>
              <w:adjustRightInd w:val="0"/>
              <w:spacing w:after="60" w:line="240" w:lineRule="auto"/>
              <w:jc w:val="both"/>
              <w:rPr>
                <w:rFonts w:ascii="Verdana" w:hAnsi="Verdana"/>
                <w:sz w:val="20"/>
                <w:szCs w:val="20"/>
                <w:lang w:val="bg-BG"/>
              </w:rPr>
            </w:pPr>
            <w:r w:rsidRPr="00B45B4F">
              <w:rPr>
                <w:rFonts w:ascii="Verdana" w:hAnsi="Verdana"/>
                <w:sz w:val="20"/>
                <w:szCs w:val="20"/>
                <w:lang w:val="bg-BG"/>
              </w:rPr>
              <w:t>Стратегията за демографско развитие на Република България предвижда по отношение областта на образованието „</w:t>
            </w:r>
            <w:r w:rsidRPr="00B45B4F">
              <w:rPr>
                <w:rFonts w:ascii="Verdana" w:hAnsi="Verdana"/>
                <w:i/>
                <w:sz w:val="20"/>
                <w:szCs w:val="20"/>
                <w:lang w:val="bg-BG"/>
              </w:rPr>
              <w:t>Създаване на условия за сближаване на образователните модели на жителите на големите градове и на живеещите в малките селища, особено в изостаналите селски райони</w:t>
            </w:r>
            <w:r w:rsidRPr="00B45B4F">
              <w:rPr>
                <w:rFonts w:ascii="Verdana" w:hAnsi="Verdana"/>
                <w:sz w:val="20"/>
                <w:szCs w:val="20"/>
                <w:lang w:val="bg-BG"/>
              </w:rPr>
              <w:t>“</w:t>
            </w:r>
          </w:p>
          <w:p w:rsidR="003220D9" w:rsidRPr="00B45B4F" w:rsidRDefault="003220D9" w:rsidP="0036128F">
            <w:pPr>
              <w:autoSpaceDE w:val="0"/>
              <w:autoSpaceDN w:val="0"/>
              <w:adjustRightInd w:val="0"/>
              <w:spacing w:after="60" w:line="240" w:lineRule="auto"/>
              <w:jc w:val="both"/>
              <w:rPr>
                <w:rFonts w:ascii="Verdana" w:hAnsi="Verdana"/>
                <w:sz w:val="20"/>
                <w:szCs w:val="20"/>
                <w:lang w:val="bg-BG"/>
              </w:rPr>
            </w:pPr>
            <w:r w:rsidRPr="00B45B4F">
              <w:rPr>
                <w:rFonts w:ascii="Verdana" w:hAnsi="Verdana"/>
                <w:sz w:val="20"/>
                <w:szCs w:val="20"/>
                <w:lang w:val="bg-BG"/>
              </w:rPr>
              <w:t>В ОПНОИР е отбелязан проблемът с по-ниското качество на образование в малките населени места, но той не е адресиран ясно.</w:t>
            </w:r>
          </w:p>
        </w:tc>
        <w:tc>
          <w:tcPr>
            <w:tcW w:w="3585" w:type="dxa"/>
          </w:tcPr>
          <w:p w:rsidR="003220D9" w:rsidRPr="00B45B4F" w:rsidRDefault="003220D9" w:rsidP="0036128F">
            <w:pPr>
              <w:autoSpaceDE w:val="0"/>
              <w:autoSpaceDN w:val="0"/>
              <w:adjustRightInd w:val="0"/>
              <w:spacing w:after="60" w:line="240" w:lineRule="auto"/>
              <w:jc w:val="both"/>
              <w:rPr>
                <w:rFonts w:ascii="Verdana" w:hAnsi="Verdana"/>
                <w:sz w:val="20"/>
                <w:szCs w:val="20"/>
                <w:lang w:val="bg-BG"/>
              </w:rPr>
            </w:pPr>
            <w:r w:rsidRPr="00B45B4F">
              <w:rPr>
                <w:rFonts w:ascii="Verdana" w:eastAsiaTheme="minorHAnsi" w:hAnsi="Verdana"/>
                <w:sz w:val="20"/>
                <w:szCs w:val="20"/>
                <w:lang w:val="bg-BG"/>
              </w:rPr>
              <w:t>Да се потърси по-голям принос на ОПНОИР 2014–2020 г. по отношение на териториалното сближаване що се отнася до разликите в качеството на образование в малките и големите населени места.</w:t>
            </w:r>
          </w:p>
        </w:tc>
      </w:tr>
      <w:tr w:rsidR="003220D9" w:rsidRPr="00B45B4F" w:rsidTr="0036128F">
        <w:tc>
          <w:tcPr>
            <w:tcW w:w="5387" w:type="dxa"/>
          </w:tcPr>
          <w:p w:rsidR="003220D9" w:rsidRPr="00B45B4F" w:rsidRDefault="003220D9" w:rsidP="0036128F">
            <w:pPr>
              <w:autoSpaceDE w:val="0"/>
              <w:autoSpaceDN w:val="0"/>
              <w:adjustRightInd w:val="0"/>
              <w:spacing w:after="60" w:line="240" w:lineRule="auto"/>
              <w:jc w:val="both"/>
              <w:rPr>
                <w:rFonts w:ascii="Verdana" w:eastAsiaTheme="minorHAnsi" w:hAnsi="Verdana"/>
                <w:sz w:val="20"/>
                <w:szCs w:val="20"/>
                <w:lang w:val="bg-BG"/>
              </w:rPr>
            </w:pPr>
            <w:r w:rsidRPr="00B45B4F">
              <w:rPr>
                <w:rFonts w:ascii="Verdana" w:eastAsiaTheme="minorHAnsi" w:hAnsi="Verdana"/>
                <w:sz w:val="20"/>
                <w:szCs w:val="20"/>
                <w:lang w:val="bg-BG"/>
              </w:rPr>
              <w:t>ОПНОИР както цяло отговаря на целите и приоритетите, декларирани в Комюникето от Букурещ на министрите, отговорни за висшето образование</w:t>
            </w:r>
            <w:r>
              <w:rPr>
                <w:rFonts w:ascii="Verdana" w:eastAsiaTheme="minorHAnsi" w:hAnsi="Verdana"/>
                <w:sz w:val="20"/>
                <w:szCs w:val="20"/>
                <w:lang w:val="bg-BG"/>
              </w:rPr>
              <w:t>.</w:t>
            </w:r>
          </w:p>
        </w:tc>
        <w:tc>
          <w:tcPr>
            <w:tcW w:w="3585" w:type="dxa"/>
          </w:tcPr>
          <w:p w:rsidR="003220D9" w:rsidRPr="00B45B4F" w:rsidRDefault="003220D9" w:rsidP="0036128F">
            <w:pPr>
              <w:autoSpaceDE w:val="0"/>
              <w:autoSpaceDN w:val="0"/>
              <w:adjustRightInd w:val="0"/>
              <w:spacing w:after="60" w:line="240" w:lineRule="auto"/>
              <w:jc w:val="both"/>
              <w:rPr>
                <w:rFonts w:ascii="Verdana" w:eastAsiaTheme="minorHAnsi" w:hAnsi="Verdana"/>
                <w:sz w:val="20"/>
                <w:szCs w:val="20"/>
                <w:lang w:val="bg-BG"/>
              </w:rPr>
            </w:pPr>
            <w:r w:rsidRPr="00B45B4F">
              <w:rPr>
                <w:rFonts w:ascii="Verdana" w:eastAsiaTheme="minorHAnsi" w:hAnsi="Verdana"/>
                <w:sz w:val="20"/>
                <w:szCs w:val="20"/>
                <w:lang w:val="bg-BG"/>
              </w:rPr>
              <w:t xml:space="preserve">В отговор на изведените подходи в комюникето, ОПНОИР би могла </w:t>
            </w:r>
            <w:r w:rsidR="00C612E4">
              <w:rPr>
                <w:rFonts w:ascii="Verdana" w:eastAsiaTheme="minorHAnsi" w:hAnsi="Verdana"/>
                <w:sz w:val="20"/>
                <w:szCs w:val="20"/>
                <w:lang w:val="bg-BG"/>
              </w:rPr>
              <w:t xml:space="preserve">да </w:t>
            </w:r>
            <w:r w:rsidRPr="00B45B4F">
              <w:rPr>
                <w:rFonts w:ascii="Verdana" w:eastAsiaTheme="minorHAnsi" w:hAnsi="Verdana"/>
                <w:sz w:val="20"/>
                <w:szCs w:val="20"/>
                <w:lang w:val="bg-BG"/>
              </w:rPr>
              <w:t>анализира възможна подкрепа за разработване на съвместни програми и степени с други университети, както част от мерките за подобряване на качеството и ефикасността на висшето образование.</w:t>
            </w:r>
          </w:p>
        </w:tc>
      </w:tr>
      <w:tr w:rsidR="003220D9" w:rsidRPr="00B45B4F" w:rsidTr="0036128F">
        <w:tc>
          <w:tcPr>
            <w:tcW w:w="5387" w:type="dxa"/>
          </w:tcPr>
          <w:p w:rsidR="003220D9" w:rsidRPr="00B45B4F" w:rsidRDefault="003220D9" w:rsidP="0036128F">
            <w:pPr>
              <w:autoSpaceDE w:val="0"/>
              <w:autoSpaceDN w:val="0"/>
              <w:adjustRightInd w:val="0"/>
              <w:spacing w:after="60" w:line="240" w:lineRule="auto"/>
              <w:jc w:val="both"/>
              <w:rPr>
                <w:rFonts w:ascii="Verdana" w:eastAsiaTheme="minorHAnsi" w:hAnsi="Verdana"/>
                <w:sz w:val="20"/>
                <w:szCs w:val="20"/>
                <w:lang w:val="bg-BG"/>
              </w:rPr>
            </w:pPr>
            <w:r w:rsidRPr="00B45B4F">
              <w:rPr>
                <w:rFonts w:ascii="Verdana" w:eastAsiaTheme="minorHAnsi" w:hAnsi="Verdana"/>
                <w:sz w:val="20"/>
                <w:szCs w:val="20"/>
                <w:lang w:val="bg-BG"/>
              </w:rPr>
              <w:t>ОРНОИР като цяло е в хармония с рамките, заложени в СП. Следните мерки са по-слабо или неясно отразени:</w:t>
            </w:r>
          </w:p>
          <w:p w:rsidR="003220D9" w:rsidRPr="00B45B4F" w:rsidRDefault="003220D9" w:rsidP="006861B0">
            <w:pPr>
              <w:pStyle w:val="ListParagraph"/>
              <w:numPr>
                <w:ilvl w:val="0"/>
                <w:numId w:val="36"/>
              </w:numPr>
              <w:autoSpaceDE w:val="0"/>
              <w:autoSpaceDN w:val="0"/>
              <w:adjustRightInd w:val="0"/>
              <w:spacing w:after="60" w:line="240" w:lineRule="auto"/>
              <w:ind w:left="312" w:hanging="284"/>
              <w:jc w:val="both"/>
              <w:rPr>
                <w:rFonts w:ascii="Verdana" w:eastAsiaTheme="minorHAnsi" w:hAnsi="Verdana"/>
                <w:sz w:val="20"/>
                <w:szCs w:val="20"/>
                <w:lang w:val="bg-BG"/>
              </w:rPr>
            </w:pPr>
            <w:r w:rsidRPr="00B45B4F">
              <w:rPr>
                <w:rFonts w:ascii="Verdana" w:eastAsiaTheme="minorHAnsi" w:hAnsi="Verdana"/>
                <w:sz w:val="20"/>
                <w:szCs w:val="20"/>
                <w:lang w:val="bg-BG"/>
              </w:rPr>
              <w:t>Създаване и укрепване на партньорства между висшето образование, предприятията и научните изследвания;</w:t>
            </w:r>
          </w:p>
          <w:p w:rsidR="003220D9" w:rsidRPr="00B45B4F" w:rsidRDefault="003220D9" w:rsidP="006861B0">
            <w:pPr>
              <w:pStyle w:val="ListParagraph"/>
              <w:numPr>
                <w:ilvl w:val="0"/>
                <w:numId w:val="36"/>
              </w:numPr>
              <w:autoSpaceDE w:val="0"/>
              <w:autoSpaceDN w:val="0"/>
              <w:adjustRightInd w:val="0"/>
              <w:spacing w:after="60" w:line="240" w:lineRule="auto"/>
              <w:ind w:left="312" w:hanging="284"/>
              <w:jc w:val="both"/>
              <w:rPr>
                <w:rFonts w:ascii="Verdana" w:eastAsiaTheme="minorHAnsi" w:hAnsi="Verdana"/>
                <w:sz w:val="20"/>
                <w:szCs w:val="20"/>
                <w:lang w:val="bg-BG"/>
              </w:rPr>
            </w:pPr>
            <w:r w:rsidRPr="00B45B4F">
              <w:rPr>
                <w:rFonts w:ascii="Verdana" w:eastAsiaTheme="minorHAnsi" w:hAnsi="Verdana"/>
                <w:sz w:val="20"/>
                <w:szCs w:val="20"/>
                <w:lang w:val="bg-BG"/>
              </w:rPr>
              <w:t>Подобряване капацитета за управление на научните институти;</w:t>
            </w:r>
          </w:p>
          <w:p w:rsidR="003220D9" w:rsidRPr="00B45B4F" w:rsidRDefault="003220D9" w:rsidP="006861B0">
            <w:pPr>
              <w:pStyle w:val="ListParagraph"/>
              <w:numPr>
                <w:ilvl w:val="0"/>
                <w:numId w:val="36"/>
              </w:numPr>
              <w:autoSpaceDE w:val="0"/>
              <w:autoSpaceDN w:val="0"/>
              <w:adjustRightInd w:val="0"/>
              <w:spacing w:after="60" w:line="240" w:lineRule="auto"/>
              <w:ind w:left="312" w:hanging="284"/>
              <w:jc w:val="both"/>
              <w:rPr>
                <w:rFonts w:ascii="Verdana" w:eastAsiaTheme="minorHAnsi" w:hAnsi="Verdana"/>
                <w:sz w:val="20"/>
                <w:szCs w:val="20"/>
                <w:lang w:val="bg-BG"/>
              </w:rPr>
            </w:pPr>
            <w:r w:rsidRPr="00B45B4F">
              <w:rPr>
                <w:rFonts w:ascii="Verdana" w:eastAsiaTheme="minorHAnsi" w:hAnsi="Verdana"/>
                <w:sz w:val="20"/>
                <w:szCs w:val="20"/>
                <w:lang w:val="bg-BG"/>
              </w:rPr>
              <w:t>Създаване на възможности за стажове на изследователи в предприятия;</w:t>
            </w:r>
          </w:p>
          <w:p w:rsidR="003220D9" w:rsidRPr="00B45B4F" w:rsidRDefault="003220D9" w:rsidP="006861B0">
            <w:pPr>
              <w:pStyle w:val="ListParagraph"/>
              <w:numPr>
                <w:ilvl w:val="0"/>
                <w:numId w:val="36"/>
              </w:numPr>
              <w:autoSpaceDE w:val="0"/>
              <w:autoSpaceDN w:val="0"/>
              <w:adjustRightInd w:val="0"/>
              <w:spacing w:after="60" w:line="240" w:lineRule="auto"/>
              <w:ind w:left="312" w:hanging="284"/>
              <w:jc w:val="both"/>
              <w:rPr>
                <w:rFonts w:ascii="Verdana" w:eastAsiaTheme="minorHAnsi" w:hAnsi="Verdana"/>
                <w:sz w:val="20"/>
                <w:szCs w:val="20"/>
                <w:lang w:val="bg-BG"/>
              </w:rPr>
            </w:pPr>
            <w:r w:rsidRPr="00B45B4F">
              <w:rPr>
                <w:rFonts w:ascii="Verdana" w:eastAsiaTheme="minorHAnsi" w:hAnsi="Verdana"/>
                <w:sz w:val="20"/>
                <w:szCs w:val="20"/>
                <w:lang w:val="bg-BG"/>
              </w:rPr>
              <w:t xml:space="preserve">Стимулиране на образователните институции да предоставят образователни услуги извън рамките на своята инфраструктура на базата </w:t>
            </w:r>
            <w:r w:rsidRPr="00B45B4F">
              <w:rPr>
                <w:rFonts w:ascii="Verdana" w:eastAsiaTheme="minorHAnsi" w:hAnsi="Verdana"/>
                <w:sz w:val="20"/>
                <w:szCs w:val="20"/>
                <w:lang w:val="bg-BG"/>
              </w:rPr>
              <w:lastRenderedPageBreak/>
              <w:t>на партньорство с работодатели, държавни и общински институции и други заинтересовани страни.</w:t>
            </w:r>
          </w:p>
          <w:p w:rsidR="003220D9" w:rsidRPr="00B45B4F" w:rsidRDefault="003220D9" w:rsidP="006861B0">
            <w:pPr>
              <w:pStyle w:val="ListParagraph"/>
              <w:numPr>
                <w:ilvl w:val="0"/>
                <w:numId w:val="36"/>
              </w:numPr>
              <w:autoSpaceDE w:val="0"/>
              <w:autoSpaceDN w:val="0"/>
              <w:adjustRightInd w:val="0"/>
              <w:spacing w:after="60" w:line="240" w:lineRule="auto"/>
              <w:ind w:left="312" w:hanging="284"/>
              <w:jc w:val="both"/>
              <w:rPr>
                <w:rFonts w:ascii="Verdana" w:eastAsiaTheme="minorHAnsi" w:hAnsi="Verdana"/>
                <w:sz w:val="20"/>
                <w:szCs w:val="20"/>
                <w:lang w:val="bg-BG"/>
              </w:rPr>
            </w:pPr>
            <w:r w:rsidRPr="00B45B4F">
              <w:rPr>
                <w:rFonts w:ascii="Verdana" w:eastAsiaTheme="minorHAnsi" w:hAnsi="Verdana"/>
                <w:sz w:val="20"/>
                <w:szCs w:val="20"/>
                <w:lang w:val="bg-BG"/>
              </w:rPr>
              <w:t>Развитие на партньорства между бизнеса и научните среди.</w:t>
            </w:r>
          </w:p>
        </w:tc>
        <w:tc>
          <w:tcPr>
            <w:tcW w:w="3585" w:type="dxa"/>
          </w:tcPr>
          <w:p w:rsidR="003220D9" w:rsidRPr="00B45B4F" w:rsidRDefault="003220D9" w:rsidP="0036128F">
            <w:pPr>
              <w:autoSpaceDE w:val="0"/>
              <w:autoSpaceDN w:val="0"/>
              <w:adjustRightInd w:val="0"/>
              <w:spacing w:after="60" w:line="240" w:lineRule="auto"/>
              <w:jc w:val="both"/>
              <w:rPr>
                <w:rFonts w:ascii="Verdana" w:eastAsiaTheme="minorHAnsi" w:hAnsi="Verdana"/>
                <w:sz w:val="20"/>
                <w:szCs w:val="20"/>
                <w:lang w:val="bg-BG"/>
              </w:rPr>
            </w:pPr>
            <w:r w:rsidRPr="00B45B4F">
              <w:rPr>
                <w:rFonts w:ascii="Verdana" w:eastAsiaTheme="minorHAnsi" w:hAnsi="Verdana"/>
                <w:sz w:val="20"/>
                <w:szCs w:val="20"/>
                <w:lang w:val="bg-BG"/>
              </w:rPr>
              <w:lastRenderedPageBreak/>
              <w:t>Да се потърси възможност за по-пълно отразяване на изброените мерки, дискутирани в СП.</w:t>
            </w:r>
          </w:p>
        </w:tc>
      </w:tr>
      <w:tr w:rsidR="003220D9" w:rsidRPr="00B45B4F" w:rsidTr="0036128F">
        <w:tc>
          <w:tcPr>
            <w:tcW w:w="5387" w:type="dxa"/>
          </w:tcPr>
          <w:p w:rsidR="003220D9" w:rsidRPr="00B45B4F" w:rsidRDefault="003220D9" w:rsidP="0036128F">
            <w:pPr>
              <w:autoSpaceDE w:val="0"/>
              <w:autoSpaceDN w:val="0"/>
              <w:adjustRightInd w:val="0"/>
              <w:spacing w:after="60" w:line="240" w:lineRule="auto"/>
              <w:jc w:val="both"/>
              <w:rPr>
                <w:rFonts w:ascii="Verdana" w:eastAsiaTheme="minorHAnsi" w:hAnsi="Verdana"/>
                <w:sz w:val="20"/>
                <w:szCs w:val="20"/>
                <w:lang w:val="bg-BG"/>
              </w:rPr>
            </w:pPr>
            <w:r w:rsidRPr="00B45B4F">
              <w:rPr>
                <w:rFonts w:ascii="Verdana" w:eastAsiaTheme="minorHAnsi" w:hAnsi="Verdana"/>
                <w:sz w:val="20"/>
                <w:szCs w:val="20"/>
                <w:lang w:val="bg-BG"/>
              </w:rPr>
              <w:lastRenderedPageBreak/>
              <w:t>В раздел 8 на програмата е посочено допълването и разграничаването между ОПНОИР и останалите оперативни програми за периода 2014–2020. За някои от програмите са отправени специфични препоръки.</w:t>
            </w:r>
          </w:p>
        </w:tc>
        <w:tc>
          <w:tcPr>
            <w:tcW w:w="3585" w:type="dxa"/>
          </w:tcPr>
          <w:p w:rsidR="003220D9" w:rsidRPr="00B45B4F" w:rsidRDefault="003220D9" w:rsidP="0036128F">
            <w:pPr>
              <w:autoSpaceDE w:val="0"/>
              <w:autoSpaceDN w:val="0"/>
              <w:adjustRightInd w:val="0"/>
              <w:spacing w:after="60" w:line="240" w:lineRule="auto"/>
              <w:jc w:val="both"/>
              <w:rPr>
                <w:rFonts w:ascii="Verdana" w:eastAsiaTheme="minorHAnsi" w:hAnsi="Verdana"/>
                <w:sz w:val="20"/>
                <w:szCs w:val="20"/>
                <w:lang w:val="bg-BG"/>
              </w:rPr>
            </w:pPr>
            <w:r w:rsidRPr="00B45B4F">
              <w:rPr>
                <w:rFonts w:ascii="Verdana" w:eastAsiaTheme="minorHAnsi" w:hAnsi="Verdana"/>
                <w:sz w:val="20"/>
                <w:szCs w:val="20"/>
                <w:lang w:val="bg-BG"/>
              </w:rPr>
              <w:t>Да се вземат предвид специфичните препоръки, отправени в таблици 2-16.</w:t>
            </w:r>
          </w:p>
        </w:tc>
      </w:tr>
    </w:tbl>
    <w:p w:rsidR="003220D9" w:rsidRDefault="003220D9" w:rsidP="00B75D91">
      <w:pPr>
        <w:spacing w:after="120"/>
        <w:jc w:val="both"/>
        <w:rPr>
          <w:rFonts w:ascii="Verdana" w:hAnsi="Verdana"/>
          <w:sz w:val="20"/>
          <w:szCs w:val="20"/>
          <w:lang w:val="bg-BG"/>
        </w:rPr>
      </w:pPr>
    </w:p>
    <w:p w:rsidR="00D737F0" w:rsidRPr="003220D9" w:rsidRDefault="00D737F0" w:rsidP="001A66A0">
      <w:pPr>
        <w:keepNext/>
        <w:spacing w:before="240" w:after="120"/>
        <w:jc w:val="both"/>
        <w:rPr>
          <w:rFonts w:ascii="Verdana" w:hAnsi="Verdana"/>
          <w:color w:val="548DD4" w:themeColor="text2" w:themeTint="99"/>
          <w:sz w:val="20"/>
          <w:szCs w:val="20"/>
          <w:lang w:val="bg-BG"/>
        </w:rPr>
      </w:pPr>
      <w:r w:rsidRPr="003220D9">
        <w:rPr>
          <w:rFonts w:ascii="Verdana" w:hAnsi="Verdana"/>
          <w:color w:val="548DD4" w:themeColor="text2" w:themeTint="99"/>
          <w:sz w:val="20"/>
          <w:szCs w:val="20"/>
          <w:lang w:val="bg-BG"/>
        </w:rPr>
        <w:t xml:space="preserve">По отношение на вътрешната съгласуваност </w:t>
      </w:r>
    </w:p>
    <w:tbl>
      <w:tblPr>
        <w:tblStyle w:val="TableGrid"/>
        <w:tblW w:w="9090" w:type="dxa"/>
        <w:tblInd w:w="108" w:type="dxa"/>
        <w:tblBorders>
          <w:top w:val="single" w:sz="8" w:space="0" w:color="17365D"/>
          <w:left w:val="single" w:sz="8" w:space="0" w:color="17365D"/>
          <w:bottom w:val="single" w:sz="8" w:space="0" w:color="17365D"/>
          <w:right w:val="single" w:sz="8" w:space="0" w:color="17365D"/>
          <w:insideH w:val="single" w:sz="8" w:space="0" w:color="17365D"/>
          <w:insideV w:val="single" w:sz="8" w:space="0" w:color="17365D"/>
        </w:tblBorders>
        <w:tblLook w:val="04A0" w:firstRow="1" w:lastRow="0" w:firstColumn="1" w:lastColumn="0" w:noHBand="0" w:noVBand="1"/>
      </w:tblPr>
      <w:tblGrid>
        <w:gridCol w:w="1972"/>
        <w:gridCol w:w="3947"/>
        <w:gridCol w:w="3171"/>
      </w:tblGrid>
      <w:tr w:rsidR="009A761F" w:rsidRPr="00B45B4F" w:rsidTr="009A761F">
        <w:tc>
          <w:tcPr>
            <w:tcW w:w="1972" w:type="dxa"/>
            <w:shd w:val="clear" w:color="auto" w:fill="548DD4" w:themeFill="text2" w:themeFillTint="99"/>
            <w:vAlign w:val="center"/>
          </w:tcPr>
          <w:p w:rsidR="009A761F" w:rsidRPr="00B45B4F" w:rsidRDefault="009A761F" w:rsidP="009A761F">
            <w:pPr>
              <w:jc w:val="center"/>
              <w:rPr>
                <w:rFonts w:ascii="Verdana" w:hAnsi="Verdana"/>
                <w:b/>
                <w:color w:val="FFFFFF" w:themeColor="background1"/>
                <w:sz w:val="20"/>
                <w:szCs w:val="20"/>
                <w:lang w:val="bg-BG"/>
              </w:rPr>
            </w:pPr>
            <w:r w:rsidRPr="00B45B4F">
              <w:rPr>
                <w:rFonts w:ascii="Verdana" w:hAnsi="Verdana"/>
                <w:b/>
                <w:color w:val="FFFFFF" w:themeColor="background1"/>
                <w:sz w:val="20"/>
                <w:szCs w:val="20"/>
                <w:lang w:val="bg-BG"/>
              </w:rPr>
              <w:t>Част от ОПНОИР</w:t>
            </w:r>
          </w:p>
        </w:tc>
        <w:tc>
          <w:tcPr>
            <w:tcW w:w="3947" w:type="dxa"/>
            <w:shd w:val="clear" w:color="auto" w:fill="548DD4" w:themeFill="text2" w:themeFillTint="99"/>
            <w:vAlign w:val="center"/>
          </w:tcPr>
          <w:p w:rsidR="009A761F" w:rsidRPr="00B45B4F" w:rsidRDefault="009A761F" w:rsidP="009A761F">
            <w:pPr>
              <w:jc w:val="center"/>
              <w:rPr>
                <w:rFonts w:ascii="Verdana" w:hAnsi="Verdana"/>
                <w:b/>
                <w:color w:val="FFFFFF" w:themeColor="background1"/>
                <w:sz w:val="20"/>
                <w:szCs w:val="20"/>
                <w:lang w:val="bg-BG"/>
              </w:rPr>
            </w:pPr>
            <w:r w:rsidRPr="00B45B4F">
              <w:rPr>
                <w:rFonts w:ascii="Verdana" w:hAnsi="Verdana"/>
                <w:b/>
                <w:color w:val="FFFFFF" w:themeColor="background1"/>
                <w:sz w:val="20"/>
                <w:szCs w:val="20"/>
                <w:lang w:val="bg-BG"/>
              </w:rPr>
              <w:t>Извод</w:t>
            </w:r>
          </w:p>
        </w:tc>
        <w:tc>
          <w:tcPr>
            <w:tcW w:w="3171" w:type="dxa"/>
            <w:shd w:val="clear" w:color="auto" w:fill="548DD4" w:themeFill="text2" w:themeFillTint="99"/>
            <w:vAlign w:val="center"/>
          </w:tcPr>
          <w:p w:rsidR="009A761F" w:rsidRPr="00B45B4F" w:rsidRDefault="009A761F" w:rsidP="009A761F">
            <w:pPr>
              <w:jc w:val="center"/>
              <w:rPr>
                <w:rFonts w:ascii="Verdana" w:hAnsi="Verdana"/>
                <w:b/>
                <w:color w:val="FFFFFF" w:themeColor="background1"/>
                <w:sz w:val="20"/>
                <w:szCs w:val="20"/>
                <w:lang w:val="bg-BG"/>
              </w:rPr>
            </w:pPr>
            <w:r w:rsidRPr="00B45B4F">
              <w:rPr>
                <w:rFonts w:ascii="Verdana" w:hAnsi="Verdana"/>
                <w:b/>
                <w:color w:val="FFFFFF" w:themeColor="background1"/>
                <w:sz w:val="20"/>
                <w:szCs w:val="20"/>
                <w:lang w:val="bg-BG"/>
              </w:rPr>
              <w:t>Препоръка</w:t>
            </w:r>
          </w:p>
        </w:tc>
      </w:tr>
      <w:tr w:rsidR="009A761F" w:rsidRPr="00B45B4F" w:rsidTr="009A761F">
        <w:tc>
          <w:tcPr>
            <w:tcW w:w="1972" w:type="dxa"/>
          </w:tcPr>
          <w:p w:rsidR="009A761F" w:rsidRPr="00B45B4F" w:rsidRDefault="009A761F" w:rsidP="009A761F">
            <w:pPr>
              <w:rPr>
                <w:rFonts w:ascii="Verdana" w:hAnsi="Verdana"/>
                <w:sz w:val="20"/>
                <w:szCs w:val="20"/>
                <w:lang w:val="bg-BG"/>
              </w:rPr>
            </w:pPr>
            <w:r w:rsidRPr="00B45B4F">
              <w:rPr>
                <w:rFonts w:ascii="Verdana" w:hAnsi="Verdana"/>
                <w:sz w:val="20"/>
                <w:szCs w:val="20"/>
                <w:lang w:val="bg-BG"/>
              </w:rPr>
              <w:t>Раздел 1. т.1.1.2 А. Научно-изследователска дейност</w:t>
            </w:r>
          </w:p>
        </w:tc>
        <w:tc>
          <w:tcPr>
            <w:tcW w:w="3947" w:type="dxa"/>
          </w:tcPr>
          <w:p w:rsidR="009A761F" w:rsidRPr="00B45B4F" w:rsidRDefault="009A761F" w:rsidP="009A761F">
            <w:pPr>
              <w:rPr>
                <w:rFonts w:ascii="Verdana" w:hAnsi="Verdana"/>
                <w:sz w:val="20"/>
                <w:szCs w:val="20"/>
                <w:lang w:val="bg-BG"/>
              </w:rPr>
            </w:pPr>
            <w:r>
              <w:rPr>
                <w:rFonts w:ascii="Verdana" w:hAnsi="Verdana"/>
                <w:sz w:val="20"/>
                <w:szCs w:val="20"/>
                <w:lang w:val="bg-BG"/>
              </w:rPr>
              <w:t>А</w:t>
            </w:r>
            <w:r w:rsidRPr="00B45B4F">
              <w:rPr>
                <w:rFonts w:ascii="Verdana" w:hAnsi="Verdana"/>
                <w:sz w:val="20"/>
                <w:szCs w:val="20"/>
                <w:lang w:val="bg-BG"/>
              </w:rPr>
              <w:t>нализ</w:t>
            </w:r>
            <w:r>
              <w:rPr>
                <w:rFonts w:ascii="Verdana" w:hAnsi="Verdana"/>
                <w:sz w:val="20"/>
                <w:szCs w:val="20"/>
                <w:lang w:val="bg-BG"/>
              </w:rPr>
              <w:t>ът</w:t>
            </w:r>
            <w:r w:rsidRPr="00B45B4F">
              <w:rPr>
                <w:rFonts w:ascii="Verdana" w:hAnsi="Verdana"/>
                <w:sz w:val="20"/>
                <w:szCs w:val="20"/>
                <w:lang w:val="bg-BG"/>
              </w:rPr>
              <w:t xml:space="preserve"> на човешките ресурси в сферата на науката </w:t>
            </w:r>
            <w:r>
              <w:rPr>
                <w:rFonts w:ascii="Verdana" w:hAnsi="Verdana"/>
                <w:sz w:val="20"/>
                <w:szCs w:val="20"/>
                <w:lang w:val="bg-BG"/>
              </w:rPr>
              <w:t>може да се допълни с</w:t>
            </w:r>
            <w:r w:rsidRPr="00B45B4F">
              <w:rPr>
                <w:rFonts w:ascii="Verdana" w:hAnsi="Verdana"/>
                <w:sz w:val="20"/>
                <w:szCs w:val="20"/>
                <w:lang w:val="bg-BG"/>
              </w:rPr>
              <w:t xml:space="preserve"> данни за заетите с сферата на научните изследвания както по възраст, така и по сектори</w:t>
            </w:r>
            <w:r>
              <w:rPr>
                <w:rFonts w:ascii="Verdana" w:hAnsi="Verdana"/>
                <w:sz w:val="20"/>
                <w:szCs w:val="20"/>
                <w:lang w:val="bg-BG"/>
              </w:rPr>
              <w:t>- тяхната предприемчивост и мобилност. Сред проблемите и мерките за привличане и задържане на учени и изследователи не са разисквани проблемите с ниското възнаграждение и възможностите за кариерно израстване.</w:t>
            </w:r>
          </w:p>
        </w:tc>
        <w:tc>
          <w:tcPr>
            <w:tcW w:w="3171" w:type="dxa"/>
          </w:tcPr>
          <w:p w:rsidR="009A761F" w:rsidRPr="00B45B4F" w:rsidRDefault="009A761F" w:rsidP="009A761F">
            <w:pPr>
              <w:rPr>
                <w:rFonts w:ascii="Verdana" w:hAnsi="Verdana"/>
                <w:sz w:val="20"/>
                <w:szCs w:val="20"/>
                <w:lang w:val="bg-BG"/>
              </w:rPr>
            </w:pPr>
            <w:r w:rsidRPr="00B45B4F">
              <w:rPr>
                <w:rFonts w:ascii="Verdana" w:hAnsi="Verdana"/>
                <w:sz w:val="20"/>
                <w:szCs w:val="20"/>
                <w:lang w:val="bg-BG"/>
              </w:rPr>
              <w:t>Да се разшири анализът по отношение на състоянието и потребностите в областта на човешките ресурси в научните изследвания.</w:t>
            </w:r>
          </w:p>
        </w:tc>
      </w:tr>
      <w:tr w:rsidR="009A761F" w:rsidRPr="00B45B4F" w:rsidTr="009A761F">
        <w:tc>
          <w:tcPr>
            <w:tcW w:w="1972" w:type="dxa"/>
          </w:tcPr>
          <w:p w:rsidR="009A761F" w:rsidRPr="00B45B4F" w:rsidRDefault="009A761F" w:rsidP="009A761F">
            <w:pPr>
              <w:rPr>
                <w:rFonts w:ascii="Verdana" w:hAnsi="Verdana"/>
                <w:sz w:val="20"/>
                <w:szCs w:val="20"/>
                <w:lang w:val="bg-BG"/>
              </w:rPr>
            </w:pPr>
            <w:r w:rsidRPr="00B45B4F">
              <w:rPr>
                <w:rFonts w:ascii="Verdana" w:hAnsi="Verdana"/>
                <w:sz w:val="20"/>
                <w:szCs w:val="20"/>
                <w:lang w:val="bg-BG"/>
              </w:rPr>
              <w:t>Раздел 1. т.1.1.2 А. Научно-изследователска дейност</w:t>
            </w:r>
          </w:p>
        </w:tc>
        <w:tc>
          <w:tcPr>
            <w:tcW w:w="3947" w:type="dxa"/>
          </w:tcPr>
          <w:p w:rsidR="009A761F" w:rsidRPr="00B45B4F" w:rsidRDefault="009A761F" w:rsidP="009A761F">
            <w:pPr>
              <w:pStyle w:val="BodyText"/>
              <w:tabs>
                <w:tab w:val="left" w:pos="0"/>
                <w:tab w:val="right" w:pos="9214"/>
              </w:tabs>
              <w:spacing w:line="276" w:lineRule="auto"/>
              <w:jc w:val="both"/>
              <w:rPr>
                <w:rFonts w:ascii="Verdana" w:hAnsi="Verdana"/>
                <w:sz w:val="20"/>
                <w:szCs w:val="20"/>
              </w:rPr>
            </w:pPr>
            <w:r w:rsidRPr="000357A3">
              <w:rPr>
                <w:rFonts w:ascii="Verdana" w:hAnsi="Verdana"/>
                <w:sz w:val="20"/>
                <w:szCs w:val="20"/>
              </w:rPr>
              <w:t xml:space="preserve">По отношение на връзката наука –бизнес предвидените мерки не </w:t>
            </w:r>
            <w:r w:rsidRPr="00F05914">
              <w:rPr>
                <w:rFonts w:ascii="Verdana" w:hAnsi="Verdana"/>
                <w:sz w:val="20"/>
                <w:szCs w:val="20"/>
              </w:rPr>
              <w:t>адресират идентифицираните слабости – липсата на търговка реализация на научните разработки и липсата на подкрепящи публични политики.</w:t>
            </w:r>
          </w:p>
        </w:tc>
        <w:tc>
          <w:tcPr>
            <w:tcW w:w="3171" w:type="dxa"/>
          </w:tcPr>
          <w:p w:rsidR="009A761F" w:rsidRPr="00B45B4F" w:rsidRDefault="009A761F" w:rsidP="009A761F">
            <w:pPr>
              <w:rPr>
                <w:rFonts w:ascii="Verdana" w:hAnsi="Verdana"/>
                <w:sz w:val="20"/>
                <w:szCs w:val="20"/>
                <w:lang w:val="bg-BG"/>
              </w:rPr>
            </w:pPr>
            <w:r>
              <w:rPr>
                <w:rFonts w:ascii="Verdana" w:hAnsi="Verdana"/>
                <w:sz w:val="20"/>
                <w:szCs w:val="20"/>
                <w:lang w:val="bg-BG"/>
              </w:rPr>
              <w:t>Да се предвидят мерки за адресиране на посочените нужди.</w:t>
            </w:r>
          </w:p>
        </w:tc>
      </w:tr>
      <w:tr w:rsidR="009A761F" w:rsidRPr="00B45B4F" w:rsidTr="009A761F">
        <w:tc>
          <w:tcPr>
            <w:tcW w:w="1972" w:type="dxa"/>
          </w:tcPr>
          <w:p w:rsidR="009A761F" w:rsidRPr="00B45B4F" w:rsidRDefault="009A761F" w:rsidP="009A761F">
            <w:pPr>
              <w:rPr>
                <w:rFonts w:ascii="Verdana" w:hAnsi="Verdana"/>
                <w:sz w:val="20"/>
                <w:szCs w:val="20"/>
                <w:lang w:val="bg-BG"/>
              </w:rPr>
            </w:pPr>
            <w:r w:rsidRPr="00B45B4F">
              <w:rPr>
                <w:rFonts w:ascii="Verdana" w:hAnsi="Verdana"/>
                <w:sz w:val="20"/>
                <w:szCs w:val="20"/>
                <w:lang w:val="bg-BG"/>
              </w:rPr>
              <w:t>Раздел 1 т.1.1.2 Б. Висше образование</w:t>
            </w:r>
          </w:p>
        </w:tc>
        <w:tc>
          <w:tcPr>
            <w:tcW w:w="3947" w:type="dxa"/>
          </w:tcPr>
          <w:p w:rsidR="009A761F" w:rsidRPr="00B45B4F" w:rsidRDefault="009A761F" w:rsidP="009A761F">
            <w:pPr>
              <w:rPr>
                <w:rFonts w:ascii="Verdana" w:hAnsi="Verdana"/>
                <w:sz w:val="20"/>
                <w:szCs w:val="20"/>
                <w:lang w:val="bg-BG"/>
              </w:rPr>
            </w:pPr>
            <w:r w:rsidRPr="00B45B4F">
              <w:rPr>
                <w:rFonts w:ascii="Verdana" w:hAnsi="Verdana"/>
                <w:sz w:val="20"/>
                <w:szCs w:val="20"/>
                <w:lang w:val="bg-BG"/>
              </w:rPr>
              <w:t xml:space="preserve">По отношение на подобряването на квалификацията на преподавателите липсва анализ относно подходи за по-тясна връзка между висшето образование, науката и изследванията и бизнеса, които могат да допринесат за </w:t>
            </w:r>
            <w:r w:rsidRPr="00B45B4F">
              <w:rPr>
                <w:rFonts w:ascii="Verdana" w:hAnsi="Verdana"/>
                <w:sz w:val="20"/>
                <w:szCs w:val="20"/>
                <w:lang w:val="bg-BG"/>
              </w:rPr>
              <w:lastRenderedPageBreak/>
              <w:t>повишаване на професионалните компетенции на преподавателите. Не са разглеждани възможности за въвличане на студентите и докторантите в извънучебни изследователски проекти и дейности, включително срещу заплащане, което в същото време ще адресира проблема с финансовото подпомагане на следването. Липсва анализ за ролята и ефективността на кариерните центрове към висшите училища за подобряване на връзката висше образование-бизнес.</w:t>
            </w:r>
          </w:p>
        </w:tc>
        <w:tc>
          <w:tcPr>
            <w:tcW w:w="3171" w:type="dxa"/>
          </w:tcPr>
          <w:p w:rsidR="009A761F" w:rsidRPr="00B45B4F" w:rsidRDefault="009A761F" w:rsidP="009A761F">
            <w:pPr>
              <w:rPr>
                <w:rFonts w:ascii="Verdana" w:hAnsi="Verdana"/>
                <w:sz w:val="20"/>
                <w:szCs w:val="20"/>
                <w:lang w:val="bg-BG"/>
              </w:rPr>
            </w:pPr>
            <w:r w:rsidRPr="00B45B4F">
              <w:rPr>
                <w:rFonts w:ascii="Verdana" w:hAnsi="Verdana"/>
                <w:sz w:val="20"/>
                <w:szCs w:val="20"/>
                <w:lang w:val="bg-BG"/>
              </w:rPr>
              <w:lastRenderedPageBreak/>
              <w:t xml:space="preserve">Да се разширят анализите като се добави информация относно възможностите за подобряване на връзката между висшето образование и научно-изследователската работа от една страна и висшето </w:t>
            </w:r>
            <w:r w:rsidRPr="00B45B4F">
              <w:rPr>
                <w:rFonts w:ascii="Verdana" w:hAnsi="Verdana"/>
                <w:sz w:val="20"/>
                <w:szCs w:val="20"/>
                <w:lang w:val="bg-BG"/>
              </w:rPr>
              <w:lastRenderedPageBreak/>
              <w:t>образование и научно-приложни разработки за бизнеса от друга, включително участие на студенти и докторанти в научно-изследователски и научно-приложни проекти.</w:t>
            </w:r>
          </w:p>
          <w:p w:rsidR="009A761F" w:rsidRPr="00B45B4F" w:rsidRDefault="009A761F" w:rsidP="009A761F">
            <w:pPr>
              <w:rPr>
                <w:rFonts w:ascii="Verdana" w:hAnsi="Verdana"/>
                <w:sz w:val="20"/>
                <w:szCs w:val="20"/>
                <w:lang w:val="bg-BG"/>
              </w:rPr>
            </w:pPr>
            <w:r w:rsidRPr="00B45B4F">
              <w:rPr>
                <w:rFonts w:ascii="Verdana" w:hAnsi="Verdana"/>
                <w:sz w:val="20"/>
                <w:szCs w:val="20"/>
                <w:lang w:val="bg-BG"/>
              </w:rPr>
              <w:t>Да се добави анализ за ролята на кариерните центрове и за връзката между евентуалната подкрепа по програмата и засилването на връзката висше образование-бизнес.</w:t>
            </w:r>
          </w:p>
        </w:tc>
      </w:tr>
      <w:tr w:rsidR="009A761F" w:rsidRPr="00B45B4F" w:rsidTr="009A761F">
        <w:tc>
          <w:tcPr>
            <w:tcW w:w="1972" w:type="dxa"/>
          </w:tcPr>
          <w:p w:rsidR="009A761F" w:rsidRPr="00B45B4F" w:rsidRDefault="009A761F" w:rsidP="009A761F">
            <w:pPr>
              <w:rPr>
                <w:rFonts w:ascii="Verdana" w:hAnsi="Verdana"/>
                <w:sz w:val="20"/>
                <w:szCs w:val="20"/>
                <w:lang w:val="bg-BG"/>
              </w:rPr>
            </w:pPr>
            <w:r w:rsidRPr="00B45B4F">
              <w:rPr>
                <w:rFonts w:ascii="Verdana" w:hAnsi="Verdana"/>
                <w:sz w:val="20"/>
                <w:szCs w:val="20"/>
                <w:lang w:val="bg-BG"/>
              </w:rPr>
              <w:lastRenderedPageBreak/>
              <w:t>Раздел 1 т.1.1.2 В. Училищно образование и учене през целия живот</w:t>
            </w:r>
          </w:p>
        </w:tc>
        <w:tc>
          <w:tcPr>
            <w:tcW w:w="3947" w:type="dxa"/>
          </w:tcPr>
          <w:p w:rsidR="009A761F" w:rsidRPr="00B45B4F" w:rsidRDefault="009A761F" w:rsidP="009A761F">
            <w:pPr>
              <w:rPr>
                <w:rFonts w:ascii="Verdana" w:hAnsi="Verdana"/>
                <w:sz w:val="20"/>
                <w:szCs w:val="20"/>
                <w:lang w:val="bg-BG"/>
              </w:rPr>
            </w:pPr>
            <w:r w:rsidRPr="00B45B4F">
              <w:rPr>
                <w:rFonts w:ascii="Verdana" w:hAnsi="Verdana"/>
                <w:sz w:val="20"/>
                <w:szCs w:val="20"/>
                <w:lang w:val="bg-BG"/>
              </w:rPr>
              <w:t>В анализа липсва информация за системата за предучилищно образование и детските градини.</w:t>
            </w:r>
          </w:p>
        </w:tc>
        <w:tc>
          <w:tcPr>
            <w:tcW w:w="3171" w:type="dxa"/>
          </w:tcPr>
          <w:p w:rsidR="009A761F" w:rsidRPr="00B45B4F" w:rsidRDefault="009A761F" w:rsidP="009A761F">
            <w:pPr>
              <w:rPr>
                <w:rFonts w:ascii="Verdana" w:hAnsi="Verdana"/>
                <w:sz w:val="20"/>
                <w:szCs w:val="20"/>
                <w:lang w:val="bg-BG"/>
              </w:rPr>
            </w:pPr>
            <w:r w:rsidRPr="00B45B4F">
              <w:rPr>
                <w:rFonts w:ascii="Verdana" w:hAnsi="Verdana"/>
                <w:sz w:val="20"/>
                <w:szCs w:val="20"/>
                <w:lang w:val="bg-BG"/>
              </w:rPr>
              <w:t>Да се добавят липсващите анализи</w:t>
            </w:r>
          </w:p>
        </w:tc>
      </w:tr>
      <w:tr w:rsidR="009A761F" w:rsidRPr="00B45B4F" w:rsidTr="009A761F">
        <w:tc>
          <w:tcPr>
            <w:tcW w:w="1972" w:type="dxa"/>
          </w:tcPr>
          <w:p w:rsidR="009A761F" w:rsidRPr="00B45B4F" w:rsidRDefault="009A761F" w:rsidP="009A761F">
            <w:pPr>
              <w:rPr>
                <w:rFonts w:ascii="Verdana" w:hAnsi="Verdana"/>
                <w:sz w:val="20"/>
                <w:szCs w:val="20"/>
                <w:lang w:val="bg-BG"/>
              </w:rPr>
            </w:pPr>
            <w:r w:rsidRPr="00B45B4F">
              <w:rPr>
                <w:rFonts w:ascii="Verdana" w:hAnsi="Verdana"/>
                <w:sz w:val="20"/>
                <w:szCs w:val="20"/>
                <w:lang w:val="bg-BG"/>
              </w:rPr>
              <w:t>Раздел 1 т.1.1.2 В. Училищно образование и учене през целия живот</w:t>
            </w:r>
          </w:p>
        </w:tc>
        <w:tc>
          <w:tcPr>
            <w:tcW w:w="3947" w:type="dxa"/>
          </w:tcPr>
          <w:p w:rsidR="009A761F" w:rsidRPr="00B45B4F" w:rsidRDefault="009A761F" w:rsidP="009A761F">
            <w:pPr>
              <w:spacing w:after="0" w:line="240" w:lineRule="auto"/>
              <w:rPr>
                <w:rFonts w:ascii="Verdana" w:hAnsi="Verdana"/>
                <w:sz w:val="20"/>
                <w:szCs w:val="20"/>
                <w:lang w:val="bg-BG"/>
              </w:rPr>
            </w:pPr>
            <w:r w:rsidRPr="00B45B4F">
              <w:rPr>
                <w:rFonts w:ascii="Verdana" w:eastAsiaTheme="minorHAnsi" w:hAnsi="Verdana" w:cstheme="minorBidi"/>
                <w:sz w:val="20"/>
                <w:szCs w:val="20"/>
                <w:lang w:val="bg-BG"/>
              </w:rPr>
              <w:t xml:space="preserve">Мерките по отношение на квалификацията на педагогическия персонал не адресират основния проблем – ниското заплащане. </w:t>
            </w:r>
          </w:p>
        </w:tc>
        <w:tc>
          <w:tcPr>
            <w:tcW w:w="3171" w:type="dxa"/>
          </w:tcPr>
          <w:p w:rsidR="009A761F" w:rsidRPr="00B45B4F" w:rsidRDefault="009A761F" w:rsidP="009A761F">
            <w:pPr>
              <w:rPr>
                <w:rFonts w:ascii="Verdana" w:hAnsi="Verdana"/>
                <w:sz w:val="20"/>
                <w:szCs w:val="20"/>
                <w:lang w:val="bg-BG"/>
              </w:rPr>
            </w:pPr>
            <w:r w:rsidRPr="00B45B4F">
              <w:rPr>
                <w:rFonts w:ascii="Verdana" w:hAnsi="Verdana"/>
                <w:sz w:val="20"/>
                <w:szCs w:val="20"/>
                <w:lang w:val="bg-BG"/>
              </w:rPr>
              <w:t>Да се добави анализ относно възможностите за адресиране на проблема с ниското заплащане на учителите.</w:t>
            </w:r>
          </w:p>
        </w:tc>
      </w:tr>
      <w:tr w:rsidR="009A761F" w:rsidRPr="00B45B4F" w:rsidTr="009A761F">
        <w:tc>
          <w:tcPr>
            <w:tcW w:w="1972" w:type="dxa"/>
          </w:tcPr>
          <w:p w:rsidR="009A761F" w:rsidRPr="00B45B4F" w:rsidRDefault="009A761F" w:rsidP="009A761F">
            <w:pPr>
              <w:rPr>
                <w:rFonts w:ascii="Verdana" w:hAnsi="Verdana"/>
                <w:sz w:val="20"/>
                <w:szCs w:val="20"/>
                <w:lang w:val="bg-BG"/>
              </w:rPr>
            </w:pPr>
            <w:r w:rsidRPr="00B45B4F">
              <w:rPr>
                <w:rFonts w:ascii="Verdana" w:hAnsi="Verdana"/>
                <w:sz w:val="20"/>
                <w:szCs w:val="20"/>
                <w:lang w:val="bg-BG"/>
              </w:rPr>
              <w:t>Раздел 1 т.1.1.2 В. Училищно образование и учене през целия живот</w:t>
            </w:r>
          </w:p>
        </w:tc>
        <w:tc>
          <w:tcPr>
            <w:tcW w:w="3947" w:type="dxa"/>
          </w:tcPr>
          <w:p w:rsidR="009A761F" w:rsidRPr="00B45B4F" w:rsidRDefault="009A761F" w:rsidP="009A761F">
            <w:pPr>
              <w:rPr>
                <w:rFonts w:ascii="Verdana" w:hAnsi="Verdana"/>
                <w:sz w:val="20"/>
                <w:szCs w:val="20"/>
                <w:lang w:val="bg-BG"/>
              </w:rPr>
            </w:pPr>
            <w:r w:rsidRPr="00B45B4F">
              <w:rPr>
                <w:rFonts w:ascii="Verdana" w:hAnsi="Verdana"/>
                <w:sz w:val="20"/>
                <w:szCs w:val="20"/>
                <w:lang w:val="bg-BG"/>
              </w:rPr>
              <w:t>Не е анализиран проблемът със сравнително по-ниското качество на образование в малките и отдалечени населени места и начините за неговото преодоляване.</w:t>
            </w:r>
          </w:p>
        </w:tc>
        <w:tc>
          <w:tcPr>
            <w:tcW w:w="3171" w:type="dxa"/>
          </w:tcPr>
          <w:p w:rsidR="009A761F" w:rsidRPr="00B45B4F" w:rsidRDefault="009A761F" w:rsidP="009A761F">
            <w:pPr>
              <w:rPr>
                <w:rFonts w:ascii="Verdana" w:hAnsi="Verdana"/>
                <w:sz w:val="20"/>
                <w:szCs w:val="20"/>
                <w:lang w:val="bg-BG"/>
              </w:rPr>
            </w:pPr>
            <w:r w:rsidRPr="00B45B4F">
              <w:rPr>
                <w:rFonts w:ascii="Verdana" w:hAnsi="Verdana"/>
                <w:sz w:val="20"/>
                <w:szCs w:val="20"/>
                <w:lang w:val="bg-BG"/>
              </w:rPr>
              <w:t>Да се добави анализ по отношение на териториалните разлики в качеството на образование.</w:t>
            </w:r>
          </w:p>
        </w:tc>
      </w:tr>
      <w:tr w:rsidR="009A761F" w:rsidRPr="00B45B4F" w:rsidTr="009A761F">
        <w:tc>
          <w:tcPr>
            <w:tcW w:w="1972" w:type="dxa"/>
          </w:tcPr>
          <w:p w:rsidR="009A761F" w:rsidRPr="00B45B4F" w:rsidRDefault="009A761F" w:rsidP="009A761F">
            <w:pPr>
              <w:rPr>
                <w:rFonts w:ascii="Verdana" w:hAnsi="Verdana"/>
                <w:sz w:val="20"/>
                <w:szCs w:val="20"/>
                <w:lang w:val="bg-BG"/>
              </w:rPr>
            </w:pPr>
            <w:r w:rsidRPr="00B45B4F">
              <w:rPr>
                <w:rFonts w:ascii="Verdana" w:hAnsi="Verdana"/>
                <w:sz w:val="20"/>
                <w:szCs w:val="20"/>
                <w:lang w:val="bg-BG"/>
              </w:rPr>
              <w:t>ПО1, ИП2</w:t>
            </w:r>
          </w:p>
        </w:tc>
        <w:tc>
          <w:tcPr>
            <w:tcW w:w="3947" w:type="dxa"/>
          </w:tcPr>
          <w:p w:rsidR="009A761F" w:rsidRPr="00B45B4F" w:rsidRDefault="009A761F" w:rsidP="009A761F">
            <w:pPr>
              <w:spacing w:after="0" w:line="240" w:lineRule="auto"/>
              <w:rPr>
                <w:rFonts w:ascii="Verdana" w:hAnsi="Verdana"/>
                <w:sz w:val="20"/>
                <w:szCs w:val="20"/>
                <w:lang w:val="bg-BG"/>
              </w:rPr>
            </w:pPr>
            <w:r w:rsidRPr="00B45B4F">
              <w:rPr>
                <w:rFonts w:ascii="Verdana" w:hAnsi="Verdana"/>
                <w:sz w:val="20"/>
                <w:szCs w:val="20"/>
                <w:lang w:val="bg-BG"/>
              </w:rPr>
              <w:t xml:space="preserve">Обосновката по отношение на потребностите може да бъде разширена. Не е предоставена информация за евентуален </w:t>
            </w:r>
            <w:proofErr w:type="spellStart"/>
            <w:r w:rsidRPr="00B45B4F">
              <w:rPr>
                <w:rFonts w:ascii="Verdana" w:hAnsi="Verdana"/>
                <w:sz w:val="20"/>
                <w:szCs w:val="20"/>
                <w:lang w:val="bg-BG"/>
              </w:rPr>
              <w:t>синегричен</w:t>
            </w:r>
            <w:proofErr w:type="spellEnd"/>
            <w:r w:rsidRPr="00B45B4F">
              <w:rPr>
                <w:rFonts w:ascii="Verdana" w:hAnsi="Verdana"/>
                <w:sz w:val="20"/>
                <w:szCs w:val="20"/>
                <w:lang w:val="bg-BG"/>
              </w:rPr>
              <w:t xml:space="preserve"> ефект с ОПИК.</w:t>
            </w:r>
          </w:p>
        </w:tc>
        <w:tc>
          <w:tcPr>
            <w:tcW w:w="3171" w:type="dxa"/>
          </w:tcPr>
          <w:p w:rsidR="009A761F" w:rsidRPr="00B45B4F" w:rsidRDefault="009A761F" w:rsidP="009A761F">
            <w:pPr>
              <w:rPr>
                <w:rFonts w:ascii="Verdana" w:hAnsi="Verdana"/>
                <w:sz w:val="20"/>
                <w:szCs w:val="20"/>
                <w:lang w:val="bg-BG"/>
              </w:rPr>
            </w:pPr>
            <w:r w:rsidRPr="00B45B4F">
              <w:rPr>
                <w:rFonts w:ascii="Verdana" w:hAnsi="Verdana"/>
                <w:sz w:val="20"/>
                <w:szCs w:val="20"/>
                <w:lang w:val="bg-BG"/>
              </w:rPr>
              <w:t xml:space="preserve">Да се допълни обосновката на нуждите съобразно отправените коментари в таблица </w:t>
            </w:r>
            <w:r>
              <w:rPr>
                <w:rFonts w:ascii="Verdana" w:hAnsi="Verdana"/>
                <w:sz w:val="20"/>
                <w:szCs w:val="20"/>
                <w:lang w:val="bg-BG"/>
              </w:rPr>
              <w:t>17</w:t>
            </w:r>
            <w:r w:rsidRPr="00B45B4F">
              <w:rPr>
                <w:rFonts w:ascii="Verdana" w:hAnsi="Verdana"/>
                <w:sz w:val="20"/>
                <w:szCs w:val="20"/>
                <w:lang w:val="bg-BG"/>
              </w:rPr>
              <w:t xml:space="preserve"> на настоящия доклад.</w:t>
            </w:r>
          </w:p>
        </w:tc>
      </w:tr>
      <w:tr w:rsidR="009A761F" w:rsidRPr="00B45B4F" w:rsidTr="009A761F">
        <w:tc>
          <w:tcPr>
            <w:tcW w:w="1972" w:type="dxa"/>
          </w:tcPr>
          <w:p w:rsidR="009A761F" w:rsidRPr="00B45B4F" w:rsidRDefault="009A761F" w:rsidP="009A761F">
            <w:pPr>
              <w:rPr>
                <w:rFonts w:ascii="Verdana" w:hAnsi="Verdana"/>
                <w:sz w:val="20"/>
                <w:szCs w:val="20"/>
                <w:lang w:val="bg-BG"/>
              </w:rPr>
            </w:pPr>
            <w:r w:rsidRPr="00B45B4F">
              <w:rPr>
                <w:rFonts w:ascii="Verdana" w:hAnsi="Verdana"/>
                <w:sz w:val="20"/>
                <w:szCs w:val="20"/>
                <w:lang w:val="bg-BG"/>
              </w:rPr>
              <w:t>ПО2, ИП2</w:t>
            </w:r>
          </w:p>
        </w:tc>
        <w:tc>
          <w:tcPr>
            <w:tcW w:w="3947" w:type="dxa"/>
          </w:tcPr>
          <w:p w:rsidR="009A761F" w:rsidRPr="00B45B4F" w:rsidRDefault="009A761F" w:rsidP="009A761F">
            <w:pPr>
              <w:rPr>
                <w:rFonts w:ascii="Verdana" w:hAnsi="Verdana"/>
                <w:sz w:val="20"/>
                <w:szCs w:val="20"/>
                <w:lang w:val="bg-BG"/>
              </w:rPr>
            </w:pPr>
            <w:r w:rsidRPr="00B45B4F">
              <w:rPr>
                <w:rFonts w:ascii="Verdana" w:hAnsi="Verdana"/>
                <w:sz w:val="20"/>
                <w:szCs w:val="20"/>
                <w:lang w:val="bg-BG"/>
              </w:rPr>
              <w:t xml:space="preserve">Обосновката на нуждите на </w:t>
            </w:r>
            <w:r>
              <w:rPr>
                <w:rFonts w:ascii="Verdana" w:hAnsi="Verdana"/>
                <w:sz w:val="20"/>
                <w:szCs w:val="20"/>
                <w:lang w:val="bg-BG"/>
              </w:rPr>
              <w:t xml:space="preserve">втората и третата </w:t>
            </w:r>
            <w:r w:rsidRPr="00B45B4F">
              <w:rPr>
                <w:rFonts w:ascii="Verdana" w:hAnsi="Verdana"/>
                <w:sz w:val="20"/>
                <w:szCs w:val="20"/>
                <w:lang w:val="bg-BG"/>
              </w:rPr>
              <w:t xml:space="preserve"> специфични цели може да бъде подобрена с предоставяне на повече </w:t>
            </w:r>
            <w:r w:rsidRPr="00B45B4F">
              <w:rPr>
                <w:rFonts w:ascii="Verdana" w:hAnsi="Verdana"/>
                <w:sz w:val="20"/>
                <w:szCs w:val="20"/>
                <w:lang w:val="bg-BG"/>
              </w:rPr>
              <w:lastRenderedPageBreak/>
              <w:t>информация относно сегашното състояние, предприетите мерки и постигнатите резултати. Илюстриране на нуждите с цифри ще направи обосновката по-убедителна.</w:t>
            </w:r>
          </w:p>
        </w:tc>
        <w:tc>
          <w:tcPr>
            <w:tcW w:w="3171" w:type="dxa"/>
          </w:tcPr>
          <w:p w:rsidR="009A761F" w:rsidRPr="00B45B4F" w:rsidRDefault="009A761F" w:rsidP="009A761F">
            <w:pPr>
              <w:rPr>
                <w:rFonts w:ascii="Verdana" w:hAnsi="Verdana"/>
                <w:sz w:val="20"/>
                <w:szCs w:val="20"/>
                <w:lang w:val="bg-BG"/>
              </w:rPr>
            </w:pPr>
            <w:r w:rsidRPr="00B45B4F">
              <w:rPr>
                <w:rFonts w:ascii="Verdana" w:hAnsi="Verdana"/>
                <w:sz w:val="20"/>
                <w:szCs w:val="20"/>
                <w:lang w:val="bg-BG"/>
              </w:rPr>
              <w:lastRenderedPageBreak/>
              <w:t xml:space="preserve">Да се допълни и прецизира обосновката на нуждите съобразно отправените коментари в </w:t>
            </w:r>
            <w:r>
              <w:rPr>
                <w:rFonts w:ascii="Verdana" w:hAnsi="Verdana"/>
                <w:sz w:val="20"/>
                <w:szCs w:val="20"/>
                <w:lang w:val="bg-BG"/>
              </w:rPr>
              <w:t>т</w:t>
            </w:r>
            <w:r w:rsidRPr="00B45B4F">
              <w:rPr>
                <w:rFonts w:ascii="Verdana" w:hAnsi="Verdana"/>
                <w:sz w:val="20"/>
                <w:szCs w:val="20"/>
                <w:lang w:val="bg-BG"/>
              </w:rPr>
              <w:t xml:space="preserve">аблица </w:t>
            </w:r>
            <w:r>
              <w:rPr>
                <w:rFonts w:ascii="Verdana" w:hAnsi="Verdana"/>
                <w:sz w:val="20"/>
                <w:szCs w:val="20"/>
                <w:lang w:val="bg-BG"/>
              </w:rPr>
              <w:t>18</w:t>
            </w:r>
            <w:r w:rsidRPr="00B45B4F">
              <w:rPr>
                <w:rFonts w:ascii="Verdana" w:hAnsi="Verdana"/>
                <w:sz w:val="20"/>
                <w:szCs w:val="20"/>
                <w:lang w:val="bg-BG"/>
              </w:rPr>
              <w:t xml:space="preserve"> на </w:t>
            </w:r>
            <w:r w:rsidRPr="00B45B4F">
              <w:rPr>
                <w:rFonts w:ascii="Verdana" w:hAnsi="Verdana"/>
                <w:sz w:val="20"/>
                <w:szCs w:val="20"/>
                <w:lang w:val="bg-BG"/>
              </w:rPr>
              <w:lastRenderedPageBreak/>
              <w:t>настоящия доклад.</w:t>
            </w:r>
          </w:p>
        </w:tc>
      </w:tr>
      <w:tr w:rsidR="009A761F" w:rsidRPr="00B45B4F" w:rsidTr="009A761F">
        <w:tc>
          <w:tcPr>
            <w:tcW w:w="1972" w:type="dxa"/>
          </w:tcPr>
          <w:p w:rsidR="009A761F" w:rsidRPr="00B45B4F" w:rsidRDefault="009A761F" w:rsidP="009A761F">
            <w:pPr>
              <w:rPr>
                <w:rFonts w:ascii="Verdana" w:hAnsi="Verdana"/>
                <w:sz w:val="20"/>
                <w:szCs w:val="20"/>
                <w:lang w:val="bg-BG"/>
              </w:rPr>
            </w:pPr>
            <w:r w:rsidRPr="00B45B4F">
              <w:rPr>
                <w:rFonts w:ascii="Verdana" w:hAnsi="Verdana"/>
                <w:sz w:val="20"/>
                <w:szCs w:val="20"/>
                <w:lang w:val="bg-BG"/>
              </w:rPr>
              <w:lastRenderedPageBreak/>
              <w:t>ПО2, ИП3</w:t>
            </w:r>
          </w:p>
        </w:tc>
        <w:tc>
          <w:tcPr>
            <w:tcW w:w="3947" w:type="dxa"/>
          </w:tcPr>
          <w:p w:rsidR="009A761F" w:rsidRPr="00B45B4F" w:rsidRDefault="009A761F" w:rsidP="009A761F">
            <w:pPr>
              <w:rPr>
                <w:rFonts w:ascii="Verdana" w:hAnsi="Verdana"/>
                <w:sz w:val="20"/>
                <w:szCs w:val="20"/>
                <w:lang w:val="bg-BG"/>
              </w:rPr>
            </w:pPr>
            <w:r>
              <w:rPr>
                <w:rFonts w:ascii="Verdana" w:hAnsi="Verdana"/>
                <w:sz w:val="20"/>
                <w:szCs w:val="20"/>
                <w:lang w:val="bg-BG"/>
              </w:rPr>
              <w:t xml:space="preserve">Текстовете в обосновката на </w:t>
            </w:r>
            <w:r w:rsidRPr="00B45B4F">
              <w:rPr>
                <w:rFonts w:ascii="Verdana" w:hAnsi="Verdana"/>
                <w:sz w:val="20"/>
                <w:szCs w:val="20"/>
                <w:lang w:val="bg-BG"/>
              </w:rPr>
              <w:t xml:space="preserve"> СЦ2 </w:t>
            </w:r>
            <w:r>
              <w:rPr>
                <w:rFonts w:ascii="Verdana" w:hAnsi="Verdana"/>
                <w:sz w:val="20"/>
                <w:szCs w:val="20"/>
                <w:lang w:val="bg-BG"/>
              </w:rPr>
              <w:t>е н</w:t>
            </w:r>
            <w:r w:rsidRPr="00B45B4F">
              <w:rPr>
                <w:rFonts w:ascii="Verdana" w:hAnsi="Verdana"/>
                <w:sz w:val="20"/>
                <w:szCs w:val="20"/>
                <w:lang w:val="bg-BG"/>
              </w:rPr>
              <w:t>еобходимо да бъдат прецизирани, за да не се създава впечатление за дублиране на подкрепа с ОПРЧР 2014–2020 г.</w:t>
            </w:r>
          </w:p>
        </w:tc>
        <w:tc>
          <w:tcPr>
            <w:tcW w:w="3171" w:type="dxa"/>
          </w:tcPr>
          <w:p w:rsidR="009A761F" w:rsidRPr="00B45B4F" w:rsidRDefault="009A761F" w:rsidP="009A761F">
            <w:pPr>
              <w:rPr>
                <w:rFonts w:ascii="Verdana" w:hAnsi="Verdana"/>
                <w:sz w:val="20"/>
                <w:szCs w:val="20"/>
                <w:lang w:val="bg-BG"/>
              </w:rPr>
            </w:pPr>
            <w:r w:rsidRPr="00B45B4F">
              <w:rPr>
                <w:rFonts w:ascii="Verdana" w:hAnsi="Verdana"/>
                <w:sz w:val="20"/>
                <w:szCs w:val="20"/>
                <w:lang w:val="bg-BG"/>
              </w:rPr>
              <w:t xml:space="preserve">Да </w:t>
            </w:r>
            <w:r>
              <w:rPr>
                <w:rFonts w:ascii="Verdana" w:hAnsi="Verdana"/>
                <w:sz w:val="20"/>
                <w:szCs w:val="20"/>
                <w:lang w:val="bg-BG"/>
              </w:rPr>
              <w:t>се</w:t>
            </w:r>
            <w:r w:rsidRPr="00B45B4F">
              <w:rPr>
                <w:rFonts w:ascii="Verdana" w:hAnsi="Verdana"/>
                <w:sz w:val="20"/>
                <w:szCs w:val="20"/>
                <w:lang w:val="bg-BG"/>
              </w:rPr>
              <w:t xml:space="preserve"> прецизира обосновката на нуждите съобразно отправените коментари в таблица </w:t>
            </w:r>
            <w:r>
              <w:rPr>
                <w:rFonts w:ascii="Verdana" w:hAnsi="Verdana"/>
                <w:sz w:val="20"/>
                <w:szCs w:val="20"/>
              </w:rPr>
              <w:t>18</w:t>
            </w:r>
            <w:r w:rsidRPr="00B45B4F">
              <w:rPr>
                <w:rFonts w:ascii="Verdana" w:hAnsi="Verdana"/>
                <w:sz w:val="20"/>
                <w:szCs w:val="20"/>
                <w:lang w:val="bg-BG"/>
              </w:rPr>
              <w:t xml:space="preserve"> на настоящия доклад.</w:t>
            </w:r>
          </w:p>
        </w:tc>
      </w:tr>
      <w:tr w:rsidR="009A761F" w:rsidRPr="00B45B4F" w:rsidTr="009A761F">
        <w:tc>
          <w:tcPr>
            <w:tcW w:w="1972" w:type="dxa"/>
          </w:tcPr>
          <w:p w:rsidR="009A761F" w:rsidRPr="00B45B4F" w:rsidRDefault="009A761F" w:rsidP="009A761F">
            <w:pPr>
              <w:rPr>
                <w:rFonts w:ascii="Verdana" w:hAnsi="Verdana"/>
                <w:sz w:val="20"/>
                <w:szCs w:val="20"/>
                <w:lang w:val="bg-BG"/>
              </w:rPr>
            </w:pPr>
            <w:r w:rsidRPr="00B45B4F">
              <w:rPr>
                <w:rFonts w:ascii="Verdana" w:hAnsi="Verdana"/>
                <w:sz w:val="20"/>
                <w:szCs w:val="20"/>
                <w:lang w:val="bg-BG"/>
              </w:rPr>
              <w:t>ПО2, ИП4</w:t>
            </w:r>
          </w:p>
        </w:tc>
        <w:tc>
          <w:tcPr>
            <w:tcW w:w="3947" w:type="dxa"/>
          </w:tcPr>
          <w:p w:rsidR="009A761F" w:rsidRPr="00B45B4F" w:rsidRDefault="009A761F" w:rsidP="009A761F">
            <w:pPr>
              <w:rPr>
                <w:rFonts w:ascii="Verdana" w:hAnsi="Verdana"/>
                <w:sz w:val="20"/>
                <w:szCs w:val="20"/>
                <w:lang w:val="bg-BG"/>
              </w:rPr>
            </w:pPr>
            <w:r w:rsidRPr="00B45B4F">
              <w:rPr>
                <w:rFonts w:ascii="Verdana" w:hAnsi="Verdana"/>
                <w:sz w:val="20"/>
                <w:szCs w:val="20"/>
                <w:lang w:val="bg-BG"/>
              </w:rPr>
              <w:t xml:space="preserve">Обосновката на нуждите на </w:t>
            </w:r>
            <w:r>
              <w:rPr>
                <w:rFonts w:ascii="Verdana" w:hAnsi="Verdana"/>
                <w:sz w:val="20"/>
                <w:szCs w:val="20"/>
                <w:lang w:val="bg-BG"/>
              </w:rPr>
              <w:t xml:space="preserve">втората </w:t>
            </w:r>
            <w:r w:rsidRPr="00B45B4F">
              <w:rPr>
                <w:rFonts w:ascii="Verdana" w:hAnsi="Verdana"/>
                <w:sz w:val="20"/>
                <w:szCs w:val="20"/>
                <w:lang w:val="bg-BG"/>
              </w:rPr>
              <w:t>специфичн</w:t>
            </w:r>
            <w:r>
              <w:rPr>
                <w:rFonts w:ascii="Verdana" w:hAnsi="Verdana"/>
                <w:sz w:val="20"/>
                <w:szCs w:val="20"/>
                <w:lang w:val="bg-BG"/>
              </w:rPr>
              <w:t>а</w:t>
            </w:r>
            <w:r w:rsidRPr="00B45B4F">
              <w:rPr>
                <w:rFonts w:ascii="Verdana" w:hAnsi="Verdana"/>
                <w:sz w:val="20"/>
                <w:szCs w:val="20"/>
                <w:lang w:val="bg-BG"/>
              </w:rPr>
              <w:t xml:space="preserve"> цел може да бъде разширена.</w:t>
            </w:r>
          </w:p>
        </w:tc>
        <w:tc>
          <w:tcPr>
            <w:tcW w:w="3171" w:type="dxa"/>
          </w:tcPr>
          <w:p w:rsidR="009A761F" w:rsidRPr="00B45B4F" w:rsidRDefault="009A761F" w:rsidP="009A761F">
            <w:pPr>
              <w:rPr>
                <w:rFonts w:ascii="Verdana" w:hAnsi="Verdana"/>
                <w:sz w:val="20"/>
                <w:szCs w:val="20"/>
                <w:lang w:val="bg-BG"/>
              </w:rPr>
            </w:pPr>
            <w:r w:rsidRPr="00B45B4F">
              <w:rPr>
                <w:rFonts w:ascii="Verdana" w:hAnsi="Verdana"/>
                <w:sz w:val="20"/>
                <w:szCs w:val="20"/>
                <w:lang w:val="bg-BG"/>
              </w:rPr>
              <w:t xml:space="preserve">Да се допълни и прецизира обосновката на нуждите съобразно отправените коментари в таблица </w:t>
            </w:r>
            <w:r>
              <w:rPr>
                <w:rFonts w:ascii="Verdana" w:hAnsi="Verdana"/>
                <w:sz w:val="20"/>
                <w:szCs w:val="20"/>
                <w:lang w:val="bg-BG"/>
              </w:rPr>
              <w:t>18</w:t>
            </w:r>
            <w:r w:rsidRPr="00B45B4F">
              <w:rPr>
                <w:rFonts w:ascii="Verdana" w:hAnsi="Verdana"/>
                <w:sz w:val="20"/>
                <w:szCs w:val="20"/>
                <w:lang w:val="bg-BG"/>
              </w:rPr>
              <w:t xml:space="preserve"> на настоящия доклад.</w:t>
            </w:r>
          </w:p>
        </w:tc>
      </w:tr>
      <w:tr w:rsidR="009A761F" w:rsidRPr="00B45B4F" w:rsidTr="009A761F">
        <w:tc>
          <w:tcPr>
            <w:tcW w:w="1972" w:type="dxa"/>
          </w:tcPr>
          <w:p w:rsidR="009A761F" w:rsidRPr="00B45B4F" w:rsidRDefault="009A761F" w:rsidP="009A761F">
            <w:pPr>
              <w:rPr>
                <w:rFonts w:ascii="Verdana" w:hAnsi="Verdana"/>
                <w:sz w:val="20"/>
                <w:szCs w:val="20"/>
                <w:lang w:val="bg-BG"/>
              </w:rPr>
            </w:pPr>
            <w:r w:rsidRPr="00B45B4F">
              <w:rPr>
                <w:rFonts w:ascii="Verdana" w:hAnsi="Verdana"/>
                <w:sz w:val="20"/>
                <w:szCs w:val="20"/>
                <w:lang w:val="bg-BG"/>
              </w:rPr>
              <w:t>ПО3, ИП1, СЦ1</w:t>
            </w:r>
          </w:p>
        </w:tc>
        <w:tc>
          <w:tcPr>
            <w:tcW w:w="3947" w:type="dxa"/>
          </w:tcPr>
          <w:p w:rsidR="009A761F" w:rsidRPr="00B45B4F" w:rsidRDefault="009A761F" w:rsidP="009A761F">
            <w:pPr>
              <w:spacing w:after="0" w:line="240" w:lineRule="auto"/>
              <w:rPr>
                <w:rFonts w:ascii="Verdana" w:hAnsi="Verdana"/>
                <w:sz w:val="20"/>
                <w:szCs w:val="20"/>
                <w:lang w:val="bg-BG"/>
              </w:rPr>
            </w:pPr>
            <w:r w:rsidRPr="00B45B4F">
              <w:rPr>
                <w:rFonts w:ascii="Verdana" w:hAnsi="Verdana"/>
                <w:sz w:val="20"/>
                <w:szCs w:val="20"/>
                <w:lang w:val="bg-BG"/>
              </w:rPr>
              <w:t>Сегашната формулировка на целта започва с „повишаване на качеството и подобряване на достъпа до образование“, което отклонява фокуса от основния проблем – включващо образование и в допълнение води до объркване, тъй като достъпа и качеството на образование се подкрепя от ИП1 на ПО2.</w:t>
            </w:r>
          </w:p>
        </w:tc>
        <w:tc>
          <w:tcPr>
            <w:tcW w:w="3171" w:type="dxa"/>
          </w:tcPr>
          <w:p w:rsidR="009A761F" w:rsidRPr="00B45B4F" w:rsidRDefault="009A761F" w:rsidP="009A761F">
            <w:pPr>
              <w:spacing w:after="0" w:line="240" w:lineRule="auto"/>
              <w:rPr>
                <w:rFonts w:ascii="Verdana" w:hAnsi="Verdana"/>
                <w:sz w:val="20"/>
                <w:szCs w:val="20"/>
                <w:lang w:val="bg-BG"/>
              </w:rPr>
            </w:pPr>
            <w:r w:rsidRPr="00B45B4F">
              <w:rPr>
                <w:rFonts w:ascii="Verdana" w:hAnsi="Verdana"/>
                <w:sz w:val="20"/>
                <w:szCs w:val="20"/>
                <w:lang w:val="bg-BG"/>
              </w:rPr>
              <w:t xml:space="preserve">Препоръчително е наименованието на специфичната цел да бъде преформулирано. </w:t>
            </w:r>
          </w:p>
        </w:tc>
      </w:tr>
      <w:tr w:rsidR="009A761F" w:rsidRPr="00B45B4F" w:rsidTr="009A761F">
        <w:tc>
          <w:tcPr>
            <w:tcW w:w="1972" w:type="dxa"/>
          </w:tcPr>
          <w:p w:rsidR="009A761F" w:rsidRPr="00B45B4F" w:rsidRDefault="009A761F" w:rsidP="009A761F">
            <w:pPr>
              <w:rPr>
                <w:rFonts w:ascii="Verdana" w:hAnsi="Verdana"/>
                <w:sz w:val="20"/>
                <w:szCs w:val="20"/>
                <w:lang w:val="bg-BG"/>
              </w:rPr>
            </w:pPr>
            <w:r w:rsidRPr="00B45B4F">
              <w:rPr>
                <w:rFonts w:ascii="Verdana" w:hAnsi="Verdana"/>
                <w:sz w:val="20"/>
                <w:szCs w:val="20"/>
                <w:lang w:val="bg-BG"/>
              </w:rPr>
              <w:t>ПО3, ИП1</w:t>
            </w:r>
          </w:p>
        </w:tc>
        <w:tc>
          <w:tcPr>
            <w:tcW w:w="3947" w:type="dxa"/>
          </w:tcPr>
          <w:p w:rsidR="009A761F" w:rsidRPr="00B45B4F" w:rsidRDefault="009A761F" w:rsidP="009A761F">
            <w:pPr>
              <w:spacing w:after="0" w:line="240" w:lineRule="auto"/>
              <w:rPr>
                <w:rFonts w:ascii="Verdana" w:hAnsi="Verdana"/>
                <w:sz w:val="20"/>
                <w:szCs w:val="20"/>
                <w:lang w:val="bg-BG"/>
              </w:rPr>
            </w:pPr>
            <w:r w:rsidRPr="00B45B4F">
              <w:rPr>
                <w:rFonts w:ascii="Verdana" w:hAnsi="Verdana"/>
                <w:sz w:val="20"/>
                <w:szCs w:val="20"/>
                <w:lang w:val="bg-BG"/>
              </w:rPr>
              <w:t xml:space="preserve">Обосновката може да бъде допълнена </w:t>
            </w:r>
            <w:r>
              <w:rPr>
                <w:rFonts w:ascii="Verdana" w:hAnsi="Verdana"/>
                <w:sz w:val="20"/>
                <w:szCs w:val="20"/>
                <w:lang w:val="bg-BG"/>
              </w:rPr>
              <w:t>с анализ за</w:t>
            </w:r>
            <w:r w:rsidRPr="00B45B4F">
              <w:rPr>
                <w:rFonts w:ascii="Verdana" w:hAnsi="Verdana"/>
                <w:sz w:val="20"/>
                <w:szCs w:val="20"/>
                <w:lang w:val="bg-BG"/>
              </w:rPr>
              <w:t xml:space="preserve"> достъп на хора с увреждания до висше образование, практики за адресиране на индивидуалните потребности на учениците и тяхната ефективност.</w:t>
            </w:r>
          </w:p>
        </w:tc>
        <w:tc>
          <w:tcPr>
            <w:tcW w:w="3171" w:type="dxa"/>
          </w:tcPr>
          <w:p w:rsidR="009A761F" w:rsidRPr="00B45B4F" w:rsidRDefault="009A761F" w:rsidP="009A761F">
            <w:pPr>
              <w:rPr>
                <w:rFonts w:ascii="Verdana" w:hAnsi="Verdana"/>
                <w:sz w:val="20"/>
                <w:szCs w:val="20"/>
                <w:lang w:val="bg-BG"/>
              </w:rPr>
            </w:pPr>
            <w:r w:rsidRPr="00B45B4F">
              <w:rPr>
                <w:rFonts w:ascii="Verdana" w:hAnsi="Verdana"/>
                <w:sz w:val="20"/>
                <w:szCs w:val="20"/>
                <w:lang w:val="bg-BG"/>
              </w:rPr>
              <w:t xml:space="preserve">Да се допълни обосновката съобразно отправените коментари в таблица </w:t>
            </w:r>
            <w:r>
              <w:rPr>
                <w:rFonts w:ascii="Verdana" w:hAnsi="Verdana"/>
                <w:sz w:val="20"/>
                <w:szCs w:val="20"/>
                <w:lang w:val="bg-BG"/>
              </w:rPr>
              <w:t>19</w:t>
            </w:r>
            <w:r w:rsidRPr="00B45B4F">
              <w:rPr>
                <w:rFonts w:ascii="Verdana" w:hAnsi="Verdana"/>
                <w:sz w:val="20"/>
                <w:szCs w:val="20"/>
                <w:lang w:val="bg-BG"/>
              </w:rPr>
              <w:t xml:space="preserve"> на настоящия доклад.</w:t>
            </w:r>
          </w:p>
        </w:tc>
      </w:tr>
      <w:tr w:rsidR="009A761F" w:rsidRPr="00B45B4F" w:rsidTr="009A761F">
        <w:tc>
          <w:tcPr>
            <w:tcW w:w="1972" w:type="dxa"/>
          </w:tcPr>
          <w:p w:rsidR="009A761F" w:rsidRPr="00B45B4F" w:rsidRDefault="009A761F" w:rsidP="009A761F">
            <w:pPr>
              <w:rPr>
                <w:rFonts w:ascii="Verdana" w:hAnsi="Verdana"/>
                <w:sz w:val="20"/>
                <w:szCs w:val="20"/>
                <w:lang w:val="bg-BG"/>
              </w:rPr>
            </w:pPr>
            <w:r w:rsidRPr="00B45B4F">
              <w:rPr>
                <w:rFonts w:ascii="Verdana" w:hAnsi="Verdana"/>
                <w:sz w:val="20"/>
                <w:szCs w:val="20"/>
                <w:lang w:val="bg-BG"/>
              </w:rPr>
              <w:t>ПО3, ИП2</w:t>
            </w:r>
          </w:p>
        </w:tc>
        <w:tc>
          <w:tcPr>
            <w:tcW w:w="3947" w:type="dxa"/>
          </w:tcPr>
          <w:p w:rsidR="009A761F" w:rsidRPr="00B45B4F" w:rsidRDefault="009A761F" w:rsidP="009A761F">
            <w:pPr>
              <w:rPr>
                <w:rFonts w:ascii="Verdana" w:hAnsi="Verdana"/>
                <w:sz w:val="20"/>
                <w:szCs w:val="20"/>
                <w:lang w:val="bg-BG"/>
              </w:rPr>
            </w:pPr>
            <w:r w:rsidRPr="00B45B4F">
              <w:rPr>
                <w:rFonts w:ascii="Verdana" w:hAnsi="Verdana"/>
                <w:sz w:val="20"/>
                <w:szCs w:val="20"/>
                <w:lang w:val="bg-BG"/>
              </w:rPr>
              <w:t>Обосновката на специфичната цел посочва основните проблеми, но не предоставя достатъчно данни за илюстриране на проблемите. Не се посочва евентуална интегрирана подкрепа съвместно с ОПРЧР 2014–2020 г.</w:t>
            </w:r>
          </w:p>
        </w:tc>
        <w:tc>
          <w:tcPr>
            <w:tcW w:w="3171" w:type="dxa"/>
          </w:tcPr>
          <w:p w:rsidR="009A761F" w:rsidRPr="00B45B4F" w:rsidRDefault="009A761F" w:rsidP="009A761F">
            <w:pPr>
              <w:rPr>
                <w:rFonts w:ascii="Verdana" w:hAnsi="Verdana"/>
                <w:sz w:val="20"/>
                <w:szCs w:val="20"/>
                <w:lang w:val="bg-BG"/>
              </w:rPr>
            </w:pPr>
            <w:r w:rsidRPr="00B45B4F">
              <w:rPr>
                <w:rFonts w:ascii="Verdana" w:hAnsi="Verdana"/>
                <w:sz w:val="20"/>
                <w:szCs w:val="20"/>
                <w:lang w:val="bg-BG"/>
              </w:rPr>
              <w:t xml:space="preserve">Да се допълни обосновката на специфичните цели съобразно отправените коментари в таблица </w:t>
            </w:r>
            <w:r>
              <w:rPr>
                <w:rFonts w:ascii="Verdana" w:hAnsi="Verdana"/>
                <w:sz w:val="20"/>
                <w:szCs w:val="20"/>
                <w:lang w:val="bg-BG"/>
              </w:rPr>
              <w:t>19</w:t>
            </w:r>
            <w:r w:rsidRPr="00B45B4F">
              <w:rPr>
                <w:rFonts w:ascii="Verdana" w:hAnsi="Verdana"/>
                <w:sz w:val="20"/>
                <w:szCs w:val="20"/>
                <w:lang w:val="bg-BG"/>
              </w:rPr>
              <w:t xml:space="preserve"> на настоящия доклад.</w:t>
            </w:r>
          </w:p>
        </w:tc>
      </w:tr>
      <w:tr w:rsidR="009A761F" w:rsidRPr="00B45B4F" w:rsidTr="009A761F">
        <w:tc>
          <w:tcPr>
            <w:tcW w:w="1972" w:type="dxa"/>
          </w:tcPr>
          <w:p w:rsidR="009A761F" w:rsidRPr="00B45B4F" w:rsidRDefault="009A761F" w:rsidP="009A761F">
            <w:pPr>
              <w:rPr>
                <w:rFonts w:ascii="Verdana" w:hAnsi="Verdana"/>
                <w:sz w:val="20"/>
                <w:szCs w:val="20"/>
                <w:lang w:val="bg-BG"/>
              </w:rPr>
            </w:pPr>
            <w:r w:rsidRPr="00B45B4F">
              <w:rPr>
                <w:rFonts w:ascii="Verdana" w:hAnsi="Verdana"/>
                <w:sz w:val="20"/>
                <w:szCs w:val="20"/>
                <w:lang w:val="bg-BG"/>
              </w:rPr>
              <w:t>Дейности по всички приоритетни оси</w:t>
            </w:r>
          </w:p>
        </w:tc>
        <w:tc>
          <w:tcPr>
            <w:tcW w:w="3947" w:type="dxa"/>
          </w:tcPr>
          <w:p w:rsidR="009A761F" w:rsidRPr="00B45B4F" w:rsidRDefault="009A761F" w:rsidP="009A761F">
            <w:pPr>
              <w:rPr>
                <w:rFonts w:ascii="Verdana" w:hAnsi="Verdana"/>
                <w:sz w:val="20"/>
                <w:szCs w:val="20"/>
                <w:lang w:val="bg-BG"/>
              </w:rPr>
            </w:pPr>
            <w:r>
              <w:rPr>
                <w:rFonts w:ascii="Verdana" w:hAnsi="Verdana"/>
                <w:sz w:val="20"/>
                <w:szCs w:val="20"/>
                <w:lang w:val="bg-BG"/>
              </w:rPr>
              <w:t>Повечето от предложените дейности за</w:t>
            </w:r>
            <w:r w:rsidRPr="00B45B4F">
              <w:rPr>
                <w:rFonts w:ascii="Verdana" w:hAnsi="Verdana"/>
                <w:sz w:val="20"/>
                <w:szCs w:val="20"/>
                <w:lang w:val="bg-BG"/>
              </w:rPr>
              <w:t xml:space="preserve"> уместни</w:t>
            </w:r>
            <w:r>
              <w:rPr>
                <w:rFonts w:ascii="Verdana" w:hAnsi="Verdana"/>
                <w:sz w:val="20"/>
                <w:szCs w:val="20"/>
                <w:lang w:val="bg-BG"/>
              </w:rPr>
              <w:t xml:space="preserve"> към заложените специфични цели</w:t>
            </w:r>
            <w:r w:rsidRPr="00B45B4F">
              <w:rPr>
                <w:rFonts w:ascii="Verdana" w:hAnsi="Verdana"/>
                <w:sz w:val="20"/>
                <w:szCs w:val="20"/>
                <w:lang w:val="bg-BG"/>
              </w:rPr>
              <w:t xml:space="preserve">. В някои случаи е възможно </w:t>
            </w:r>
            <w:r>
              <w:rPr>
                <w:rFonts w:ascii="Verdana" w:hAnsi="Verdana"/>
                <w:sz w:val="20"/>
                <w:szCs w:val="20"/>
                <w:lang w:val="bg-BG"/>
              </w:rPr>
              <w:lastRenderedPageBreak/>
              <w:t>обединяване</w:t>
            </w:r>
            <w:r w:rsidRPr="00B45B4F">
              <w:rPr>
                <w:rFonts w:ascii="Verdana" w:hAnsi="Verdana"/>
                <w:sz w:val="20"/>
                <w:szCs w:val="20"/>
                <w:lang w:val="bg-BG"/>
              </w:rPr>
              <w:t xml:space="preserve"> или по-добро формулиране на дейностите. Има и дейности, които не са достатъчно добре застъпени в обосновката на специфичните цели и такива, които имат слаба връзка с последните. Отправени са конкретни препоръки.</w:t>
            </w:r>
          </w:p>
        </w:tc>
        <w:tc>
          <w:tcPr>
            <w:tcW w:w="3171" w:type="dxa"/>
          </w:tcPr>
          <w:p w:rsidR="009A761F" w:rsidRPr="00B45B4F" w:rsidRDefault="009A761F" w:rsidP="009A761F">
            <w:pPr>
              <w:rPr>
                <w:rFonts w:ascii="Verdana" w:hAnsi="Verdana"/>
                <w:sz w:val="20"/>
                <w:szCs w:val="20"/>
                <w:lang w:val="bg-BG"/>
              </w:rPr>
            </w:pPr>
            <w:r w:rsidRPr="00B45B4F">
              <w:rPr>
                <w:rFonts w:ascii="Verdana" w:hAnsi="Verdana"/>
                <w:sz w:val="20"/>
                <w:szCs w:val="20"/>
                <w:lang w:val="bg-BG"/>
              </w:rPr>
              <w:lastRenderedPageBreak/>
              <w:t xml:space="preserve">Да се подобри формулирането на дейностите по специфичните цели на </w:t>
            </w:r>
            <w:r w:rsidRPr="00B45B4F">
              <w:rPr>
                <w:rFonts w:ascii="Verdana" w:hAnsi="Verdana"/>
                <w:sz w:val="20"/>
                <w:szCs w:val="20"/>
                <w:lang w:val="bg-BG"/>
              </w:rPr>
              <w:lastRenderedPageBreak/>
              <w:t xml:space="preserve">всички оси, съобразно отправените препоръки в таблици </w:t>
            </w:r>
            <w:r>
              <w:rPr>
                <w:rFonts w:ascii="Verdana" w:hAnsi="Verdana"/>
                <w:sz w:val="20"/>
                <w:szCs w:val="20"/>
                <w:lang w:val="bg-BG"/>
              </w:rPr>
              <w:t>21</w:t>
            </w:r>
            <w:r w:rsidRPr="00B45B4F">
              <w:rPr>
                <w:rFonts w:ascii="Verdana" w:hAnsi="Verdana"/>
                <w:sz w:val="20"/>
                <w:szCs w:val="20"/>
                <w:lang w:val="bg-BG"/>
              </w:rPr>
              <w:t xml:space="preserve">, </w:t>
            </w:r>
            <w:r>
              <w:rPr>
                <w:rFonts w:ascii="Verdana" w:hAnsi="Verdana"/>
                <w:sz w:val="20"/>
                <w:szCs w:val="20"/>
                <w:lang w:val="bg-BG"/>
              </w:rPr>
              <w:t>22</w:t>
            </w:r>
            <w:r w:rsidRPr="00B45B4F">
              <w:rPr>
                <w:rFonts w:ascii="Verdana" w:hAnsi="Verdana"/>
                <w:sz w:val="20"/>
                <w:szCs w:val="20"/>
                <w:lang w:val="bg-BG"/>
              </w:rPr>
              <w:t xml:space="preserve">, </w:t>
            </w:r>
            <w:r>
              <w:rPr>
                <w:rFonts w:ascii="Verdana" w:hAnsi="Verdana"/>
                <w:sz w:val="20"/>
                <w:szCs w:val="20"/>
                <w:lang w:val="bg-BG"/>
              </w:rPr>
              <w:t>23</w:t>
            </w:r>
            <w:r w:rsidRPr="00B45B4F">
              <w:rPr>
                <w:rFonts w:ascii="Verdana" w:hAnsi="Verdana"/>
                <w:sz w:val="20"/>
                <w:szCs w:val="20"/>
                <w:lang w:val="bg-BG"/>
              </w:rPr>
              <w:t xml:space="preserve"> и </w:t>
            </w:r>
            <w:r>
              <w:rPr>
                <w:rFonts w:ascii="Verdana" w:hAnsi="Verdana"/>
                <w:sz w:val="20"/>
                <w:szCs w:val="20"/>
                <w:lang w:val="bg-BG"/>
              </w:rPr>
              <w:t>24</w:t>
            </w:r>
            <w:r w:rsidRPr="00B45B4F">
              <w:rPr>
                <w:rFonts w:ascii="Verdana" w:hAnsi="Verdana"/>
                <w:sz w:val="20"/>
                <w:szCs w:val="20"/>
                <w:lang w:val="bg-BG"/>
              </w:rPr>
              <w:t xml:space="preserve"> на настоящия доклад.</w:t>
            </w:r>
          </w:p>
        </w:tc>
      </w:tr>
      <w:tr w:rsidR="009A761F" w:rsidRPr="00B45B4F" w:rsidTr="009A761F">
        <w:tc>
          <w:tcPr>
            <w:tcW w:w="1972" w:type="dxa"/>
          </w:tcPr>
          <w:p w:rsidR="009A761F" w:rsidRPr="00B45B4F" w:rsidRDefault="009A761F" w:rsidP="009A761F">
            <w:pPr>
              <w:rPr>
                <w:rFonts w:ascii="Verdana" w:hAnsi="Verdana"/>
                <w:sz w:val="20"/>
                <w:szCs w:val="20"/>
                <w:lang w:val="bg-BG"/>
              </w:rPr>
            </w:pPr>
            <w:r w:rsidRPr="00B45B4F">
              <w:rPr>
                <w:rFonts w:ascii="Verdana" w:hAnsi="Verdana"/>
                <w:sz w:val="20"/>
                <w:szCs w:val="20"/>
                <w:lang w:val="bg-BG"/>
              </w:rPr>
              <w:lastRenderedPageBreak/>
              <w:t>Бенефициенти и целеви групи</w:t>
            </w:r>
          </w:p>
        </w:tc>
        <w:tc>
          <w:tcPr>
            <w:tcW w:w="3947" w:type="dxa"/>
          </w:tcPr>
          <w:p w:rsidR="009A761F" w:rsidRPr="00B45B4F" w:rsidRDefault="009A761F" w:rsidP="009A761F">
            <w:pPr>
              <w:rPr>
                <w:rFonts w:ascii="Verdana" w:hAnsi="Verdana"/>
                <w:sz w:val="20"/>
                <w:szCs w:val="20"/>
                <w:lang w:val="bg-BG"/>
              </w:rPr>
            </w:pPr>
            <w:r w:rsidRPr="00B45B4F">
              <w:rPr>
                <w:rFonts w:ascii="Verdana" w:hAnsi="Verdana"/>
                <w:sz w:val="20"/>
                <w:szCs w:val="20"/>
                <w:lang w:val="bg-BG"/>
              </w:rPr>
              <w:t>Бенефициентите и целевите групи са адекватно определени. В някои случаи има неясноти относно някои от групите. Отправени са съответни коментари.</w:t>
            </w:r>
          </w:p>
        </w:tc>
        <w:tc>
          <w:tcPr>
            <w:tcW w:w="3171" w:type="dxa"/>
          </w:tcPr>
          <w:p w:rsidR="009A761F" w:rsidRPr="00B45B4F" w:rsidRDefault="009A761F" w:rsidP="009A761F">
            <w:pPr>
              <w:rPr>
                <w:rFonts w:ascii="Verdana" w:hAnsi="Verdana"/>
                <w:sz w:val="20"/>
                <w:szCs w:val="20"/>
                <w:lang w:val="bg-BG"/>
              </w:rPr>
            </w:pPr>
            <w:r w:rsidRPr="00B45B4F">
              <w:rPr>
                <w:rFonts w:ascii="Verdana" w:hAnsi="Verdana"/>
                <w:sz w:val="20"/>
                <w:szCs w:val="20"/>
                <w:lang w:val="bg-BG"/>
              </w:rPr>
              <w:t xml:space="preserve">Да се направят необходимите промени и доуточнения във връзка с отправените коментари в таблици </w:t>
            </w:r>
            <w:r>
              <w:rPr>
                <w:rFonts w:ascii="Verdana" w:hAnsi="Verdana"/>
                <w:sz w:val="20"/>
                <w:szCs w:val="20"/>
                <w:lang w:val="bg-BG"/>
              </w:rPr>
              <w:t>25</w:t>
            </w:r>
            <w:r w:rsidRPr="00B45B4F">
              <w:rPr>
                <w:rFonts w:ascii="Verdana" w:hAnsi="Verdana"/>
                <w:sz w:val="20"/>
                <w:szCs w:val="20"/>
                <w:lang w:val="bg-BG"/>
              </w:rPr>
              <w:t xml:space="preserve">, </w:t>
            </w:r>
            <w:r>
              <w:rPr>
                <w:rFonts w:ascii="Verdana" w:hAnsi="Verdana"/>
                <w:sz w:val="20"/>
                <w:szCs w:val="20"/>
                <w:lang w:val="bg-BG"/>
              </w:rPr>
              <w:t>26</w:t>
            </w:r>
            <w:r w:rsidRPr="00B45B4F">
              <w:rPr>
                <w:rFonts w:ascii="Verdana" w:hAnsi="Verdana"/>
                <w:sz w:val="20"/>
                <w:szCs w:val="20"/>
                <w:lang w:val="bg-BG"/>
              </w:rPr>
              <w:t xml:space="preserve"> и </w:t>
            </w:r>
            <w:r>
              <w:rPr>
                <w:rFonts w:ascii="Verdana" w:hAnsi="Verdana"/>
                <w:sz w:val="20"/>
                <w:szCs w:val="20"/>
                <w:lang w:val="bg-BG"/>
              </w:rPr>
              <w:t>27</w:t>
            </w:r>
          </w:p>
        </w:tc>
      </w:tr>
      <w:tr w:rsidR="009A761F" w:rsidRPr="00B45B4F" w:rsidTr="009A761F">
        <w:tc>
          <w:tcPr>
            <w:tcW w:w="1972" w:type="dxa"/>
          </w:tcPr>
          <w:p w:rsidR="009A761F" w:rsidRPr="00B45B4F" w:rsidRDefault="009A761F" w:rsidP="009A761F">
            <w:pPr>
              <w:rPr>
                <w:rFonts w:ascii="Verdana" w:hAnsi="Verdana"/>
                <w:sz w:val="20"/>
                <w:szCs w:val="20"/>
                <w:lang w:val="bg-BG"/>
              </w:rPr>
            </w:pPr>
            <w:r w:rsidRPr="00B45B4F">
              <w:rPr>
                <w:rFonts w:ascii="Verdana" w:hAnsi="Verdana"/>
                <w:sz w:val="20"/>
                <w:szCs w:val="20"/>
                <w:lang w:val="bg-BG"/>
              </w:rPr>
              <w:t>Водещи принципи за избор на операции</w:t>
            </w:r>
          </w:p>
        </w:tc>
        <w:tc>
          <w:tcPr>
            <w:tcW w:w="3947" w:type="dxa"/>
          </w:tcPr>
          <w:p w:rsidR="009A761F" w:rsidRPr="00B45B4F" w:rsidRDefault="009A761F" w:rsidP="009A761F">
            <w:pPr>
              <w:rPr>
                <w:rFonts w:ascii="Verdana" w:hAnsi="Verdana"/>
                <w:sz w:val="20"/>
                <w:szCs w:val="20"/>
                <w:lang w:val="bg-BG"/>
              </w:rPr>
            </w:pPr>
            <w:r w:rsidRPr="00B45B4F">
              <w:rPr>
                <w:rFonts w:ascii="Verdana" w:hAnsi="Verdana"/>
                <w:sz w:val="20"/>
                <w:szCs w:val="20"/>
                <w:lang w:val="bg-BG"/>
              </w:rPr>
              <w:t>Повечето от заложените водещи принципи за избор на операции са уместни и ще допринесат за целенасочено използване на средствата и подобряване на подбора на проекти. Отправени са коментари по отношение на три от предложените принципи за подбор на операции.</w:t>
            </w:r>
          </w:p>
        </w:tc>
        <w:tc>
          <w:tcPr>
            <w:tcW w:w="3171" w:type="dxa"/>
          </w:tcPr>
          <w:p w:rsidR="009A761F" w:rsidRPr="00B45B4F" w:rsidRDefault="009A761F" w:rsidP="009A761F">
            <w:pPr>
              <w:rPr>
                <w:rFonts w:ascii="Verdana" w:hAnsi="Verdana"/>
                <w:sz w:val="20"/>
                <w:szCs w:val="20"/>
                <w:lang w:val="bg-BG"/>
              </w:rPr>
            </w:pPr>
            <w:r w:rsidRPr="00B45B4F">
              <w:rPr>
                <w:rFonts w:ascii="Verdana" w:hAnsi="Verdana"/>
                <w:sz w:val="20"/>
                <w:szCs w:val="20"/>
                <w:lang w:val="bg-BG"/>
              </w:rPr>
              <w:t xml:space="preserve">Да се отразят коментарите, направени в таблица </w:t>
            </w:r>
            <w:r>
              <w:rPr>
                <w:rFonts w:ascii="Verdana" w:hAnsi="Verdana"/>
                <w:sz w:val="20"/>
                <w:szCs w:val="20"/>
                <w:lang w:val="bg-BG"/>
              </w:rPr>
              <w:t>29</w:t>
            </w:r>
            <w:r w:rsidRPr="00B45B4F">
              <w:rPr>
                <w:rFonts w:ascii="Verdana" w:hAnsi="Verdana"/>
                <w:sz w:val="20"/>
                <w:szCs w:val="20"/>
                <w:lang w:val="bg-BG"/>
              </w:rPr>
              <w:t xml:space="preserve"> на настоящия доклад.</w:t>
            </w:r>
          </w:p>
        </w:tc>
      </w:tr>
      <w:tr w:rsidR="009A761F" w:rsidRPr="00B45B4F" w:rsidTr="009A761F">
        <w:tc>
          <w:tcPr>
            <w:tcW w:w="1972" w:type="dxa"/>
          </w:tcPr>
          <w:p w:rsidR="009A761F" w:rsidRPr="00B45B4F" w:rsidRDefault="009A761F" w:rsidP="009A761F">
            <w:pPr>
              <w:rPr>
                <w:rFonts w:ascii="Verdana" w:hAnsi="Verdana"/>
                <w:sz w:val="20"/>
                <w:szCs w:val="20"/>
                <w:lang w:val="bg-BG"/>
              </w:rPr>
            </w:pPr>
            <w:r w:rsidRPr="00B45B4F">
              <w:rPr>
                <w:rFonts w:ascii="Verdana" w:hAnsi="Verdana"/>
                <w:sz w:val="20"/>
                <w:szCs w:val="20"/>
                <w:lang w:val="bg-BG"/>
              </w:rPr>
              <w:t>Финансови инструменти</w:t>
            </w:r>
          </w:p>
        </w:tc>
        <w:tc>
          <w:tcPr>
            <w:tcW w:w="3947" w:type="dxa"/>
          </w:tcPr>
          <w:p w:rsidR="009A761F" w:rsidRPr="00B45B4F" w:rsidRDefault="009A761F" w:rsidP="009A761F">
            <w:pPr>
              <w:rPr>
                <w:rFonts w:ascii="Verdana" w:hAnsi="Verdana"/>
                <w:sz w:val="20"/>
                <w:szCs w:val="20"/>
                <w:lang w:val="bg-BG"/>
              </w:rPr>
            </w:pPr>
            <w:r w:rsidRPr="00B45B4F">
              <w:rPr>
                <w:rFonts w:ascii="Verdana" w:hAnsi="Verdana"/>
                <w:sz w:val="20"/>
                <w:szCs w:val="20"/>
                <w:lang w:val="bg-BG"/>
              </w:rPr>
              <w:t xml:space="preserve">Във варианта на програмата от </w:t>
            </w:r>
            <w:r>
              <w:rPr>
                <w:rFonts w:ascii="Verdana" w:hAnsi="Verdana"/>
                <w:sz w:val="20"/>
                <w:szCs w:val="20"/>
                <w:lang w:val="bg-BG"/>
              </w:rPr>
              <w:t>май</w:t>
            </w:r>
            <w:r w:rsidRPr="00B45B4F">
              <w:rPr>
                <w:rFonts w:ascii="Verdana" w:hAnsi="Verdana"/>
                <w:sz w:val="20"/>
                <w:szCs w:val="20"/>
                <w:lang w:val="bg-BG"/>
              </w:rPr>
              <w:t xml:space="preserve"> 2014 не се предвижда използването на финансови инструменти. </w:t>
            </w:r>
          </w:p>
        </w:tc>
        <w:tc>
          <w:tcPr>
            <w:tcW w:w="3171" w:type="dxa"/>
          </w:tcPr>
          <w:p w:rsidR="009A761F" w:rsidRPr="00B45B4F" w:rsidRDefault="009A761F" w:rsidP="009A761F">
            <w:pPr>
              <w:rPr>
                <w:rFonts w:ascii="Verdana" w:hAnsi="Verdana"/>
                <w:sz w:val="20"/>
                <w:szCs w:val="20"/>
                <w:lang w:val="bg-BG"/>
              </w:rPr>
            </w:pPr>
            <w:r w:rsidRPr="00B45B4F">
              <w:rPr>
                <w:rFonts w:ascii="Verdana" w:hAnsi="Verdana"/>
                <w:sz w:val="20"/>
                <w:szCs w:val="20"/>
                <w:lang w:val="bg-BG"/>
              </w:rPr>
              <w:t>Предвид на заложените дейности за кредитиране на висшето образование, както и възможностите за съвместни инициативи бизнес–наука и бизнес–висше образование е препоръчително да се анализират възможностите и предимствата от използването на финансови инструменти.</w:t>
            </w:r>
          </w:p>
        </w:tc>
      </w:tr>
      <w:tr w:rsidR="009A761F" w:rsidRPr="00B45B4F" w:rsidTr="009A761F">
        <w:tc>
          <w:tcPr>
            <w:tcW w:w="1972" w:type="dxa"/>
          </w:tcPr>
          <w:p w:rsidR="009A761F" w:rsidRPr="00B45B4F" w:rsidRDefault="009A761F" w:rsidP="009A761F">
            <w:pPr>
              <w:rPr>
                <w:rFonts w:ascii="Verdana" w:hAnsi="Verdana"/>
                <w:sz w:val="20"/>
                <w:szCs w:val="20"/>
                <w:lang w:val="bg-BG"/>
              </w:rPr>
            </w:pPr>
            <w:r w:rsidRPr="00B45B4F">
              <w:rPr>
                <w:rFonts w:ascii="Verdana" w:hAnsi="Verdana"/>
                <w:sz w:val="20"/>
                <w:szCs w:val="20"/>
                <w:lang w:val="bg-BG"/>
              </w:rPr>
              <w:t>Хоризонтални принципи</w:t>
            </w:r>
          </w:p>
        </w:tc>
        <w:tc>
          <w:tcPr>
            <w:tcW w:w="3947" w:type="dxa"/>
          </w:tcPr>
          <w:p w:rsidR="009A761F" w:rsidRPr="00B45B4F" w:rsidRDefault="009A761F" w:rsidP="009A761F">
            <w:pPr>
              <w:spacing w:before="120" w:after="120"/>
              <w:rPr>
                <w:rFonts w:ascii="Verdana" w:hAnsi="Verdana"/>
                <w:sz w:val="20"/>
                <w:szCs w:val="20"/>
                <w:lang w:val="bg-BG"/>
              </w:rPr>
            </w:pPr>
            <w:r w:rsidRPr="00B45B4F">
              <w:rPr>
                <w:rFonts w:ascii="Verdana" w:hAnsi="Verdana"/>
                <w:sz w:val="20"/>
                <w:szCs w:val="20"/>
                <w:lang w:val="bg-BG"/>
              </w:rPr>
              <w:t xml:space="preserve">Програмата отразява основните хоризонтални принципи, залегнали в приложимите регламенти и в Споразумението за партньорство. </w:t>
            </w:r>
            <w:r>
              <w:rPr>
                <w:rFonts w:ascii="Verdana" w:hAnsi="Verdana"/>
                <w:sz w:val="20"/>
                <w:szCs w:val="20"/>
                <w:lang w:val="bg-BG"/>
              </w:rPr>
              <w:t xml:space="preserve">Наблюдението на прилагането на принципа за „равни възможности и предотвратяване на </w:t>
            </w:r>
            <w:r>
              <w:rPr>
                <w:rFonts w:ascii="Verdana" w:hAnsi="Verdana"/>
                <w:sz w:val="20"/>
                <w:szCs w:val="20"/>
                <w:lang w:val="bg-BG"/>
              </w:rPr>
              <w:lastRenderedPageBreak/>
              <w:t>дискриминацията“ е предвидено да става чрез специализирани проверки и следене на конкретни индикатори. Не е посочено как ще бъде наблюдавано прилагането на принципите за „устойчиво развитие“ и „равенство между половете“.</w:t>
            </w:r>
          </w:p>
        </w:tc>
        <w:tc>
          <w:tcPr>
            <w:tcW w:w="3171" w:type="dxa"/>
          </w:tcPr>
          <w:p w:rsidR="009A761F" w:rsidRDefault="009A761F" w:rsidP="009A761F">
            <w:pPr>
              <w:rPr>
                <w:rFonts w:ascii="Verdana" w:hAnsi="Verdana"/>
                <w:sz w:val="20"/>
                <w:szCs w:val="20"/>
                <w:lang w:val="bg-BG"/>
              </w:rPr>
            </w:pPr>
            <w:r>
              <w:rPr>
                <w:rFonts w:ascii="Verdana" w:hAnsi="Verdana"/>
                <w:sz w:val="20"/>
                <w:szCs w:val="20"/>
                <w:lang w:val="bg-BG"/>
              </w:rPr>
              <w:lastRenderedPageBreak/>
              <w:t xml:space="preserve">Въвеждането на специализирани проверки би довело до увеличаване на административната тежест. По-удачно би било информация за изпълнение на принципа  за „равни възможности и </w:t>
            </w:r>
            <w:r>
              <w:rPr>
                <w:rFonts w:ascii="Verdana" w:hAnsi="Verdana"/>
                <w:sz w:val="20"/>
                <w:szCs w:val="20"/>
                <w:lang w:val="bg-BG"/>
              </w:rPr>
              <w:lastRenderedPageBreak/>
              <w:t>предотвратяване на дискриминацията“ да бъде набирана чрез системата за наблюдение.</w:t>
            </w:r>
          </w:p>
          <w:p w:rsidR="009A761F" w:rsidRPr="00B45B4F" w:rsidRDefault="009A761F" w:rsidP="009A761F">
            <w:pPr>
              <w:rPr>
                <w:rFonts w:ascii="Verdana" w:hAnsi="Verdana"/>
                <w:sz w:val="20"/>
                <w:szCs w:val="20"/>
                <w:lang w:val="bg-BG"/>
              </w:rPr>
            </w:pPr>
            <w:r>
              <w:rPr>
                <w:rFonts w:ascii="Verdana" w:hAnsi="Verdana"/>
                <w:sz w:val="20"/>
                <w:szCs w:val="20"/>
                <w:lang w:val="bg-BG"/>
              </w:rPr>
              <w:t>Да се добави информация, как ще се наблюдава прилагането на принципите за „устойчиво развитие“ и „равенство между половете“.</w:t>
            </w:r>
          </w:p>
        </w:tc>
      </w:tr>
    </w:tbl>
    <w:p w:rsidR="009A761F" w:rsidRDefault="009A761F" w:rsidP="009A761F"/>
    <w:p w:rsidR="00D737F0" w:rsidRPr="003220D9" w:rsidRDefault="00D737F0" w:rsidP="001A66A0">
      <w:pPr>
        <w:keepNext/>
        <w:spacing w:before="240" w:after="120"/>
        <w:jc w:val="both"/>
        <w:rPr>
          <w:rFonts w:ascii="Verdana" w:hAnsi="Verdana"/>
          <w:color w:val="548DD4" w:themeColor="text2" w:themeTint="99"/>
          <w:sz w:val="20"/>
          <w:szCs w:val="20"/>
          <w:lang w:val="bg-BG"/>
        </w:rPr>
      </w:pPr>
      <w:r w:rsidRPr="003220D9">
        <w:rPr>
          <w:rFonts w:ascii="Verdana" w:hAnsi="Verdana"/>
          <w:color w:val="548DD4" w:themeColor="text2" w:themeTint="99"/>
          <w:sz w:val="20"/>
          <w:szCs w:val="20"/>
          <w:lang w:val="bg-BG"/>
        </w:rPr>
        <w:t>По отношение на финансовото разпределение</w:t>
      </w:r>
    </w:p>
    <w:tbl>
      <w:tblPr>
        <w:tblStyle w:val="TableGrid"/>
        <w:tblW w:w="9208" w:type="dxa"/>
        <w:tblInd w:w="-10" w:type="dxa"/>
        <w:tblBorders>
          <w:top w:val="single" w:sz="8" w:space="0" w:color="17365D"/>
          <w:left w:val="single" w:sz="8" w:space="0" w:color="17365D"/>
          <w:bottom w:val="single" w:sz="8" w:space="0" w:color="17365D"/>
          <w:right w:val="single" w:sz="8" w:space="0" w:color="17365D"/>
          <w:insideH w:val="single" w:sz="8" w:space="0" w:color="17365D"/>
          <w:insideV w:val="single" w:sz="8" w:space="0" w:color="17365D"/>
        </w:tblBorders>
        <w:tblLook w:val="04A0" w:firstRow="1" w:lastRow="0" w:firstColumn="1" w:lastColumn="0" w:noHBand="0" w:noVBand="1"/>
      </w:tblPr>
      <w:tblGrid>
        <w:gridCol w:w="1820"/>
        <w:gridCol w:w="3968"/>
        <w:gridCol w:w="3420"/>
      </w:tblGrid>
      <w:tr w:rsidR="003220D9" w:rsidRPr="00C37A6B" w:rsidTr="0036128F">
        <w:tc>
          <w:tcPr>
            <w:tcW w:w="1820" w:type="dxa"/>
            <w:shd w:val="clear" w:color="auto" w:fill="548DD4" w:themeFill="text2" w:themeFillTint="99"/>
            <w:vAlign w:val="center"/>
          </w:tcPr>
          <w:p w:rsidR="003220D9" w:rsidRPr="00C37A6B" w:rsidRDefault="003220D9" w:rsidP="0036128F">
            <w:pPr>
              <w:jc w:val="center"/>
              <w:rPr>
                <w:rFonts w:ascii="Verdana" w:hAnsi="Verdana"/>
                <w:b/>
                <w:color w:val="FFFFFF" w:themeColor="background1"/>
                <w:sz w:val="20"/>
                <w:szCs w:val="20"/>
                <w:lang w:val="bg-BG"/>
              </w:rPr>
            </w:pPr>
            <w:r w:rsidRPr="00C37A6B">
              <w:rPr>
                <w:rFonts w:ascii="Verdana" w:hAnsi="Verdana"/>
                <w:b/>
                <w:color w:val="FFFFFF" w:themeColor="background1"/>
                <w:sz w:val="20"/>
                <w:szCs w:val="20"/>
                <w:lang w:val="bg-BG"/>
              </w:rPr>
              <w:t>Част от ОПНОИР</w:t>
            </w:r>
          </w:p>
        </w:tc>
        <w:tc>
          <w:tcPr>
            <w:tcW w:w="3968" w:type="dxa"/>
            <w:shd w:val="clear" w:color="auto" w:fill="548DD4" w:themeFill="text2" w:themeFillTint="99"/>
            <w:vAlign w:val="center"/>
          </w:tcPr>
          <w:p w:rsidR="003220D9" w:rsidRPr="00C37A6B" w:rsidRDefault="003220D9" w:rsidP="0036128F">
            <w:pPr>
              <w:jc w:val="center"/>
              <w:rPr>
                <w:rFonts w:ascii="Verdana" w:hAnsi="Verdana"/>
                <w:b/>
                <w:color w:val="FFFFFF" w:themeColor="background1"/>
                <w:sz w:val="20"/>
                <w:szCs w:val="20"/>
                <w:lang w:val="bg-BG"/>
              </w:rPr>
            </w:pPr>
            <w:r w:rsidRPr="00C37A6B">
              <w:rPr>
                <w:rFonts w:ascii="Verdana" w:hAnsi="Verdana"/>
                <w:b/>
                <w:color w:val="FFFFFF" w:themeColor="background1"/>
                <w:sz w:val="20"/>
                <w:szCs w:val="20"/>
                <w:lang w:val="bg-BG"/>
              </w:rPr>
              <w:t>Извод</w:t>
            </w:r>
          </w:p>
        </w:tc>
        <w:tc>
          <w:tcPr>
            <w:tcW w:w="3420" w:type="dxa"/>
            <w:shd w:val="clear" w:color="auto" w:fill="548DD4" w:themeFill="text2" w:themeFillTint="99"/>
            <w:vAlign w:val="center"/>
          </w:tcPr>
          <w:p w:rsidR="003220D9" w:rsidRPr="00C37A6B" w:rsidRDefault="003220D9" w:rsidP="0036128F">
            <w:pPr>
              <w:jc w:val="center"/>
              <w:rPr>
                <w:rFonts w:ascii="Verdana" w:hAnsi="Verdana"/>
                <w:b/>
                <w:color w:val="FFFFFF" w:themeColor="background1"/>
                <w:sz w:val="20"/>
                <w:szCs w:val="20"/>
                <w:lang w:val="bg-BG"/>
              </w:rPr>
            </w:pPr>
            <w:r w:rsidRPr="00C37A6B">
              <w:rPr>
                <w:rFonts w:ascii="Verdana" w:hAnsi="Verdana"/>
                <w:b/>
                <w:color w:val="FFFFFF" w:themeColor="background1"/>
                <w:sz w:val="20"/>
                <w:szCs w:val="20"/>
                <w:lang w:val="bg-BG"/>
              </w:rPr>
              <w:t>Препоръка</w:t>
            </w:r>
          </w:p>
        </w:tc>
      </w:tr>
      <w:tr w:rsidR="003220D9" w:rsidRPr="00C37A6B" w:rsidTr="0036128F">
        <w:trPr>
          <w:trHeight w:val="574"/>
        </w:trPr>
        <w:tc>
          <w:tcPr>
            <w:tcW w:w="1820" w:type="dxa"/>
          </w:tcPr>
          <w:p w:rsidR="003220D9" w:rsidRDefault="003220D9" w:rsidP="0036128F">
            <w:pPr>
              <w:rPr>
                <w:rFonts w:ascii="Verdana" w:hAnsi="Verdana"/>
                <w:sz w:val="20"/>
                <w:szCs w:val="20"/>
                <w:lang w:val="bg-BG"/>
              </w:rPr>
            </w:pPr>
            <w:r>
              <w:rPr>
                <w:rFonts w:ascii="Verdana" w:hAnsi="Verdana"/>
                <w:sz w:val="20"/>
                <w:szCs w:val="20"/>
                <w:lang w:val="bg-BG"/>
              </w:rPr>
              <w:t>Финансов план</w:t>
            </w:r>
          </w:p>
        </w:tc>
        <w:tc>
          <w:tcPr>
            <w:tcW w:w="3968" w:type="dxa"/>
          </w:tcPr>
          <w:p w:rsidR="003220D9" w:rsidRDefault="00D36D6D" w:rsidP="0036128F">
            <w:pPr>
              <w:widowControl w:val="0"/>
              <w:tabs>
                <w:tab w:val="left" w:pos="0"/>
                <w:tab w:val="right" w:pos="9214"/>
              </w:tabs>
              <w:spacing w:after="120"/>
              <w:jc w:val="both"/>
              <w:rPr>
                <w:rFonts w:ascii="Verdana" w:hAnsi="Verdana"/>
                <w:bCs/>
                <w:color w:val="000000"/>
                <w:sz w:val="20"/>
                <w:szCs w:val="20"/>
                <w:lang w:val="bg-BG"/>
              </w:rPr>
            </w:pPr>
            <w:r>
              <w:rPr>
                <w:rFonts w:ascii="Verdana" w:hAnsi="Verdana"/>
                <w:bCs/>
                <w:color w:val="000000"/>
                <w:sz w:val="20"/>
                <w:szCs w:val="20"/>
                <w:lang w:val="bg-BG"/>
              </w:rPr>
              <w:t>Разпределението на бюджета по години по ОП НОИР не съответства на заложеното по програмата финансиране в Споразумението за партньорство.</w:t>
            </w:r>
          </w:p>
        </w:tc>
        <w:tc>
          <w:tcPr>
            <w:tcW w:w="3420" w:type="dxa"/>
          </w:tcPr>
          <w:p w:rsidR="003220D9" w:rsidRDefault="003220D9" w:rsidP="0036128F">
            <w:pPr>
              <w:rPr>
                <w:rFonts w:ascii="Verdana" w:hAnsi="Verdana"/>
                <w:sz w:val="20"/>
                <w:szCs w:val="20"/>
                <w:lang w:val="bg-BG"/>
              </w:rPr>
            </w:pPr>
            <w:r>
              <w:rPr>
                <w:rFonts w:ascii="Verdana" w:hAnsi="Verdana"/>
                <w:sz w:val="20"/>
                <w:szCs w:val="20"/>
                <w:lang w:val="bg-BG"/>
              </w:rPr>
              <w:t>Да се уеднаквят сумите в ОПНОИР и Споразумението за партньорство.</w:t>
            </w:r>
          </w:p>
        </w:tc>
      </w:tr>
      <w:tr w:rsidR="003220D9" w:rsidRPr="00C37A6B" w:rsidTr="0036128F">
        <w:trPr>
          <w:trHeight w:val="574"/>
        </w:trPr>
        <w:tc>
          <w:tcPr>
            <w:tcW w:w="1820" w:type="dxa"/>
          </w:tcPr>
          <w:p w:rsidR="003220D9" w:rsidRDefault="003220D9" w:rsidP="0036128F">
            <w:pPr>
              <w:rPr>
                <w:rFonts w:ascii="Verdana" w:hAnsi="Verdana"/>
                <w:sz w:val="20"/>
                <w:szCs w:val="20"/>
                <w:lang w:val="bg-BG"/>
              </w:rPr>
            </w:pPr>
            <w:r>
              <w:rPr>
                <w:rFonts w:ascii="Verdana" w:hAnsi="Verdana"/>
                <w:sz w:val="20"/>
                <w:szCs w:val="20"/>
                <w:lang w:val="bg-BG"/>
              </w:rPr>
              <w:t>Финансова обосновка</w:t>
            </w:r>
          </w:p>
        </w:tc>
        <w:tc>
          <w:tcPr>
            <w:tcW w:w="3968" w:type="dxa"/>
          </w:tcPr>
          <w:p w:rsidR="003220D9" w:rsidRDefault="003220D9" w:rsidP="0036128F">
            <w:pPr>
              <w:widowControl w:val="0"/>
              <w:tabs>
                <w:tab w:val="left" w:pos="0"/>
                <w:tab w:val="right" w:pos="9214"/>
              </w:tabs>
              <w:spacing w:after="120"/>
              <w:jc w:val="both"/>
              <w:rPr>
                <w:rFonts w:ascii="Verdana" w:hAnsi="Verdana"/>
                <w:bCs/>
                <w:color w:val="000000"/>
                <w:sz w:val="20"/>
                <w:szCs w:val="20"/>
                <w:lang w:val="bg-BG"/>
              </w:rPr>
            </w:pPr>
            <w:r>
              <w:rPr>
                <w:rFonts w:ascii="Verdana" w:hAnsi="Verdana"/>
                <w:bCs/>
                <w:color w:val="000000"/>
                <w:sz w:val="20"/>
                <w:szCs w:val="20"/>
                <w:lang w:val="bg-BG"/>
              </w:rPr>
              <w:t>В настоящия вариант на ОПНОИР липсва финансова обосновка, което не позволява да се оцени изпълнението на изискванията за тематична концентрация по ЕСФ.</w:t>
            </w:r>
          </w:p>
        </w:tc>
        <w:tc>
          <w:tcPr>
            <w:tcW w:w="3420" w:type="dxa"/>
          </w:tcPr>
          <w:p w:rsidR="003220D9" w:rsidRDefault="004F0EA0" w:rsidP="0036128F">
            <w:pPr>
              <w:rPr>
                <w:rFonts w:ascii="Verdana" w:hAnsi="Verdana"/>
                <w:sz w:val="20"/>
                <w:szCs w:val="20"/>
                <w:lang w:val="bg-BG"/>
              </w:rPr>
            </w:pPr>
            <w:r>
              <w:rPr>
                <w:rFonts w:ascii="Verdana" w:hAnsi="Verdana"/>
                <w:sz w:val="20"/>
                <w:szCs w:val="20"/>
                <w:lang w:val="bg-BG"/>
              </w:rPr>
              <w:t>Да се допълни информация относно изпълнението на изискването за концентрация на поне 60% от бюджета на програмата в най-много 5 инвестиционни приоритета.</w:t>
            </w:r>
          </w:p>
        </w:tc>
      </w:tr>
      <w:tr w:rsidR="004020E1" w:rsidRPr="00C37A6B" w:rsidTr="0036128F">
        <w:trPr>
          <w:trHeight w:val="574"/>
        </w:trPr>
        <w:tc>
          <w:tcPr>
            <w:tcW w:w="1820" w:type="dxa"/>
          </w:tcPr>
          <w:p w:rsidR="004020E1" w:rsidRPr="00B045AA" w:rsidRDefault="00B045AA" w:rsidP="0036128F">
            <w:pPr>
              <w:rPr>
                <w:rFonts w:ascii="Verdana" w:hAnsi="Verdana"/>
                <w:sz w:val="20"/>
                <w:szCs w:val="20"/>
                <w:lang w:val="bg-BG"/>
              </w:rPr>
            </w:pPr>
            <w:r>
              <w:rPr>
                <w:rFonts w:ascii="Verdana" w:hAnsi="Verdana"/>
                <w:sz w:val="20"/>
                <w:szCs w:val="20"/>
                <w:lang w:val="bg-BG"/>
              </w:rPr>
              <w:t>Финансов план</w:t>
            </w:r>
          </w:p>
        </w:tc>
        <w:tc>
          <w:tcPr>
            <w:tcW w:w="3968" w:type="dxa"/>
          </w:tcPr>
          <w:p w:rsidR="004020E1" w:rsidRDefault="00B045AA" w:rsidP="0036128F">
            <w:pPr>
              <w:widowControl w:val="0"/>
              <w:tabs>
                <w:tab w:val="left" w:pos="0"/>
                <w:tab w:val="right" w:pos="9214"/>
              </w:tabs>
              <w:spacing w:after="120"/>
              <w:jc w:val="both"/>
              <w:rPr>
                <w:rFonts w:ascii="Verdana" w:hAnsi="Verdana"/>
                <w:bCs/>
                <w:color w:val="000000"/>
                <w:sz w:val="20"/>
                <w:szCs w:val="20"/>
                <w:lang w:val="bg-BG"/>
              </w:rPr>
            </w:pPr>
            <w:r>
              <w:rPr>
                <w:rFonts w:ascii="Verdana" w:hAnsi="Verdana"/>
                <w:bCs/>
                <w:color w:val="000000"/>
                <w:sz w:val="20"/>
                <w:lang w:val="bg-BG" w:eastAsia="bg-BG"/>
              </w:rPr>
              <w:t>В текущия вариант на финансовия план на ОП НОИР е заделен резерв за изпълнение и за техническата помощ, който би следвало да отпадне</w:t>
            </w:r>
          </w:p>
        </w:tc>
        <w:tc>
          <w:tcPr>
            <w:tcW w:w="3420" w:type="dxa"/>
          </w:tcPr>
          <w:p w:rsidR="004020E1" w:rsidRPr="004020E1" w:rsidRDefault="004020E1" w:rsidP="0036128F">
            <w:pPr>
              <w:rPr>
                <w:rFonts w:ascii="Verdana" w:hAnsi="Verdana"/>
                <w:sz w:val="20"/>
                <w:szCs w:val="20"/>
              </w:rPr>
            </w:pPr>
            <w:r>
              <w:rPr>
                <w:rFonts w:ascii="Verdana" w:hAnsi="Verdana"/>
                <w:sz w:val="20"/>
                <w:szCs w:val="20"/>
                <w:lang w:val="bg-BG"/>
              </w:rPr>
              <w:t>Да се премахне заделения за техническа помощ резерв за изпълнение, като той се разпредели по останалите приоритетни оси на програмата, за да не се допуска противоречие с чл. 22 (1) от Общия регламент за ЕСИФ</w:t>
            </w:r>
            <w:r>
              <w:rPr>
                <w:rFonts w:ascii="Verdana" w:hAnsi="Verdana"/>
                <w:sz w:val="20"/>
                <w:szCs w:val="20"/>
              </w:rPr>
              <w:t>.</w:t>
            </w:r>
          </w:p>
        </w:tc>
      </w:tr>
      <w:tr w:rsidR="003220D9" w:rsidRPr="00C37A6B" w:rsidTr="0036128F">
        <w:trPr>
          <w:trHeight w:val="574"/>
        </w:trPr>
        <w:tc>
          <w:tcPr>
            <w:tcW w:w="1820" w:type="dxa"/>
          </w:tcPr>
          <w:p w:rsidR="003220D9" w:rsidRDefault="003220D9" w:rsidP="0036128F">
            <w:pPr>
              <w:rPr>
                <w:rFonts w:ascii="Verdana" w:hAnsi="Verdana"/>
                <w:sz w:val="20"/>
                <w:szCs w:val="20"/>
                <w:lang w:val="bg-BG"/>
              </w:rPr>
            </w:pPr>
            <w:r>
              <w:rPr>
                <w:rFonts w:ascii="Verdana" w:hAnsi="Verdana"/>
                <w:sz w:val="20"/>
                <w:szCs w:val="20"/>
                <w:lang w:val="bg-BG"/>
              </w:rPr>
              <w:t>Инвестиционна стратегия</w:t>
            </w:r>
          </w:p>
        </w:tc>
        <w:tc>
          <w:tcPr>
            <w:tcW w:w="3968" w:type="dxa"/>
          </w:tcPr>
          <w:p w:rsidR="003220D9" w:rsidRDefault="003220D9" w:rsidP="0036128F">
            <w:pPr>
              <w:widowControl w:val="0"/>
              <w:tabs>
                <w:tab w:val="left" w:pos="0"/>
                <w:tab w:val="right" w:pos="9214"/>
              </w:tabs>
              <w:spacing w:after="120"/>
              <w:jc w:val="both"/>
              <w:rPr>
                <w:rFonts w:ascii="Verdana" w:hAnsi="Verdana"/>
                <w:bCs/>
                <w:color w:val="000000"/>
                <w:sz w:val="20"/>
                <w:szCs w:val="20"/>
                <w:lang w:val="bg-BG"/>
              </w:rPr>
            </w:pPr>
            <w:r>
              <w:rPr>
                <w:rFonts w:ascii="Verdana" w:hAnsi="Verdana"/>
                <w:bCs/>
                <w:color w:val="000000"/>
                <w:sz w:val="20"/>
                <w:szCs w:val="20"/>
                <w:lang w:val="bg-BG"/>
              </w:rPr>
              <w:t xml:space="preserve">Регламентът за ЕСФ дава възможност за увеличение на европейското финансиране с 10 процентни пункта за транснационално сътрудничество, </w:t>
            </w:r>
            <w:r>
              <w:rPr>
                <w:rFonts w:ascii="Verdana" w:hAnsi="Verdana"/>
                <w:bCs/>
                <w:color w:val="000000"/>
                <w:sz w:val="20"/>
                <w:szCs w:val="20"/>
                <w:lang w:val="bg-BG"/>
              </w:rPr>
              <w:lastRenderedPageBreak/>
              <w:t>когато те са обособени в отделна приоритетна ос.</w:t>
            </w:r>
          </w:p>
        </w:tc>
        <w:tc>
          <w:tcPr>
            <w:tcW w:w="3420" w:type="dxa"/>
          </w:tcPr>
          <w:p w:rsidR="003220D9" w:rsidRDefault="003220D9" w:rsidP="0036128F">
            <w:pPr>
              <w:rPr>
                <w:rFonts w:ascii="Verdana" w:hAnsi="Verdana"/>
                <w:sz w:val="20"/>
                <w:szCs w:val="20"/>
                <w:lang w:val="bg-BG"/>
              </w:rPr>
            </w:pPr>
            <w:r>
              <w:rPr>
                <w:rFonts w:ascii="Verdana" w:hAnsi="Verdana"/>
                <w:sz w:val="20"/>
                <w:szCs w:val="20"/>
                <w:lang w:val="bg-BG"/>
              </w:rPr>
              <w:lastRenderedPageBreak/>
              <w:t xml:space="preserve">УО да обмисли възможността, при наличие на интерес и достатъчен обем на заделените за тях средства, дейностите по ЕСФ, свързани </w:t>
            </w:r>
            <w:r>
              <w:rPr>
                <w:rFonts w:ascii="Verdana" w:hAnsi="Verdana"/>
                <w:sz w:val="20"/>
                <w:szCs w:val="20"/>
                <w:lang w:val="bg-BG"/>
              </w:rPr>
              <w:lastRenderedPageBreak/>
              <w:t>с транснационално сътрудничество, да бъдат обособени в отделна приоритетна ос.</w:t>
            </w:r>
          </w:p>
        </w:tc>
      </w:tr>
    </w:tbl>
    <w:p w:rsidR="003220D9" w:rsidRDefault="003220D9" w:rsidP="003220D9">
      <w:pPr>
        <w:widowControl w:val="0"/>
        <w:tabs>
          <w:tab w:val="left" w:pos="0"/>
          <w:tab w:val="right" w:pos="9214"/>
        </w:tabs>
        <w:spacing w:after="0"/>
        <w:jc w:val="both"/>
        <w:rPr>
          <w:rFonts w:ascii="Verdana" w:eastAsia="Times New Roman" w:hAnsi="Verdana"/>
          <w:bCs/>
          <w:color w:val="000000"/>
          <w:sz w:val="20"/>
          <w:szCs w:val="20"/>
          <w:lang w:val="bg-BG" w:eastAsia="bg-BG"/>
        </w:rPr>
      </w:pPr>
    </w:p>
    <w:p w:rsidR="00D737F0" w:rsidRPr="003220D9" w:rsidRDefault="00D737F0" w:rsidP="001A66A0">
      <w:pPr>
        <w:keepNext/>
        <w:spacing w:before="240" w:after="120"/>
        <w:jc w:val="both"/>
        <w:rPr>
          <w:rFonts w:ascii="Verdana" w:hAnsi="Verdana"/>
          <w:color w:val="548DD4" w:themeColor="text2" w:themeTint="99"/>
          <w:sz w:val="20"/>
          <w:szCs w:val="20"/>
          <w:lang w:val="bg-BG"/>
        </w:rPr>
      </w:pPr>
      <w:r w:rsidRPr="003220D9">
        <w:rPr>
          <w:rFonts w:ascii="Verdana" w:hAnsi="Verdana"/>
          <w:color w:val="548DD4" w:themeColor="text2" w:themeTint="99"/>
          <w:sz w:val="20"/>
          <w:szCs w:val="20"/>
          <w:lang w:val="bg-BG"/>
        </w:rPr>
        <w:t>По отношение на индикаторите</w:t>
      </w:r>
    </w:p>
    <w:tbl>
      <w:tblPr>
        <w:tblStyle w:val="TableGrid"/>
        <w:tblW w:w="9208" w:type="dxa"/>
        <w:tblInd w:w="-10" w:type="dxa"/>
        <w:tblBorders>
          <w:top w:val="single" w:sz="8" w:space="0" w:color="17365D"/>
          <w:left w:val="single" w:sz="8" w:space="0" w:color="17365D"/>
          <w:bottom w:val="single" w:sz="8" w:space="0" w:color="17365D"/>
          <w:right w:val="single" w:sz="8" w:space="0" w:color="17365D"/>
          <w:insideH w:val="single" w:sz="8" w:space="0" w:color="17365D"/>
          <w:insideV w:val="single" w:sz="8" w:space="0" w:color="17365D"/>
        </w:tblBorders>
        <w:tblLook w:val="04A0" w:firstRow="1" w:lastRow="0" w:firstColumn="1" w:lastColumn="0" w:noHBand="0" w:noVBand="1"/>
      </w:tblPr>
      <w:tblGrid>
        <w:gridCol w:w="1955"/>
        <w:gridCol w:w="3634"/>
        <w:gridCol w:w="3619"/>
      </w:tblGrid>
      <w:tr w:rsidR="00D737F0" w:rsidRPr="00C37A6B" w:rsidTr="005A20C7">
        <w:tc>
          <w:tcPr>
            <w:tcW w:w="1955" w:type="dxa"/>
            <w:shd w:val="clear" w:color="auto" w:fill="548DD4" w:themeFill="text2" w:themeFillTint="99"/>
            <w:vAlign w:val="center"/>
          </w:tcPr>
          <w:p w:rsidR="00D737F0" w:rsidRPr="00C37A6B" w:rsidRDefault="00D737F0" w:rsidP="0036128F">
            <w:pPr>
              <w:jc w:val="center"/>
              <w:rPr>
                <w:rFonts w:ascii="Verdana" w:hAnsi="Verdana"/>
                <w:b/>
                <w:color w:val="FFFFFF" w:themeColor="background1"/>
                <w:sz w:val="20"/>
                <w:szCs w:val="20"/>
                <w:lang w:val="bg-BG"/>
              </w:rPr>
            </w:pPr>
            <w:r w:rsidRPr="00C37A6B">
              <w:rPr>
                <w:rFonts w:ascii="Verdana" w:hAnsi="Verdana"/>
                <w:b/>
                <w:color w:val="FFFFFF" w:themeColor="background1"/>
                <w:sz w:val="20"/>
                <w:szCs w:val="20"/>
                <w:lang w:val="bg-BG"/>
              </w:rPr>
              <w:t>Част от ОПНОИР</w:t>
            </w:r>
          </w:p>
        </w:tc>
        <w:tc>
          <w:tcPr>
            <w:tcW w:w="3634" w:type="dxa"/>
            <w:shd w:val="clear" w:color="auto" w:fill="548DD4" w:themeFill="text2" w:themeFillTint="99"/>
            <w:vAlign w:val="center"/>
          </w:tcPr>
          <w:p w:rsidR="00D737F0" w:rsidRPr="00C37A6B" w:rsidRDefault="00D737F0" w:rsidP="0036128F">
            <w:pPr>
              <w:jc w:val="center"/>
              <w:rPr>
                <w:rFonts w:ascii="Verdana" w:hAnsi="Verdana"/>
                <w:b/>
                <w:color w:val="FFFFFF" w:themeColor="background1"/>
                <w:sz w:val="20"/>
                <w:szCs w:val="20"/>
                <w:lang w:val="bg-BG"/>
              </w:rPr>
            </w:pPr>
            <w:r w:rsidRPr="00C37A6B">
              <w:rPr>
                <w:rFonts w:ascii="Verdana" w:hAnsi="Verdana"/>
                <w:b/>
                <w:color w:val="FFFFFF" w:themeColor="background1"/>
                <w:sz w:val="20"/>
                <w:szCs w:val="20"/>
                <w:lang w:val="bg-BG"/>
              </w:rPr>
              <w:t>Извод</w:t>
            </w:r>
          </w:p>
        </w:tc>
        <w:tc>
          <w:tcPr>
            <w:tcW w:w="3619" w:type="dxa"/>
            <w:shd w:val="clear" w:color="auto" w:fill="548DD4" w:themeFill="text2" w:themeFillTint="99"/>
            <w:vAlign w:val="center"/>
          </w:tcPr>
          <w:p w:rsidR="00D737F0" w:rsidRPr="00C37A6B" w:rsidRDefault="00D737F0" w:rsidP="0036128F">
            <w:pPr>
              <w:jc w:val="center"/>
              <w:rPr>
                <w:rFonts w:ascii="Verdana" w:hAnsi="Verdana"/>
                <w:b/>
                <w:color w:val="FFFFFF" w:themeColor="background1"/>
                <w:sz w:val="20"/>
                <w:szCs w:val="20"/>
                <w:lang w:val="bg-BG"/>
              </w:rPr>
            </w:pPr>
            <w:r w:rsidRPr="00C37A6B">
              <w:rPr>
                <w:rFonts w:ascii="Verdana" w:hAnsi="Verdana"/>
                <w:b/>
                <w:color w:val="FFFFFF" w:themeColor="background1"/>
                <w:sz w:val="20"/>
                <w:szCs w:val="20"/>
                <w:lang w:val="bg-BG"/>
              </w:rPr>
              <w:t>Препоръка</w:t>
            </w:r>
          </w:p>
        </w:tc>
      </w:tr>
      <w:tr w:rsidR="00D737F0" w:rsidRPr="00C37A6B" w:rsidTr="005A20C7">
        <w:trPr>
          <w:trHeight w:val="574"/>
        </w:trPr>
        <w:tc>
          <w:tcPr>
            <w:tcW w:w="1955" w:type="dxa"/>
          </w:tcPr>
          <w:p w:rsidR="00D737F0" w:rsidRPr="00C37A6B" w:rsidRDefault="005A20C7" w:rsidP="0036128F">
            <w:pPr>
              <w:rPr>
                <w:rFonts w:ascii="Verdana" w:hAnsi="Verdana"/>
                <w:sz w:val="20"/>
                <w:szCs w:val="20"/>
                <w:lang w:val="bg-BG"/>
              </w:rPr>
            </w:pPr>
            <w:r>
              <w:rPr>
                <w:rFonts w:ascii="Verdana" w:hAnsi="Verdana"/>
                <w:sz w:val="20"/>
                <w:szCs w:val="20"/>
                <w:lang w:val="bg-BG"/>
              </w:rPr>
              <w:t>Система от индикатори по ПО1</w:t>
            </w:r>
            <w:r w:rsidR="00656F84">
              <w:rPr>
                <w:rFonts w:ascii="Verdana" w:hAnsi="Verdana"/>
                <w:sz w:val="20"/>
                <w:szCs w:val="20"/>
                <w:lang w:val="bg-BG"/>
              </w:rPr>
              <w:t>, ИП2</w:t>
            </w:r>
          </w:p>
        </w:tc>
        <w:tc>
          <w:tcPr>
            <w:tcW w:w="3634" w:type="dxa"/>
          </w:tcPr>
          <w:p w:rsidR="00D737F0" w:rsidRDefault="00656F84" w:rsidP="00656F84">
            <w:pPr>
              <w:rPr>
                <w:rFonts w:ascii="Verdana" w:hAnsi="Verdana"/>
                <w:sz w:val="20"/>
                <w:szCs w:val="20"/>
                <w:lang w:val="bg-BG"/>
              </w:rPr>
            </w:pPr>
            <w:r>
              <w:rPr>
                <w:rFonts w:ascii="Verdana" w:hAnsi="Verdana"/>
                <w:sz w:val="20"/>
                <w:szCs w:val="20"/>
                <w:lang w:val="bg-BG"/>
              </w:rPr>
              <w:t>Два от индикаторите за изпълнение са неясни, а един е по-подходящ за предходния ИП.</w:t>
            </w:r>
          </w:p>
          <w:p w:rsidR="00656F84" w:rsidRPr="00C37A6B" w:rsidRDefault="00656F84" w:rsidP="00B75BA6">
            <w:pPr>
              <w:rPr>
                <w:rFonts w:ascii="Verdana" w:hAnsi="Verdana"/>
                <w:sz w:val="20"/>
                <w:szCs w:val="20"/>
                <w:lang w:val="bg-BG"/>
              </w:rPr>
            </w:pPr>
            <w:r>
              <w:rPr>
                <w:rFonts w:ascii="Verdana" w:hAnsi="Verdana"/>
                <w:sz w:val="20"/>
                <w:szCs w:val="20"/>
                <w:lang w:val="bg-BG"/>
              </w:rPr>
              <w:t>Предложени са четири индикатора за резултат за една специфична цел, което не съответства на препоръките за ограничаване на индикаторите за</w:t>
            </w:r>
            <w:r w:rsidR="00B75BA6">
              <w:rPr>
                <w:rFonts w:ascii="Verdana" w:hAnsi="Verdana"/>
                <w:sz w:val="20"/>
                <w:szCs w:val="20"/>
                <w:lang w:val="bg-BG"/>
              </w:rPr>
              <w:t xml:space="preserve"> </w:t>
            </w:r>
            <w:r>
              <w:rPr>
                <w:rFonts w:ascii="Verdana" w:hAnsi="Verdana"/>
                <w:sz w:val="20"/>
                <w:szCs w:val="20"/>
                <w:lang w:val="bg-BG"/>
              </w:rPr>
              <w:t>резултат до 1-2, пряко свързани със специфичната цел.</w:t>
            </w:r>
          </w:p>
        </w:tc>
        <w:tc>
          <w:tcPr>
            <w:tcW w:w="3619" w:type="dxa"/>
          </w:tcPr>
          <w:p w:rsidR="00D737F0" w:rsidRPr="00656F84" w:rsidRDefault="00656F84" w:rsidP="00656F84">
            <w:pPr>
              <w:spacing w:after="60"/>
              <w:rPr>
                <w:rFonts w:ascii="Verdana" w:hAnsi="Verdana"/>
                <w:sz w:val="20"/>
                <w:szCs w:val="20"/>
                <w:lang w:val="bg-BG"/>
              </w:rPr>
            </w:pPr>
            <w:r w:rsidRPr="00656F84">
              <w:rPr>
                <w:rFonts w:ascii="Verdana" w:hAnsi="Verdana"/>
                <w:sz w:val="20"/>
                <w:szCs w:val="20"/>
                <w:lang w:val="bg-BG"/>
              </w:rPr>
              <w:t>Да се преразгледат индикаторите за изпълнение и резултат, съобразно отправените коментари в таблици 36 и 37.</w:t>
            </w:r>
          </w:p>
        </w:tc>
      </w:tr>
      <w:tr w:rsidR="00D737F0" w:rsidRPr="00C37A6B" w:rsidTr="005A20C7">
        <w:trPr>
          <w:trHeight w:val="574"/>
        </w:trPr>
        <w:tc>
          <w:tcPr>
            <w:tcW w:w="1955" w:type="dxa"/>
          </w:tcPr>
          <w:p w:rsidR="00D737F0" w:rsidRPr="00C37A6B" w:rsidRDefault="005A20C7" w:rsidP="0036128F">
            <w:pPr>
              <w:rPr>
                <w:rFonts w:ascii="Verdana" w:hAnsi="Verdana"/>
                <w:sz w:val="20"/>
                <w:szCs w:val="20"/>
                <w:lang w:val="bg-BG"/>
              </w:rPr>
            </w:pPr>
            <w:r>
              <w:rPr>
                <w:rFonts w:ascii="Verdana" w:hAnsi="Verdana"/>
                <w:sz w:val="20"/>
                <w:szCs w:val="20"/>
                <w:lang w:val="bg-BG"/>
              </w:rPr>
              <w:t>Система от индикатори по ПО2</w:t>
            </w:r>
            <w:r w:rsidR="00656F84">
              <w:rPr>
                <w:rFonts w:ascii="Verdana" w:hAnsi="Verdana"/>
                <w:sz w:val="20"/>
                <w:szCs w:val="20"/>
                <w:lang w:val="bg-BG"/>
              </w:rPr>
              <w:t>, ИП1</w:t>
            </w:r>
            <w:r w:rsidR="00AB42F6">
              <w:rPr>
                <w:rFonts w:ascii="Verdana" w:hAnsi="Verdana"/>
                <w:sz w:val="20"/>
                <w:szCs w:val="20"/>
                <w:lang w:val="bg-BG"/>
              </w:rPr>
              <w:t xml:space="preserve"> и ИП2</w:t>
            </w:r>
          </w:p>
        </w:tc>
        <w:tc>
          <w:tcPr>
            <w:tcW w:w="3634" w:type="dxa"/>
          </w:tcPr>
          <w:p w:rsidR="00D737F0" w:rsidRDefault="00656F84" w:rsidP="0036128F">
            <w:pPr>
              <w:rPr>
                <w:rFonts w:ascii="Verdana" w:hAnsi="Verdana"/>
                <w:sz w:val="20"/>
                <w:szCs w:val="20"/>
                <w:lang w:val="bg-BG"/>
              </w:rPr>
            </w:pPr>
            <w:r>
              <w:rPr>
                <w:rFonts w:ascii="Verdana" w:hAnsi="Verdana"/>
                <w:sz w:val="20"/>
                <w:szCs w:val="20"/>
                <w:lang w:val="bg-BG"/>
              </w:rPr>
              <w:t>Н</w:t>
            </w:r>
            <w:r w:rsidR="00D737F0">
              <w:rPr>
                <w:rFonts w:ascii="Verdana" w:hAnsi="Verdana"/>
                <w:sz w:val="20"/>
                <w:szCs w:val="20"/>
                <w:lang w:val="bg-BG"/>
              </w:rPr>
              <w:t xml:space="preserve">якои от използваните индикатори </w:t>
            </w:r>
            <w:r>
              <w:rPr>
                <w:rFonts w:ascii="Verdana" w:hAnsi="Verdana"/>
                <w:sz w:val="20"/>
                <w:szCs w:val="20"/>
                <w:lang w:val="bg-BG"/>
              </w:rPr>
              <w:t xml:space="preserve">за изпълнение </w:t>
            </w:r>
            <w:r w:rsidR="00D737F0">
              <w:rPr>
                <w:rFonts w:ascii="Verdana" w:hAnsi="Verdana"/>
                <w:sz w:val="20"/>
                <w:szCs w:val="20"/>
                <w:lang w:val="bg-BG"/>
              </w:rPr>
              <w:t>са по-подходящи измерители на постигнатите резултати, отколкото на пряко постигнатото в изпълнение на програмата (продукти).</w:t>
            </w:r>
          </w:p>
          <w:p w:rsidR="00AB42F6" w:rsidRDefault="00AB42F6" w:rsidP="0036128F">
            <w:pPr>
              <w:rPr>
                <w:rFonts w:ascii="Verdana" w:hAnsi="Verdana"/>
                <w:sz w:val="20"/>
                <w:szCs w:val="20"/>
                <w:lang w:val="bg-BG"/>
              </w:rPr>
            </w:pPr>
            <w:r>
              <w:rPr>
                <w:rFonts w:ascii="Verdana" w:hAnsi="Verdana"/>
                <w:sz w:val="20"/>
                <w:szCs w:val="20"/>
                <w:lang w:val="bg-BG"/>
              </w:rPr>
              <w:t>Предложените индикатори за резултат са подходящи.</w:t>
            </w:r>
          </w:p>
        </w:tc>
        <w:tc>
          <w:tcPr>
            <w:tcW w:w="3619" w:type="dxa"/>
          </w:tcPr>
          <w:p w:rsidR="00D737F0" w:rsidRPr="00AB42F6" w:rsidRDefault="00AB42F6" w:rsidP="00AB42F6">
            <w:pPr>
              <w:spacing w:after="60"/>
              <w:rPr>
                <w:rFonts w:ascii="Verdana" w:hAnsi="Verdana"/>
                <w:sz w:val="20"/>
                <w:szCs w:val="20"/>
                <w:lang w:val="bg-BG"/>
              </w:rPr>
            </w:pPr>
            <w:r w:rsidRPr="00AB42F6">
              <w:rPr>
                <w:rFonts w:ascii="Verdana" w:hAnsi="Verdana"/>
                <w:sz w:val="20"/>
                <w:szCs w:val="20"/>
                <w:lang w:val="bg-BG"/>
              </w:rPr>
              <w:t>Да се преразгледат заложените индикатори за продукт, съобразно отправените коментари в таблица 36</w:t>
            </w:r>
          </w:p>
        </w:tc>
      </w:tr>
      <w:tr w:rsidR="00AB42F6" w:rsidRPr="00C37A6B" w:rsidTr="005A20C7">
        <w:trPr>
          <w:trHeight w:val="574"/>
        </w:trPr>
        <w:tc>
          <w:tcPr>
            <w:tcW w:w="1955" w:type="dxa"/>
          </w:tcPr>
          <w:p w:rsidR="00AB42F6" w:rsidRPr="00C37A6B" w:rsidDel="005A20C7" w:rsidRDefault="00AB42F6" w:rsidP="00AB42F6">
            <w:pPr>
              <w:rPr>
                <w:rFonts w:ascii="Verdana" w:hAnsi="Verdana"/>
                <w:sz w:val="20"/>
                <w:szCs w:val="20"/>
                <w:lang w:val="bg-BG"/>
              </w:rPr>
            </w:pPr>
            <w:r>
              <w:rPr>
                <w:rFonts w:ascii="Verdana" w:hAnsi="Verdana"/>
                <w:sz w:val="20"/>
                <w:szCs w:val="20"/>
                <w:lang w:val="bg-BG"/>
              </w:rPr>
              <w:t>Система от индикатори по ПО2, ИП3</w:t>
            </w:r>
          </w:p>
        </w:tc>
        <w:tc>
          <w:tcPr>
            <w:tcW w:w="3634" w:type="dxa"/>
          </w:tcPr>
          <w:p w:rsidR="00AB42F6" w:rsidRDefault="00AB42F6" w:rsidP="00AB42F6">
            <w:pPr>
              <w:rPr>
                <w:rFonts w:ascii="Verdana" w:hAnsi="Verdana"/>
                <w:sz w:val="20"/>
                <w:szCs w:val="20"/>
                <w:lang w:val="bg-BG"/>
              </w:rPr>
            </w:pPr>
            <w:r>
              <w:rPr>
                <w:rFonts w:ascii="Verdana" w:hAnsi="Verdana"/>
                <w:sz w:val="20"/>
                <w:szCs w:val="20"/>
                <w:lang w:val="bg-BG"/>
              </w:rPr>
              <w:t xml:space="preserve">Един от индикаторите за изпълнение е твърде общ и не мери само подкрепата по програмата. Индикаторът може да отпадне предвид на това, че следващият предложен индикатор може да го замести и предвид на това, че са предложени значителен брой </w:t>
            </w:r>
            <w:r>
              <w:rPr>
                <w:rFonts w:ascii="Verdana" w:hAnsi="Verdana"/>
                <w:sz w:val="20"/>
                <w:szCs w:val="20"/>
                <w:lang w:val="bg-BG"/>
              </w:rPr>
              <w:lastRenderedPageBreak/>
              <w:t>индикатори по този ИП.</w:t>
            </w:r>
          </w:p>
          <w:p w:rsidR="00AB42F6" w:rsidRDefault="00AB42F6" w:rsidP="00AB42F6">
            <w:pPr>
              <w:rPr>
                <w:rFonts w:ascii="Verdana" w:hAnsi="Verdana"/>
                <w:sz w:val="20"/>
                <w:szCs w:val="20"/>
                <w:lang w:val="bg-BG"/>
              </w:rPr>
            </w:pPr>
            <w:r>
              <w:rPr>
                <w:rFonts w:ascii="Verdana" w:hAnsi="Verdana"/>
                <w:sz w:val="20"/>
                <w:szCs w:val="20"/>
                <w:lang w:val="bg-BG"/>
              </w:rPr>
              <w:t>Един от двата индикатора за резултат, не е пряко обвързан със специфичната цел.</w:t>
            </w:r>
          </w:p>
        </w:tc>
        <w:tc>
          <w:tcPr>
            <w:tcW w:w="3619" w:type="dxa"/>
          </w:tcPr>
          <w:p w:rsidR="00AB42F6" w:rsidRDefault="00AB42F6" w:rsidP="00AB42F6">
            <w:pPr>
              <w:spacing w:after="60"/>
              <w:rPr>
                <w:rFonts w:ascii="Verdana" w:hAnsi="Verdana"/>
                <w:sz w:val="20"/>
                <w:szCs w:val="20"/>
                <w:lang w:val="bg-BG"/>
              </w:rPr>
            </w:pPr>
            <w:r>
              <w:rPr>
                <w:rFonts w:ascii="Verdana" w:hAnsi="Verdana"/>
                <w:sz w:val="20"/>
                <w:szCs w:val="20"/>
                <w:lang w:val="bg-BG"/>
              </w:rPr>
              <w:lastRenderedPageBreak/>
              <w:t>Да отпадне един от предложените индикатори за изпълнение, както е коментирано в таблица 36.</w:t>
            </w:r>
          </w:p>
          <w:p w:rsidR="00AB42F6" w:rsidRDefault="00AB42F6" w:rsidP="00AB42F6">
            <w:pPr>
              <w:spacing w:after="60"/>
              <w:rPr>
                <w:rFonts w:ascii="Verdana" w:hAnsi="Verdana"/>
                <w:sz w:val="20"/>
                <w:szCs w:val="20"/>
                <w:lang w:val="bg-BG"/>
              </w:rPr>
            </w:pPr>
          </w:p>
          <w:p w:rsidR="00AB42F6" w:rsidRPr="00AB42F6" w:rsidRDefault="00AB42F6" w:rsidP="00AB42F6">
            <w:pPr>
              <w:spacing w:after="60"/>
              <w:rPr>
                <w:rFonts w:ascii="Verdana" w:hAnsi="Verdana"/>
                <w:sz w:val="20"/>
                <w:szCs w:val="20"/>
                <w:lang w:val="bg-BG"/>
              </w:rPr>
            </w:pPr>
            <w:r>
              <w:rPr>
                <w:rFonts w:ascii="Verdana" w:hAnsi="Verdana"/>
                <w:sz w:val="20"/>
                <w:szCs w:val="20"/>
                <w:lang w:val="bg-BG"/>
              </w:rPr>
              <w:t>Да се разгледа възможността за дефиниране на друг по-подходящ индикатор за резултат.</w:t>
            </w:r>
          </w:p>
        </w:tc>
      </w:tr>
      <w:tr w:rsidR="00D737F0" w:rsidRPr="00C37A6B" w:rsidTr="005A20C7">
        <w:trPr>
          <w:trHeight w:val="574"/>
        </w:trPr>
        <w:tc>
          <w:tcPr>
            <w:tcW w:w="1955" w:type="dxa"/>
          </w:tcPr>
          <w:p w:rsidR="00D737F0" w:rsidRPr="00C37A6B" w:rsidRDefault="005A20C7" w:rsidP="0036128F">
            <w:pPr>
              <w:rPr>
                <w:rFonts w:ascii="Verdana" w:hAnsi="Verdana"/>
                <w:sz w:val="20"/>
                <w:szCs w:val="20"/>
                <w:lang w:val="bg-BG"/>
              </w:rPr>
            </w:pPr>
            <w:r>
              <w:rPr>
                <w:rFonts w:ascii="Verdana" w:hAnsi="Verdana"/>
                <w:sz w:val="20"/>
                <w:szCs w:val="20"/>
                <w:lang w:val="bg-BG"/>
              </w:rPr>
              <w:lastRenderedPageBreak/>
              <w:t>Система от индикатори по ПО3</w:t>
            </w:r>
            <w:r w:rsidR="00B75BA6">
              <w:rPr>
                <w:rFonts w:ascii="Verdana" w:hAnsi="Verdana"/>
                <w:sz w:val="20"/>
                <w:szCs w:val="20"/>
                <w:lang w:val="bg-BG"/>
              </w:rPr>
              <w:t>, ИП2</w:t>
            </w:r>
          </w:p>
        </w:tc>
        <w:tc>
          <w:tcPr>
            <w:tcW w:w="3634" w:type="dxa"/>
          </w:tcPr>
          <w:p w:rsidR="00AB42F6" w:rsidRPr="005B4C54" w:rsidRDefault="00B75BA6" w:rsidP="00B75BA6">
            <w:pPr>
              <w:rPr>
                <w:rFonts w:ascii="Verdana" w:hAnsi="Verdana"/>
                <w:sz w:val="20"/>
                <w:szCs w:val="20"/>
                <w:lang w:val="bg-BG"/>
              </w:rPr>
            </w:pPr>
            <w:r>
              <w:rPr>
                <w:rFonts w:ascii="Verdana" w:hAnsi="Verdana"/>
                <w:sz w:val="20"/>
                <w:szCs w:val="20"/>
                <w:lang w:val="bg-BG"/>
              </w:rPr>
              <w:t>Не е предложен индикатор за резултат по ИП2 на ПО3</w:t>
            </w:r>
          </w:p>
        </w:tc>
        <w:tc>
          <w:tcPr>
            <w:tcW w:w="3619" w:type="dxa"/>
          </w:tcPr>
          <w:p w:rsidR="00D737F0" w:rsidRPr="00B75BA6" w:rsidRDefault="00B75BA6" w:rsidP="00B75BA6">
            <w:pPr>
              <w:spacing w:after="60"/>
              <w:rPr>
                <w:rFonts w:ascii="Verdana" w:hAnsi="Verdana"/>
                <w:sz w:val="20"/>
                <w:szCs w:val="20"/>
                <w:lang w:val="bg-BG"/>
              </w:rPr>
            </w:pPr>
            <w:r w:rsidRPr="00B75BA6">
              <w:rPr>
                <w:rFonts w:ascii="Verdana" w:hAnsi="Verdana"/>
                <w:sz w:val="20"/>
                <w:szCs w:val="20"/>
                <w:lang w:val="bg-BG"/>
              </w:rPr>
              <w:t>Да се предложи индикатор за резултат за измерване постигането на ИП3</w:t>
            </w:r>
          </w:p>
        </w:tc>
      </w:tr>
      <w:tr w:rsidR="009120D3" w:rsidRPr="00C37A6B" w:rsidTr="005A20C7">
        <w:trPr>
          <w:trHeight w:val="574"/>
        </w:trPr>
        <w:tc>
          <w:tcPr>
            <w:tcW w:w="1955" w:type="dxa"/>
          </w:tcPr>
          <w:p w:rsidR="009120D3" w:rsidRPr="00C37A6B" w:rsidDel="005A20C7" w:rsidRDefault="009120D3" w:rsidP="0036128F">
            <w:pPr>
              <w:rPr>
                <w:rFonts w:ascii="Verdana" w:hAnsi="Verdana"/>
                <w:sz w:val="20"/>
                <w:szCs w:val="20"/>
                <w:lang w:val="bg-BG"/>
              </w:rPr>
            </w:pPr>
            <w:r>
              <w:rPr>
                <w:rFonts w:ascii="Verdana" w:hAnsi="Verdana"/>
                <w:sz w:val="20"/>
                <w:szCs w:val="20"/>
                <w:lang w:val="bg-BG"/>
              </w:rPr>
              <w:t>Базови и целеви стойности на индикаторите</w:t>
            </w:r>
          </w:p>
        </w:tc>
        <w:tc>
          <w:tcPr>
            <w:tcW w:w="3634" w:type="dxa"/>
          </w:tcPr>
          <w:p w:rsidR="009120D3" w:rsidRDefault="009120D3">
            <w:pPr>
              <w:rPr>
                <w:rFonts w:ascii="Verdana" w:hAnsi="Verdana"/>
                <w:sz w:val="20"/>
                <w:szCs w:val="20"/>
                <w:lang w:val="bg-BG"/>
              </w:rPr>
            </w:pPr>
            <w:r>
              <w:rPr>
                <w:rFonts w:ascii="Verdana" w:hAnsi="Verdana"/>
                <w:sz w:val="20"/>
                <w:szCs w:val="20"/>
                <w:lang w:val="bg-BG"/>
              </w:rPr>
              <w:t>Не по всички индикатори за резултат са заложени базови стойности. Повечето от заложените стойности изглеждат реалистични, предвид на изходната информация, с която се разполага.</w:t>
            </w:r>
            <w:r w:rsidR="008C2723">
              <w:rPr>
                <w:rFonts w:ascii="Verdana" w:hAnsi="Verdana"/>
                <w:sz w:val="20"/>
                <w:szCs w:val="20"/>
                <w:lang w:val="bg-BG"/>
              </w:rPr>
              <w:t xml:space="preserve"> В таблици 36 и 37 са отправени коментари за всеки от индикаторите.</w:t>
            </w:r>
          </w:p>
        </w:tc>
        <w:tc>
          <w:tcPr>
            <w:tcW w:w="3619" w:type="dxa"/>
          </w:tcPr>
          <w:p w:rsidR="009120D3" w:rsidRPr="00B75BA6" w:rsidRDefault="008C2723" w:rsidP="00B75BA6">
            <w:pPr>
              <w:spacing w:after="60"/>
              <w:rPr>
                <w:rFonts w:ascii="Verdana" w:hAnsi="Verdana"/>
                <w:sz w:val="20"/>
                <w:szCs w:val="20"/>
                <w:lang w:val="bg-BG"/>
              </w:rPr>
            </w:pPr>
            <w:r>
              <w:rPr>
                <w:rFonts w:ascii="Verdana" w:hAnsi="Verdana"/>
                <w:sz w:val="20"/>
                <w:szCs w:val="20"/>
                <w:lang w:val="bg-BG"/>
              </w:rPr>
              <w:t xml:space="preserve">Да се заложат базови стойности за индикаторите за резултат. Да се преразгледат някои от заложените целеви стойности. </w:t>
            </w:r>
          </w:p>
        </w:tc>
      </w:tr>
    </w:tbl>
    <w:p w:rsidR="00D737F0" w:rsidRDefault="00D737F0" w:rsidP="00B75D91">
      <w:pPr>
        <w:spacing w:after="120"/>
        <w:jc w:val="both"/>
        <w:rPr>
          <w:rFonts w:ascii="Verdana" w:hAnsi="Verdana"/>
          <w:sz w:val="20"/>
          <w:szCs w:val="20"/>
          <w:lang w:val="bg-BG"/>
        </w:rPr>
      </w:pPr>
    </w:p>
    <w:p w:rsidR="00D737F0" w:rsidRPr="001A66A0" w:rsidRDefault="00D737F0" w:rsidP="001A66A0">
      <w:pPr>
        <w:keepNext/>
        <w:spacing w:before="240" w:after="120"/>
        <w:jc w:val="both"/>
        <w:rPr>
          <w:rFonts w:ascii="Verdana" w:hAnsi="Verdana"/>
          <w:color w:val="548DD4" w:themeColor="text2" w:themeTint="99"/>
          <w:sz w:val="20"/>
          <w:szCs w:val="20"/>
          <w:lang w:val="bg-BG"/>
        </w:rPr>
      </w:pPr>
      <w:r w:rsidRPr="001A66A0">
        <w:rPr>
          <w:rFonts w:ascii="Verdana" w:hAnsi="Verdana"/>
          <w:color w:val="548DD4" w:themeColor="text2" w:themeTint="99"/>
          <w:sz w:val="20"/>
          <w:szCs w:val="20"/>
          <w:lang w:val="bg-BG"/>
        </w:rPr>
        <w:t>По отношение на административния капацитет</w:t>
      </w:r>
    </w:p>
    <w:p w:rsidR="00D737F0" w:rsidRDefault="0026362F" w:rsidP="00B75D91">
      <w:pPr>
        <w:spacing w:after="120"/>
        <w:jc w:val="both"/>
        <w:rPr>
          <w:rFonts w:ascii="Verdana" w:hAnsi="Verdana"/>
          <w:sz w:val="20"/>
          <w:szCs w:val="20"/>
          <w:lang w:val="bg-BG"/>
        </w:rPr>
      </w:pPr>
      <w:r>
        <w:rPr>
          <w:rFonts w:ascii="Verdana" w:hAnsi="Verdana"/>
          <w:sz w:val="20"/>
          <w:szCs w:val="20"/>
          <w:lang w:val="bg-BG"/>
        </w:rPr>
        <w:t>Препоръките по отношение на административния капацитет не касаят текстове на програмата, а се отнасят за бъдещото изпълнение и управление на програмата.</w:t>
      </w:r>
    </w:p>
    <w:tbl>
      <w:tblPr>
        <w:tblStyle w:val="TableGrid"/>
        <w:tblW w:w="9474" w:type="dxa"/>
        <w:tblInd w:w="-10" w:type="dxa"/>
        <w:tblBorders>
          <w:top w:val="single" w:sz="8" w:space="0" w:color="17365D"/>
          <w:left w:val="single" w:sz="8" w:space="0" w:color="17365D"/>
          <w:bottom w:val="single" w:sz="8" w:space="0" w:color="17365D"/>
          <w:right w:val="single" w:sz="8" w:space="0" w:color="17365D"/>
          <w:insideH w:val="single" w:sz="8" w:space="0" w:color="17365D"/>
          <w:insideV w:val="single" w:sz="8" w:space="0" w:color="17365D"/>
        </w:tblBorders>
        <w:tblLook w:val="04A0" w:firstRow="1" w:lastRow="0" w:firstColumn="1" w:lastColumn="0" w:noHBand="0" w:noVBand="1"/>
      </w:tblPr>
      <w:tblGrid>
        <w:gridCol w:w="2156"/>
        <w:gridCol w:w="3349"/>
        <w:gridCol w:w="3969"/>
      </w:tblGrid>
      <w:tr w:rsidR="00FE5FDD" w:rsidRPr="00355798" w:rsidTr="00E054C6">
        <w:tc>
          <w:tcPr>
            <w:tcW w:w="2156" w:type="dxa"/>
            <w:shd w:val="clear" w:color="auto" w:fill="548DD4" w:themeFill="text2" w:themeFillTint="99"/>
            <w:vAlign w:val="center"/>
          </w:tcPr>
          <w:p w:rsidR="00FE5FDD" w:rsidRPr="00355798" w:rsidRDefault="00FE5FDD" w:rsidP="00E054C6">
            <w:pPr>
              <w:spacing w:before="120" w:after="120"/>
              <w:jc w:val="center"/>
              <w:rPr>
                <w:rFonts w:ascii="Verdana" w:hAnsi="Verdana"/>
                <w:b/>
                <w:color w:val="FFFFFF" w:themeColor="background1"/>
                <w:sz w:val="20"/>
                <w:szCs w:val="20"/>
                <w:lang w:val="bg-BG"/>
              </w:rPr>
            </w:pPr>
            <w:r w:rsidRPr="00355798">
              <w:rPr>
                <w:rFonts w:ascii="Verdana" w:hAnsi="Verdana"/>
                <w:b/>
                <w:color w:val="FFFFFF" w:themeColor="background1"/>
                <w:sz w:val="20"/>
                <w:szCs w:val="20"/>
                <w:lang w:val="bg-BG"/>
              </w:rPr>
              <w:t>Част от ОПНОИР</w:t>
            </w:r>
          </w:p>
        </w:tc>
        <w:tc>
          <w:tcPr>
            <w:tcW w:w="3349" w:type="dxa"/>
            <w:shd w:val="clear" w:color="auto" w:fill="548DD4" w:themeFill="text2" w:themeFillTint="99"/>
            <w:vAlign w:val="center"/>
          </w:tcPr>
          <w:p w:rsidR="00FE5FDD" w:rsidRPr="00355798" w:rsidRDefault="00FE5FDD" w:rsidP="00E054C6">
            <w:pPr>
              <w:spacing w:before="120" w:after="120"/>
              <w:jc w:val="center"/>
              <w:rPr>
                <w:rFonts w:ascii="Verdana" w:hAnsi="Verdana"/>
                <w:b/>
                <w:color w:val="FFFFFF" w:themeColor="background1"/>
                <w:sz w:val="20"/>
                <w:szCs w:val="20"/>
                <w:lang w:val="bg-BG"/>
              </w:rPr>
            </w:pPr>
            <w:r w:rsidRPr="00355798">
              <w:rPr>
                <w:rFonts w:ascii="Verdana" w:hAnsi="Verdana"/>
                <w:b/>
                <w:color w:val="FFFFFF" w:themeColor="background1"/>
                <w:sz w:val="20"/>
                <w:szCs w:val="20"/>
                <w:lang w:val="bg-BG"/>
              </w:rPr>
              <w:t>Извод</w:t>
            </w:r>
          </w:p>
        </w:tc>
        <w:tc>
          <w:tcPr>
            <w:tcW w:w="3969" w:type="dxa"/>
            <w:shd w:val="clear" w:color="auto" w:fill="548DD4" w:themeFill="text2" w:themeFillTint="99"/>
            <w:vAlign w:val="center"/>
          </w:tcPr>
          <w:p w:rsidR="00FE5FDD" w:rsidRPr="00355798" w:rsidRDefault="00FE5FDD" w:rsidP="00E054C6">
            <w:pPr>
              <w:spacing w:before="120" w:after="120"/>
              <w:jc w:val="center"/>
              <w:rPr>
                <w:rFonts w:ascii="Verdana" w:hAnsi="Verdana"/>
                <w:b/>
                <w:color w:val="FFFFFF" w:themeColor="background1"/>
                <w:sz w:val="20"/>
                <w:szCs w:val="20"/>
                <w:lang w:val="bg-BG"/>
              </w:rPr>
            </w:pPr>
            <w:r w:rsidRPr="00355798">
              <w:rPr>
                <w:rFonts w:ascii="Verdana" w:hAnsi="Verdana"/>
                <w:b/>
                <w:color w:val="FFFFFF" w:themeColor="background1"/>
                <w:sz w:val="20"/>
                <w:szCs w:val="20"/>
                <w:lang w:val="bg-BG"/>
              </w:rPr>
              <w:t>Препоръка</w:t>
            </w:r>
          </w:p>
        </w:tc>
      </w:tr>
      <w:tr w:rsidR="00FE5FDD" w:rsidRPr="00355798" w:rsidTr="00E054C6">
        <w:trPr>
          <w:trHeight w:val="574"/>
        </w:trPr>
        <w:tc>
          <w:tcPr>
            <w:tcW w:w="2156" w:type="dxa"/>
          </w:tcPr>
          <w:p w:rsidR="00FE5FDD" w:rsidRPr="00355798" w:rsidRDefault="00FE5FDD" w:rsidP="00E054C6">
            <w:pPr>
              <w:spacing w:before="120" w:after="120"/>
              <w:rPr>
                <w:rFonts w:ascii="Verdana" w:hAnsi="Verdana"/>
                <w:sz w:val="20"/>
                <w:szCs w:val="20"/>
                <w:lang w:val="bg-BG"/>
              </w:rPr>
            </w:pPr>
            <w:r w:rsidRPr="00355798">
              <w:rPr>
                <w:rFonts w:ascii="Verdana" w:hAnsi="Verdana"/>
                <w:sz w:val="20"/>
                <w:szCs w:val="20"/>
                <w:lang w:val="bg-BG"/>
              </w:rPr>
              <w:t>Структурата за управление</w:t>
            </w:r>
          </w:p>
        </w:tc>
        <w:tc>
          <w:tcPr>
            <w:tcW w:w="3349" w:type="dxa"/>
          </w:tcPr>
          <w:p w:rsidR="00FE5FDD" w:rsidRPr="00355798" w:rsidRDefault="00FE5FDD" w:rsidP="00E054C6">
            <w:pPr>
              <w:spacing w:before="120" w:after="120"/>
              <w:rPr>
                <w:rFonts w:ascii="Verdana" w:hAnsi="Verdana"/>
                <w:sz w:val="20"/>
                <w:szCs w:val="20"/>
                <w:lang w:val="bg-BG"/>
              </w:rPr>
            </w:pPr>
            <w:r w:rsidRPr="00355798">
              <w:rPr>
                <w:rFonts w:ascii="Verdana" w:hAnsi="Verdana"/>
                <w:sz w:val="20"/>
                <w:szCs w:val="20"/>
                <w:lang w:val="bg-BG"/>
              </w:rPr>
              <w:t xml:space="preserve">През юни 2014г. е приета нова структура на ГДСФМОП. Тя предвижда изпълнението на всички функции и отговорности като УО и отговаря на изискванията за разделение на функции. </w:t>
            </w:r>
          </w:p>
          <w:p w:rsidR="00FE5FDD" w:rsidRPr="00355798" w:rsidRDefault="00FE5FDD" w:rsidP="00E054C6">
            <w:pPr>
              <w:spacing w:before="120" w:after="120"/>
              <w:rPr>
                <w:rFonts w:ascii="Verdana" w:hAnsi="Verdana"/>
                <w:sz w:val="20"/>
                <w:szCs w:val="20"/>
                <w:lang w:val="bg-BG"/>
              </w:rPr>
            </w:pPr>
          </w:p>
          <w:p w:rsidR="00FE5FDD" w:rsidRPr="00355798" w:rsidRDefault="00FE5FDD" w:rsidP="00E054C6">
            <w:pPr>
              <w:spacing w:before="120" w:after="120"/>
              <w:rPr>
                <w:rFonts w:ascii="Verdana" w:hAnsi="Verdana"/>
                <w:sz w:val="20"/>
                <w:szCs w:val="20"/>
                <w:lang w:val="bg-BG"/>
              </w:rPr>
            </w:pPr>
            <w:r w:rsidRPr="00355798">
              <w:rPr>
                <w:rFonts w:ascii="Verdana" w:hAnsi="Verdana"/>
                <w:sz w:val="20"/>
                <w:szCs w:val="20"/>
                <w:lang w:val="bg-BG"/>
              </w:rPr>
              <w:t>Проведеното онлайн допитване посочва възможност за по-ефективно разпределение на задълженията както на централно ниво, така и към регионалните структури на ГДСФМОП.</w:t>
            </w:r>
          </w:p>
        </w:tc>
        <w:tc>
          <w:tcPr>
            <w:tcW w:w="3969" w:type="dxa"/>
          </w:tcPr>
          <w:p w:rsidR="00355798" w:rsidRDefault="00355798" w:rsidP="00E054C6">
            <w:pPr>
              <w:spacing w:before="120" w:after="120"/>
              <w:rPr>
                <w:rFonts w:ascii="Verdana" w:hAnsi="Verdana"/>
                <w:sz w:val="20"/>
                <w:szCs w:val="20"/>
                <w:lang w:val="bg-BG"/>
              </w:rPr>
            </w:pPr>
            <w:r w:rsidRPr="00355798">
              <w:rPr>
                <w:rFonts w:ascii="Verdana" w:hAnsi="Verdana"/>
                <w:sz w:val="20"/>
                <w:szCs w:val="20"/>
                <w:lang w:val="bg-BG"/>
              </w:rPr>
              <w:t>Отделът по управление на риска и контрол, който включва и служителят по нередности да бъдат на директно подчинение на главния директор на ГДСФМОП, а не на заместник-директор.</w:t>
            </w:r>
          </w:p>
          <w:p w:rsidR="00FE5FDD" w:rsidRPr="00355798" w:rsidRDefault="00FE5FDD" w:rsidP="00E054C6">
            <w:pPr>
              <w:spacing w:before="120" w:after="120"/>
              <w:rPr>
                <w:rFonts w:ascii="Verdana" w:hAnsi="Verdana"/>
                <w:sz w:val="20"/>
                <w:szCs w:val="20"/>
                <w:lang w:val="bg-BG"/>
              </w:rPr>
            </w:pPr>
            <w:r w:rsidRPr="00355798">
              <w:rPr>
                <w:rFonts w:ascii="Verdana" w:hAnsi="Verdana"/>
                <w:sz w:val="20"/>
                <w:szCs w:val="20"/>
                <w:lang w:val="bg-BG"/>
              </w:rPr>
              <w:t>Ясно разпределение на функциите на отделите, включително делегиране на функции по мониторинг и верификация на регионалните структури;</w:t>
            </w:r>
          </w:p>
          <w:p w:rsidR="00FE5FDD" w:rsidRPr="00355798" w:rsidRDefault="00FE5FDD" w:rsidP="00D04CA2">
            <w:pPr>
              <w:spacing w:before="120" w:after="120"/>
              <w:rPr>
                <w:rFonts w:ascii="Verdana" w:hAnsi="Verdana"/>
                <w:sz w:val="20"/>
                <w:szCs w:val="20"/>
                <w:lang w:val="bg-BG"/>
              </w:rPr>
            </w:pPr>
            <w:r w:rsidRPr="00355798">
              <w:rPr>
                <w:rFonts w:ascii="Verdana" w:hAnsi="Verdana"/>
                <w:sz w:val="20"/>
                <w:szCs w:val="20"/>
                <w:lang w:val="bg-BG"/>
              </w:rPr>
              <w:t xml:space="preserve">По-ясни разграничения на отговорностите и задачите  между отделите в УО, за да се избегне евентуално размиване или дублиране на функции или </w:t>
            </w:r>
            <w:r w:rsidRPr="00355798">
              <w:rPr>
                <w:rFonts w:ascii="Verdana" w:hAnsi="Verdana"/>
                <w:sz w:val="20"/>
                <w:szCs w:val="20"/>
                <w:lang w:val="bg-BG"/>
              </w:rPr>
              <w:lastRenderedPageBreak/>
              <w:t>прекомерна натовареност на някои отдели.</w:t>
            </w:r>
          </w:p>
        </w:tc>
      </w:tr>
      <w:tr w:rsidR="00FE5FDD" w:rsidRPr="00355798" w:rsidTr="00E054C6">
        <w:trPr>
          <w:trHeight w:val="574"/>
        </w:trPr>
        <w:tc>
          <w:tcPr>
            <w:tcW w:w="2156" w:type="dxa"/>
          </w:tcPr>
          <w:p w:rsidR="00FE5FDD" w:rsidRPr="00355798" w:rsidRDefault="00FE5FDD" w:rsidP="00E054C6">
            <w:pPr>
              <w:spacing w:before="120" w:after="120"/>
              <w:rPr>
                <w:rFonts w:ascii="Verdana" w:hAnsi="Verdana"/>
                <w:sz w:val="20"/>
                <w:szCs w:val="20"/>
                <w:lang w:val="bg-BG"/>
              </w:rPr>
            </w:pPr>
            <w:r w:rsidRPr="00355798">
              <w:rPr>
                <w:rFonts w:ascii="Verdana" w:hAnsi="Verdana"/>
                <w:sz w:val="20"/>
                <w:szCs w:val="20"/>
                <w:lang w:val="bg-BG"/>
              </w:rPr>
              <w:lastRenderedPageBreak/>
              <w:t>Адекватност на човешките ресурси и на административния капацитет за управление на програмата</w:t>
            </w:r>
          </w:p>
        </w:tc>
        <w:tc>
          <w:tcPr>
            <w:tcW w:w="3349" w:type="dxa"/>
          </w:tcPr>
          <w:p w:rsidR="00FE5FDD" w:rsidRPr="00355798" w:rsidRDefault="00FE5FDD" w:rsidP="00E054C6">
            <w:pPr>
              <w:widowControl w:val="0"/>
              <w:tabs>
                <w:tab w:val="left" w:pos="0"/>
                <w:tab w:val="right" w:pos="9214"/>
              </w:tabs>
              <w:spacing w:before="120" w:after="120"/>
              <w:jc w:val="both"/>
              <w:rPr>
                <w:rFonts w:ascii="Verdana" w:hAnsi="Verdana"/>
                <w:bCs/>
                <w:color w:val="000000"/>
                <w:sz w:val="20"/>
                <w:szCs w:val="20"/>
                <w:lang w:val="bg-BG"/>
              </w:rPr>
            </w:pPr>
            <w:r w:rsidRPr="00355798">
              <w:rPr>
                <w:rFonts w:ascii="Verdana" w:hAnsi="Verdana"/>
                <w:bCs/>
                <w:color w:val="000000"/>
                <w:sz w:val="20"/>
                <w:szCs w:val="20"/>
                <w:lang w:val="bg-BG"/>
              </w:rPr>
              <w:t>Експертите в ГД</w:t>
            </w:r>
            <w:r w:rsidR="004C0571">
              <w:rPr>
                <w:rFonts w:ascii="Verdana" w:hAnsi="Verdana"/>
                <w:bCs/>
                <w:color w:val="000000"/>
                <w:sz w:val="20"/>
                <w:szCs w:val="20"/>
                <w:lang w:val="bg-BG"/>
              </w:rPr>
              <w:t xml:space="preserve"> </w:t>
            </w:r>
            <w:r w:rsidRPr="00355798">
              <w:rPr>
                <w:rFonts w:ascii="Verdana" w:hAnsi="Verdana"/>
                <w:bCs/>
                <w:color w:val="000000"/>
                <w:sz w:val="20"/>
                <w:szCs w:val="20"/>
                <w:lang w:val="bg-BG"/>
              </w:rPr>
              <w:t xml:space="preserve">СФМОП имат значителен професионален опит в </w:t>
            </w:r>
            <w:r w:rsidRPr="00355798">
              <w:rPr>
                <w:rFonts w:ascii="Verdana" w:hAnsi="Verdana"/>
                <w:sz w:val="20"/>
                <w:szCs w:val="20"/>
                <w:lang w:val="bg-BG"/>
              </w:rPr>
              <w:t xml:space="preserve">управлението и изпълнението на проекти и програми, финансирани по структурните фондове на ЕС и предприсъединителни програми. </w:t>
            </w:r>
          </w:p>
          <w:p w:rsidR="00FE5FDD" w:rsidRPr="00355798" w:rsidRDefault="00E054C6" w:rsidP="00E054C6">
            <w:pPr>
              <w:widowControl w:val="0"/>
              <w:tabs>
                <w:tab w:val="left" w:pos="0"/>
                <w:tab w:val="right" w:pos="9214"/>
              </w:tabs>
              <w:spacing w:before="120" w:after="120"/>
              <w:jc w:val="both"/>
              <w:rPr>
                <w:rFonts w:ascii="Verdana" w:hAnsi="Verdana"/>
                <w:bCs/>
                <w:color w:val="000000"/>
                <w:sz w:val="20"/>
                <w:szCs w:val="20"/>
                <w:lang w:val="bg-BG"/>
              </w:rPr>
            </w:pPr>
            <w:r>
              <w:rPr>
                <w:rFonts w:ascii="Verdana" w:hAnsi="Verdana"/>
                <w:bCs/>
                <w:color w:val="000000"/>
                <w:sz w:val="20"/>
                <w:szCs w:val="20"/>
                <w:lang w:val="bg-BG"/>
              </w:rPr>
              <w:t>Заделеният човешки ресурс за</w:t>
            </w:r>
            <w:r w:rsidR="00FE5FDD" w:rsidRPr="00355798">
              <w:rPr>
                <w:rFonts w:ascii="Verdana" w:hAnsi="Verdana"/>
                <w:bCs/>
                <w:color w:val="000000"/>
                <w:sz w:val="20"/>
                <w:szCs w:val="20"/>
                <w:lang w:val="bg-BG"/>
              </w:rPr>
              <w:t xml:space="preserve"> </w:t>
            </w:r>
            <w:r w:rsidR="00355798">
              <w:rPr>
                <w:rFonts w:ascii="Verdana" w:hAnsi="Verdana"/>
                <w:bCs/>
                <w:color w:val="000000"/>
                <w:sz w:val="20"/>
                <w:szCs w:val="20"/>
                <w:lang w:val="bg-BG"/>
              </w:rPr>
              <w:t>три от отделите</w:t>
            </w:r>
            <w:r w:rsidR="00FE5FDD" w:rsidRPr="00355798">
              <w:rPr>
                <w:rFonts w:ascii="Verdana" w:hAnsi="Verdana"/>
                <w:bCs/>
                <w:color w:val="000000"/>
                <w:sz w:val="20"/>
                <w:szCs w:val="20"/>
                <w:lang w:val="bg-BG"/>
              </w:rPr>
              <w:t xml:space="preserve"> е </w:t>
            </w:r>
            <w:r w:rsidR="00355798" w:rsidRPr="00355798">
              <w:rPr>
                <w:rFonts w:ascii="Verdana" w:hAnsi="Verdana"/>
                <w:bCs/>
                <w:color w:val="000000"/>
                <w:sz w:val="20"/>
                <w:szCs w:val="20"/>
                <w:lang w:val="bg-BG"/>
              </w:rPr>
              <w:t>вероятно</w:t>
            </w:r>
            <w:r w:rsidR="00FE5FDD" w:rsidRPr="00355798">
              <w:rPr>
                <w:rFonts w:ascii="Verdana" w:hAnsi="Verdana"/>
                <w:bCs/>
                <w:color w:val="000000"/>
                <w:sz w:val="20"/>
                <w:szCs w:val="20"/>
                <w:lang w:val="bg-BG"/>
              </w:rPr>
              <w:t xml:space="preserve"> да се окаже недостатъчен </w:t>
            </w:r>
            <w:r w:rsidR="00355798" w:rsidRPr="00355798">
              <w:rPr>
                <w:rFonts w:ascii="Verdana" w:hAnsi="Verdana"/>
                <w:bCs/>
                <w:color w:val="000000"/>
                <w:sz w:val="20"/>
                <w:szCs w:val="20"/>
                <w:lang w:val="bg-BG"/>
              </w:rPr>
              <w:t xml:space="preserve">съобразно </w:t>
            </w:r>
            <w:r w:rsidR="00355798">
              <w:rPr>
                <w:rFonts w:ascii="Verdana" w:hAnsi="Verdana"/>
                <w:bCs/>
                <w:color w:val="000000"/>
                <w:sz w:val="20"/>
                <w:szCs w:val="20"/>
                <w:lang w:val="bg-BG"/>
              </w:rPr>
              <w:t>техните задължения</w:t>
            </w:r>
            <w:r w:rsidR="00355798" w:rsidRPr="00355798">
              <w:rPr>
                <w:rFonts w:ascii="Verdana" w:hAnsi="Verdana"/>
                <w:bCs/>
                <w:color w:val="000000"/>
                <w:sz w:val="20"/>
                <w:szCs w:val="20"/>
                <w:lang w:val="bg-BG"/>
              </w:rPr>
              <w:t>.</w:t>
            </w:r>
          </w:p>
          <w:p w:rsidR="00FE5FDD" w:rsidRPr="00355798" w:rsidRDefault="00FE5FDD" w:rsidP="00E054C6">
            <w:pPr>
              <w:widowControl w:val="0"/>
              <w:tabs>
                <w:tab w:val="left" w:pos="0"/>
                <w:tab w:val="right" w:pos="9214"/>
              </w:tabs>
              <w:spacing w:before="120" w:after="120"/>
              <w:jc w:val="both"/>
              <w:rPr>
                <w:rFonts w:ascii="Verdana" w:hAnsi="Verdana"/>
                <w:bCs/>
                <w:color w:val="000000"/>
                <w:sz w:val="20"/>
                <w:szCs w:val="20"/>
                <w:lang w:val="bg-BG"/>
              </w:rPr>
            </w:pPr>
            <w:r w:rsidRPr="00355798">
              <w:rPr>
                <w:rFonts w:ascii="Verdana" w:hAnsi="Verdana"/>
                <w:bCs/>
                <w:color w:val="000000"/>
                <w:sz w:val="20"/>
                <w:szCs w:val="20"/>
                <w:lang w:val="bg-BG"/>
              </w:rPr>
              <w:t>Служителите като цяло са удовлетворени от работата в ГДСФМОП, но тяхната по-добра мотивация ще повиши административния капацитет на дирекцията.</w:t>
            </w:r>
          </w:p>
          <w:p w:rsidR="00FE5FDD" w:rsidRPr="00355798" w:rsidRDefault="00FE5FDD" w:rsidP="00E054C6">
            <w:pPr>
              <w:pStyle w:val="BodyText"/>
              <w:widowControl w:val="0"/>
              <w:tabs>
                <w:tab w:val="left" w:pos="0"/>
                <w:tab w:val="right" w:pos="9214"/>
              </w:tabs>
              <w:spacing w:before="120"/>
              <w:jc w:val="both"/>
              <w:rPr>
                <w:rFonts w:ascii="Verdana" w:hAnsi="Verdana"/>
                <w:bCs/>
                <w:color w:val="000000"/>
                <w:sz w:val="20"/>
                <w:szCs w:val="20"/>
              </w:rPr>
            </w:pPr>
            <w:r w:rsidRPr="00355798">
              <w:rPr>
                <w:rFonts w:ascii="Verdana" w:hAnsi="Verdana"/>
                <w:bCs/>
                <w:color w:val="000000"/>
                <w:sz w:val="20"/>
                <w:szCs w:val="20"/>
              </w:rPr>
              <w:t>Липсват технически средства и системи за обезпечаване работата на служителите на ГДСФМОП отношение на зали,  приложен софтуер, дигитален архив и т.н.</w:t>
            </w:r>
          </w:p>
        </w:tc>
        <w:tc>
          <w:tcPr>
            <w:tcW w:w="3969" w:type="dxa"/>
          </w:tcPr>
          <w:p w:rsidR="00FE5FDD" w:rsidRPr="00355798" w:rsidRDefault="00FE5FDD" w:rsidP="00E054C6">
            <w:pPr>
              <w:pStyle w:val="BodyText"/>
              <w:widowControl w:val="0"/>
              <w:tabs>
                <w:tab w:val="left" w:pos="0"/>
                <w:tab w:val="right" w:pos="9214"/>
              </w:tabs>
              <w:spacing w:before="120"/>
              <w:jc w:val="both"/>
              <w:rPr>
                <w:rFonts w:ascii="Verdana" w:hAnsi="Verdana"/>
                <w:sz w:val="20"/>
                <w:szCs w:val="20"/>
              </w:rPr>
            </w:pPr>
            <w:r w:rsidRPr="00355798">
              <w:rPr>
                <w:rFonts w:ascii="Verdana" w:hAnsi="Verdana"/>
                <w:bCs/>
                <w:color w:val="000000"/>
                <w:sz w:val="20"/>
                <w:szCs w:val="20"/>
              </w:rPr>
              <w:t>Осигуряване на адекватни ресурси спрямо отговорностите на отдели</w:t>
            </w:r>
            <w:r w:rsidR="00355798">
              <w:rPr>
                <w:rFonts w:ascii="Verdana" w:hAnsi="Verdana"/>
                <w:bCs/>
                <w:color w:val="000000"/>
                <w:sz w:val="20"/>
                <w:szCs w:val="20"/>
              </w:rPr>
              <w:t xml:space="preserve"> </w:t>
            </w:r>
            <w:r w:rsidR="00355798" w:rsidRPr="00F10F7E">
              <w:rPr>
                <w:rFonts w:ascii="Verdana" w:hAnsi="Verdana" w:cs="TimesNewRomanPSMT"/>
                <w:sz w:val="20"/>
                <w:szCs w:val="20"/>
              </w:rPr>
              <w:t>„</w:t>
            </w:r>
            <w:r w:rsidR="00355798">
              <w:rPr>
                <w:rFonts w:ascii="Verdana" w:hAnsi="Verdana" w:cs="TimesNewRomanPSMT"/>
                <w:sz w:val="20"/>
                <w:szCs w:val="20"/>
              </w:rPr>
              <w:t>Програмиране и договаряне</w:t>
            </w:r>
            <w:r w:rsidR="00355798" w:rsidRPr="00F10F7E">
              <w:rPr>
                <w:rFonts w:ascii="Verdana" w:hAnsi="Verdana" w:cs="TimesNewRomanPSMT"/>
                <w:sz w:val="20"/>
                <w:szCs w:val="20"/>
              </w:rPr>
              <w:t>“</w:t>
            </w:r>
            <w:r w:rsidR="00355798">
              <w:rPr>
                <w:rFonts w:ascii="Verdana" w:hAnsi="Verdana" w:cs="TimesNewRomanPSMT"/>
                <w:sz w:val="20"/>
                <w:szCs w:val="20"/>
              </w:rPr>
              <w:t>, „Финансово планиране, счетоводна отчетност и плащания“ и</w:t>
            </w:r>
            <w:r w:rsidRPr="00355798">
              <w:rPr>
                <w:rFonts w:ascii="Verdana" w:hAnsi="Verdana"/>
                <w:bCs/>
                <w:color w:val="000000"/>
                <w:sz w:val="20"/>
                <w:szCs w:val="20"/>
              </w:rPr>
              <w:t xml:space="preserve"> </w:t>
            </w:r>
            <w:r w:rsidR="00355798" w:rsidRPr="007531D3">
              <w:rPr>
                <w:rFonts w:ascii="Verdana" w:hAnsi="Verdana"/>
                <w:sz w:val="20"/>
                <w:szCs w:val="20"/>
              </w:rPr>
              <w:t>„Управление на риска и контрол“</w:t>
            </w:r>
            <w:r w:rsidR="00355798">
              <w:rPr>
                <w:rFonts w:ascii="Verdana" w:hAnsi="Verdana"/>
                <w:sz w:val="20"/>
                <w:szCs w:val="20"/>
              </w:rPr>
              <w:t xml:space="preserve">. </w:t>
            </w:r>
          </w:p>
          <w:p w:rsidR="00FE5FDD" w:rsidRPr="00355798" w:rsidRDefault="00FE5FDD" w:rsidP="00E054C6">
            <w:pPr>
              <w:pStyle w:val="BodyText"/>
              <w:widowControl w:val="0"/>
              <w:tabs>
                <w:tab w:val="left" w:pos="0"/>
                <w:tab w:val="right" w:pos="9214"/>
              </w:tabs>
              <w:spacing w:before="120"/>
              <w:jc w:val="both"/>
              <w:rPr>
                <w:rFonts w:ascii="Verdana" w:hAnsi="Verdana"/>
                <w:sz w:val="20"/>
                <w:szCs w:val="20"/>
              </w:rPr>
            </w:pPr>
            <w:r w:rsidRPr="00355798">
              <w:rPr>
                <w:rFonts w:ascii="Verdana" w:hAnsi="Verdana"/>
                <w:sz w:val="20"/>
                <w:szCs w:val="20"/>
              </w:rPr>
              <w:t xml:space="preserve">Осигуряване на необходимите технически средства за управление и изпълнение на програмата. </w:t>
            </w:r>
          </w:p>
          <w:p w:rsidR="00FE5FDD" w:rsidRPr="00355798" w:rsidRDefault="00FE5FDD" w:rsidP="00E054C6">
            <w:pPr>
              <w:pStyle w:val="BodyText"/>
              <w:widowControl w:val="0"/>
              <w:tabs>
                <w:tab w:val="left" w:pos="0"/>
                <w:tab w:val="right" w:pos="9214"/>
              </w:tabs>
              <w:spacing w:before="120"/>
              <w:jc w:val="both"/>
              <w:rPr>
                <w:rFonts w:ascii="Verdana" w:hAnsi="Verdana"/>
                <w:sz w:val="20"/>
                <w:szCs w:val="20"/>
              </w:rPr>
            </w:pPr>
            <w:r w:rsidRPr="00355798">
              <w:rPr>
                <w:rFonts w:ascii="Verdana" w:hAnsi="Verdana"/>
                <w:sz w:val="20"/>
                <w:szCs w:val="20"/>
              </w:rPr>
              <w:t>Експертите да продължат да получават възможност за регулярен и при нужда достъп до обучение, включително работни посещения за обмяна на опит.</w:t>
            </w:r>
          </w:p>
          <w:p w:rsidR="00FE5FDD" w:rsidRPr="00355798" w:rsidRDefault="00FE5FDD" w:rsidP="00E054C6">
            <w:pPr>
              <w:pStyle w:val="BodyText"/>
              <w:widowControl w:val="0"/>
              <w:tabs>
                <w:tab w:val="left" w:pos="0"/>
                <w:tab w:val="right" w:pos="9214"/>
              </w:tabs>
              <w:spacing w:before="120"/>
              <w:jc w:val="both"/>
              <w:rPr>
                <w:rFonts w:ascii="Verdana" w:hAnsi="Verdana"/>
                <w:sz w:val="20"/>
                <w:szCs w:val="20"/>
              </w:rPr>
            </w:pPr>
            <w:r w:rsidRPr="00355798">
              <w:rPr>
                <w:rFonts w:ascii="Verdana" w:hAnsi="Verdana"/>
                <w:sz w:val="20"/>
                <w:szCs w:val="20"/>
              </w:rPr>
              <w:t>Възможно най-бързо стартиране на обучения свързани с новите отговорности като УО.</w:t>
            </w:r>
          </w:p>
          <w:p w:rsidR="00FE5FDD" w:rsidRPr="00355798" w:rsidRDefault="00355798" w:rsidP="00E054C6">
            <w:pPr>
              <w:pStyle w:val="BodyText"/>
              <w:widowControl w:val="0"/>
              <w:tabs>
                <w:tab w:val="left" w:pos="0"/>
                <w:tab w:val="right" w:pos="9214"/>
              </w:tabs>
              <w:spacing w:before="120"/>
              <w:jc w:val="both"/>
              <w:rPr>
                <w:rFonts w:ascii="Verdana" w:hAnsi="Verdana"/>
                <w:sz w:val="20"/>
                <w:szCs w:val="20"/>
              </w:rPr>
            </w:pPr>
            <w:r w:rsidRPr="00355798">
              <w:rPr>
                <w:rFonts w:ascii="Verdana" w:hAnsi="Verdana"/>
                <w:sz w:val="20"/>
                <w:szCs w:val="20"/>
              </w:rPr>
              <w:t xml:space="preserve">Разработване на  </w:t>
            </w:r>
            <w:r w:rsidRPr="00355798">
              <w:rPr>
                <w:rFonts w:ascii="Verdana" w:hAnsi="Verdana"/>
                <w:bCs/>
                <w:color w:val="000000"/>
                <w:sz w:val="20"/>
                <w:szCs w:val="20"/>
              </w:rPr>
              <w:t>атрактивен пакет за стимулиране и възнаграждение на експертите</w:t>
            </w:r>
            <w:r w:rsidRPr="00355798">
              <w:rPr>
                <w:rFonts w:ascii="Verdana" w:hAnsi="Verdana"/>
                <w:sz w:val="20"/>
                <w:szCs w:val="20"/>
              </w:rPr>
              <w:t xml:space="preserve"> с цел повишаване тяхната мотивация.</w:t>
            </w:r>
          </w:p>
          <w:p w:rsidR="00FE5FDD" w:rsidRPr="00355798" w:rsidRDefault="00FE5FDD" w:rsidP="00E054C6">
            <w:pPr>
              <w:pStyle w:val="BodyText"/>
              <w:widowControl w:val="0"/>
              <w:tabs>
                <w:tab w:val="left" w:pos="0"/>
                <w:tab w:val="right" w:pos="9214"/>
              </w:tabs>
              <w:spacing w:before="120"/>
              <w:jc w:val="both"/>
              <w:rPr>
                <w:rFonts w:ascii="Verdana" w:hAnsi="Verdana"/>
                <w:sz w:val="20"/>
                <w:szCs w:val="20"/>
              </w:rPr>
            </w:pPr>
          </w:p>
        </w:tc>
      </w:tr>
      <w:tr w:rsidR="00FE5FDD" w:rsidRPr="00355798" w:rsidTr="00E054C6">
        <w:trPr>
          <w:trHeight w:val="574"/>
        </w:trPr>
        <w:tc>
          <w:tcPr>
            <w:tcW w:w="2156" w:type="dxa"/>
          </w:tcPr>
          <w:p w:rsidR="00FE5FDD" w:rsidRPr="00355798" w:rsidRDefault="00FE5FDD" w:rsidP="00E054C6">
            <w:pPr>
              <w:spacing w:before="120" w:after="120"/>
              <w:rPr>
                <w:rFonts w:ascii="Verdana" w:hAnsi="Verdana"/>
                <w:sz w:val="20"/>
                <w:szCs w:val="20"/>
                <w:lang w:val="bg-BG"/>
              </w:rPr>
            </w:pPr>
            <w:r w:rsidRPr="00355798">
              <w:rPr>
                <w:rFonts w:ascii="Verdana" w:hAnsi="Verdana"/>
                <w:sz w:val="20"/>
                <w:szCs w:val="20"/>
                <w:lang w:val="bg-BG"/>
              </w:rPr>
              <w:t>Капацитет на бенефициентите на програмата и предвидените мерки за неговото укрепване</w:t>
            </w:r>
          </w:p>
        </w:tc>
        <w:tc>
          <w:tcPr>
            <w:tcW w:w="3349" w:type="dxa"/>
          </w:tcPr>
          <w:p w:rsidR="00355798" w:rsidRPr="00355798" w:rsidRDefault="00355798" w:rsidP="00E054C6">
            <w:pPr>
              <w:widowControl w:val="0"/>
              <w:tabs>
                <w:tab w:val="left" w:pos="0"/>
                <w:tab w:val="right" w:pos="9214"/>
              </w:tabs>
              <w:spacing w:before="120" w:after="120"/>
              <w:jc w:val="both"/>
              <w:rPr>
                <w:rFonts w:ascii="Verdana" w:hAnsi="Verdana" w:cs="TimesNewRomanPSMT"/>
                <w:sz w:val="20"/>
                <w:szCs w:val="20"/>
                <w:lang w:val="bg-BG"/>
              </w:rPr>
            </w:pPr>
            <w:r>
              <w:rPr>
                <w:rFonts w:ascii="Verdana" w:hAnsi="Verdana" w:cs="TimesNewRomanPSMT"/>
                <w:sz w:val="20"/>
                <w:szCs w:val="20"/>
                <w:lang w:val="bg-BG"/>
              </w:rPr>
              <w:t>Б</w:t>
            </w:r>
            <w:r w:rsidRPr="00355798">
              <w:rPr>
                <w:rFonts w:ascii="Verdana" w:hAnsi="Verdana" w:cs="TimesNewRomanPSMT"/>
                <w:sz w:val="20"/>
                <w:szCs w:val="20"/>
                <w:lang w:val="bg-BG"/>
              </w:rPr>
              <w:t>енефициенти</w:t>
            </w:r>
            <w:r>
              <w:rPr>
                <w:rFonts w:ascii="Verdana" w:hAnsi="Verdana" w:cs="TimesNewRomanPSMT"/>
                <w:sz w:val="20"/>
                <w:szCs w:val="20"/>
                <w:lang w:val="bg-BG"/>
              </w:rPr>
              <w:t>те</w:t>
            </w:r>
            <w:r w:rsidRPr="00355798">
              <w:rPr>
                <w:rFonts w:ascii="Verdana" w:hAnsi="Verdana" w:cs="TimesNewRomanPSMT"/>
                <w:sz w:val="20"/>
                <w:szCs w:val="20"/>
                <w:lang w:val="bg-BG"/>
              </w:rPr>
              <w:t xml:space="preserve"> по програмата ще се нуждаят от подкрепа, въпреки че </w:t>
            </w:r>
            <w:r>
              <w:rPr>
                <w:rFonts w:ascii="Verdana" w:hAnsi="Verdana" w:cs="TimesNewRomanPSMT"/>
                <w:sz w:val="20"/>
                <w:szCs w:val="20"/>
                <w:lang w:val="bg-BG"/>
              </w:rPr>
              <w:t>г</w:t>
            </w:r>
            <w:r w:rsidRPr="00355798">
              <w:rPr>
                <w:rFonts w:ascii="Verdana" w:hAnsi="Verdana" w:cs="TimesNewRomanPSMT"/>
                <w:sz w:val="20"/>
                <w:szCs w:val="20"/>
                <w:lang w:val="bg-BG"/>
              </w:rPr>
              <w:t xml:space="preserve">оляма част от тях вече имат опит в изпълнение на проекти от предходния програмен период. </w:t>
            </w:r>
          </w:p>
          <w:p w:rsidR="00FE5FDD" w:rsidRPr="00355798" w:rsidRDefault="00FE5FDD" w:rsidP="00355798">
            <w:pPr>
              <w:widowControl w:val="0"/>
              <w:tabs>
                <w:tab w:val="left" w:pos="0"/>
                <w:tab w:val="right" w:pos="9214"/>
              </w:tabs>
              <w:spacing w:before="120" w:after="120"/>
              <w:rPr>
                <w:rFonts w:ascii="Verdana" w:hAnsi="Verdana"/>
                <w:bCs/>
                <w:color w:val="000000"/>
                <w:sz w:val="20"/>
                <w:szCs w:val="20"/>
                <w:lang w:val="bg-BG"/>
              </w:rPr>
            </w:pPr>
          </w:p>
        </w:tc>
        <w:tc>
          <w:tcPr>
            <w:tcW w:w="3969" w:type="dxa"/>
          </w:tcPr>
          <w:p w:rsidR="00261140" w:rsidRPr="00355798" w:rsidRDefault="00FE5FDD" w:rsidP="00261140">
            <w:pPr>
              <w:pStyle w:val="BodyText"/>
              <w:widowControl w:val="0"/>
              <w:tabs>
                <w:tab w:val="left" w:pos="0"/>
                <w:tab w:val="left" w:pos="6990"/>
              </w:tabs>
              <w:spacing w:before="120"/>
              <w:jc w:val="both"/>
              <w:rPr>
                <w:rFonts w:ascii="Verdana" w:eastAsia="Malgun Gothic" w:hAnsi="Verdana"/>
                <w:bCs/>
                <w:color w:val="000000"/>
                <w:sz w:val="20"/>
                <w:szCs w:val="20"/>
                <w:lang w:eastAsia="ko-KR"/>
              </w:rPr>
            </w:pPr>
            <w:r w:rsidRPr="00355798">
              <w:rPr>
                <w:rFonts w:ascii="Verdana" w:hAnsi="Verdana" w:cs="TimesNewRomanPSMT"/>
                <w:sz w:val="20"/>
                <w:szCs w:val="20"/>
              </w:rPr>
              <w:t xml:space="preserve">УО следва да </w:t>
            </w:r>
            <w:r w:rsidR="00261140">
              <w:rPr>
                <w:rFonts w:ascii="Verdana" w:hAnsi="Verdana" w:cs="TimesNewRomanPSMT"/>
                <w:sz w:val="20"/>
                <w:szCs w:val="20"/>
              </w:rPr>
              <w:t>оказва подкрепа</w:t>
            </w:r>
            <w:r w:rsidRPr="00355798">
              <w:rPr>
                <w:rFonts w:ascii="Verdana" w:hAnsi="Verdana" w:cs="TimesNewRomanPSMT"/>
                <w:sz w:val="20"/>
                <w:szCs w:val="20"/>
              </w:rPr>
              <w:t xml:space="preserve"> за повишаване на капацитета на бенефициентите на ОПНОИР 2014 </w:t>
            </w:r>
            <w:r w:rsidR="00261140">
              <w:rPr>
                <w:rFonts w:ascii="Verdana" w:hAnsi="Verdana" w:cs="TimesNewRomanPSMT"/>
                <w:sz w:val="20"/>
                <w:szCs w:val="20"/>
              </w:rPr>
              <w:t>–</w:t>
            </w:r>
            <w:r w:rsidRPr="00355798">
              <w:rPr>
                <w:rFonts w:ascii="Verdana" w:hAnsi="Verdana" w:cs="TimesNewRomanPSMT"/>
                <w:sz w:val="20"/>
                <w:szCs w:val="20"/>
              </w:rPr>
              <w:t xml:space="preserve"> 2020</w:t>
            </w:r>
            <w:r w:rsidR="00261140">
              <w:rPr>
                <w:rFonts w:ascii="Verdana" w:hAnsi="Verdana" w:cs="TimesNewRomanPSMT"/>
                <w:sz w:val="20"/>
                <w:szCs w:val="20"/>
              </w:rPr>
              <w:t xml:space="preserve">, включително </w:t>
            </w:r>
            <w:r w:rsidR="00261140">
              <w:rPr>
                <w:rFonts w:ascii="Verdana" w:eastAsia="Malgun Gothic" w:hAnsi="Verdana"/>
                <w:bCs/>
                <w:color w:val="000000"/>
                <w:sz w:val="20"/>
                <w:szCs w:val="20"/>
                <w:lang w:eastAsia="ko-KR"/>
              </w:rPr>
              <w:t>п</w:t>
            </w:r>
            <w:r w:rsidR="00261140" w:rsidRPr="00355798">
              <w:rPr>
                <w:rFonts w:ascii="Verdana" w:eastAsia="Malgun Gothic" w:hAnsi="Verdana"/>
                <w:bCs/>
                <w:color w:val="000000"/>
                <w:sz w:val="20"/>
                <w:szCs w:val="20"/>
                <w:lang w:eastAsia="ko-KR"/>
              </w:rPr>
              <w:t xml:space="preserve">родължаване на практиката за провеждане на информационни дни и разяснителни </w:t>
            </w:r>
            <w:r w:rsidR="00261140">
              <w:rPr>
                <w:rFonts w:ascii="Verdana" w:eastAsia="Malgun Gothic" w:hAnsi="Verdana"/>
                <w:bCs/>
                <w:color w:val="000000"/>
                <w:sz w:val="20"/>
                <w:szCs w:val="20"/>
                <w:lang w:eastAsia="ko-KR"/>
              </w:rPr>
              <w:t>кампании по схемите за подкрепа.</w:t>
            </w:r>
          </w:p>
          <w:p w:rsidR="00FE5FDD" w:rsidRPr="00355798" w:rsidRDefault="00261140" w:rsidP="00E054C6">
            <w:pPr>
              <w:spacing w:before="120" w:after="120"/>
              <w:contextualSpacing/>
              <w:jc w:val="both"/>
              <w:rPr>
                <w:rFonts w:ascii="Verdana" w:hAnsi="Verdana"/>
                <w:sz w:val="20"/>
                <w:szCs w:val="20"/>
                <w:lang w:val="bg-BG"/>
              </w:rPr>
            </w:pPr>
            <w:r>
              <w:rPr>
                <w:rFonts w:ascii="Verdana" w:hAnsi="Verdana"/>
                <w:sz w:val="20"/>
                <w:szCs w:val="20"/>
                <w:lang w:val="bg-BG"/>
              </w:rPr>
              <w:t>В допълнение, с</w:t>
            </w:r>
            <w:r w:rsidR="00FE5FDD" w:rsidRPr="00355798">
              <w:rPr>
                <w:rFonts w:ascii="Verdana" w:hAnsi="Verdana"/>
                <w:sz w:val="20"/>
                <w:szCs w:val="20"/>
                <w:lang w:val="bg-BG"/>
              </w:rPr>
              <w:t>ледните мерки ще отговорят на някои от най-често срещаните трудностите от бенефициентите:</w:t>
            </w:r>
          </w:p>
          <w:p w:rsidR="00FE5FDD" w:rsidRPr="00355798" w:rsidRDefault="00FE5FDD" w:rsidP="006861B0">
            <w:pPr>
              <w:pStyle w:val="BodyText"/>
              <w:widowControl w:val="0"/>
              <w:numPr>
                <w:ilvl w:val="0"/>
                <w:numId w:val="78"/>
              </w:numPr>
              <w:tabs>
                <w:tab w:val="left" w:pos="0"/>
                <w:tab w:val="left" w:pos="6990"/>
              </w:tabs>
              <w:spacing w:before="120"/>
              <w:ind w:left="199" w:hanging="199"/>
              <w:jc w:val="both"/>
              <w:rPr>
                <w:rFonts w:ascii="Verdana" w:eastAsia="Malgun Gothic" w:hAnsi="Verdana"/>
                <w:bCs/>
                <w:color w:val="000000"/>
                <w:sz w:val="20"/>
                <w:szCs w:val="20"/>
                <w:lang w:eastAsia="ko-KR"/>
              </w:rPr>
            </w:pPr>
            <w:r w:rsidRPr="00355798">
              <w:rPr>
                <w:rFonts w:ascii="Verdana" w:eastAsia="Malgun Gothic" w:hAnsi="Verdana"/>
                <w:bCs/>
                <w:color w:val="000000"/>
                <w:sz w:val="20"/>
                <w:szCs w:val="20"/>
                <w:lang w:eastAsia="ko-KR"/>
              </w:rPr>
              <w:t xml:space="preserve">Да се избягва честата смяна на правила и указания в процеса на изпълнение на проектите и ако това се налага, бенефициентите да бъдат уведомявани по </w:t>
            </w:r>
            <w:r w:rsidRPr="00355798">
              <w:rPr>
                <w:rFonts w:ascii="Verdana" w:eastAsia="Malgun Gothic" w:hAnsi="Verdana"/>
                <w:bCs/>
                <w:color w:val="000000"/>
                <w:sz w:val="20"/>
                <w:szCs w:val="20"/>
                <w:lang w:eastAsia="ko-KR"/>
              </w:rPr>
              <w:lastRenderedPageBreak/>
              <w:t>подходящ начин (по имейл) за настъпилите промени,  да им се дават допълнителни разяснения при необходимост;</w:t>
            </w:r>
          </w:p>
          <w:p w:rsidR="00FE5FDD" w:rsidRPr="00355798" w:rsidRDefault="00FE5FDD" w:rsidP="006861B0">
            <w:pPr>
              <w:pStyle w:val="BodyText"/>
              <w:widowControl w:val="0"/>
              <w:numPr>
                <w:ilvl w:val="0"/>
                <w:numId w:val="78"/>
              </w:numPr>
              <w:tabs>
                <w:tab w:val="left" w:pos="0"/>
                <w:tab w:val="left" w:pos="6990"/>
              </w:tabs>
              <w:spacing w:before="120"/>
              <w:ind w:left="199" w:hanging="199"/>
              <w:jc w:val="both"/>
              <w:rPr>
                <w:rFonts w:ascii="Verdana" w:eastAsia="Malgun Gothic" w:hAnsi="Verdana"/>
                <w:bCs/>
                <w:color w:val="000000"/>
                <w:sz w:val="20"/>
                <w:szCs w:val="20"/>
                <w:lang w:eastAsia="ko-KR"/>
              </w:rPr>
            </w:pPr>
            <w:r w:rsidRPr="00355798">
              <w:rPr>
                <w:rFonts w:ascii="Verdana" w:hAnsi="Verdana" w:cs="Arial"/>
                <w:color w:val="000000"/>
                <w:sz w:val="20"/>
                <w:szCs w:val="20"/>
              </w:rPr>
              <w:t>Въвеждане на „контактна точка“ з</w:t>
            </w:r>
            <w:r w:rsidRPr="00355798">
              <w:rPr>
                <w:rFonts w:ascii="Verdana" w:eastAsia="Malgun Gothic" w:hAnsi="Verdana" w:cs="Arial"/>
                <w:color w:val="000000"/>
                <w:sz w:val="20"/>
                <w:szCs w:val="20"/>
                <w:lang w:eastAsia="ko-KR"/>
              </w:rPr>
              <w:t>а бенефициенти в Наръчника за изпълнение на проекта, с ясно определени лица, отговорности  и срокове  за отговор на въпроси.</w:t>
            </w:r>
          </w:p>
        </w:tc>
      </w:tr>
      <w:tr w:rsidR="00FE5FDD" w:rsidRPr="00355798" w:rsidTr="00E054C6">
        <w:trPr>
          <w:trHeight w:val="574"/>
        </w:trPr>
        <w:tc>
          <w:tcPr>
            <w:tcW w:w="2156" w:type="dxa"/>
          </w:tcPr>
          <w:p w:rsidR="00FE5FDD" w:rsidRPr="00355798" w:rsidRDefault="00FE5FDD" w:rsidP="00E054C6">
            <w:pPr>
              <w:spacing w:before="120" w:after="120"/>
              <w:rPr>
                <w:rFonts w:ascii="Verdana" w:hAnsi="Verdana"/>
                <w:sz w:val="20"/>
                <w:szCs w:val="20"/>
                <w:lang w:val="bg-BG"/>
              </w:rPr>
            </w:pPr>
            <w:r w:rsidRPr="00355798">
              <w:rPr>
                <w:rFonts w:ascii="Verdana" w:hAnsi="Verdana"/>
                <w:sz w:val="20"/>
                <w:szCs w:val="20"/>
                <w:lang w:val="bg-BG"/>
              </w:rPr>
              <w:lastRenderedPageBreak/>
              <w:t>Пригодност на процедурите за управление, мониторинг и оценка на програмата и за събирането на данни за изпълнение на програмата</w:t>
            </w:r>
          </w:p>
        </w:tc>
        <w:tc>
          <w:tcPr>
            <w:tcW w:w="3349" w:type="dxa"/>
          </w:tcPr>
          <w:p w:rsidR="00FE5FDD" w:rsidRPr="00355798" w:rsidRDefault="00FE5FDD" w:rsidP="00E054C6">
            <w:pPr>
              <w:autoSpaceDE w:val="0"/>
              <w:autoSpaceDN w:val="0"/>
              <w:adjustRightInd w:val="0"/>
              <w:spacing w:before="120" w:after="120"/>
              <w:jc w:val="both"/>
              <w:rPr>
                <w:rFonts w:ascii="Verdana" w:hAnsi="Verdana"/>
                <w:bCs/>
                <w:color w:val="000000"/>
                <w:sz w:val="20"/>
                <w:szCs w:val="20"/>
                <w:lang w:val="bg-BG"/>
              </w:rPr>
            </w:pPr>
            <w:r w:rsidRPr="00355798">
              <w:rPr>
                <w:rFonts w:ascii="Verdana" w:hAnsi="Verdana"/>
                <w:sz w:val="20"/>
                <w:szCs w:val="20"/>
                <w:lang w:val="bg-BG"/>
              </w:rPr>
              <w:t>Системата за мониторинг трябва да осигури регулярна информация за постигнатите физически резултати и приноса им към постигане на целите на оперативната програма; да предоставя навременни данни за финансовия напредък по схеми, инвестиционни приоритети и на ниво програма. Също така  системата за мониторинг би могла да идентифицира системни грешки, т.е. наблюдава качеството на механизмите за управление.</w:t>
            </w:r>
          </w:p>
        </w:tc>
        <w:tc>
          <w:tcPr>
            <w:tcW w:w="3969" w:type="dxa"/>
          </w:tcPr>
          <w:p w:rsidR="00FE5FDD" w:rsidRPr="00355798" w:rsidRDefault="00FE5FDD" w:rsidP="00E054C6">
            <w:pPr>
              <w:spacing w:before="120" w:after="120"/>
              <w:rPr>
                <w:rFonts w:ascii="Verdana" w:hAnsi="Verdana"/>
                <w:sz w:val="20"/>
                <w:szCs w:val="20"/>
                <w:lang w:val="bg-BG"/>
              </w:rPr>
            </w:pPr>
            <w:r w:rsidRPr="00355798">
              <w:rPr>
                <w:rFonts w:ascii="Verdana" w:hAnsi="Verdana"/>
                <w:sz w:val="20"/>
                <w:szCs w:val="20"/>
                <w:lang w:val="bg-BG"/>
              </w:rPr>
              <w:t xml:space="preserve">Новата система за мониторинг следва да надгражда съществуващата система за мониторинг като запази добрите практики и образци и адресира идентифицираните слабости на системата. </w:t>
            </w:r>
          </w:p>
          <w:p w:rsidR="00FE5FDD" w:rsidRPr="00355798" w:rsidRDefault="00FE5FDD" w:rsidP="00A67A10">
            <w:pPr>
              <w:spacing w:before="120" w:after="120"/>
              <w:jc w:val="both"/>
              <w:rPr>
                <w:rFonts w:ascii="Verdana" w:hAnsi="Verdana"/>
                <w:sz w:val="20"/>
                <w:szCs w:val="20"/>
                <w:lang w:val="bg-BG"/>
              </w:rPr>
            </w:pPr>
            <w:r w:rsidRPr="00355798">
              <w:rPr>
                <w:rFonts w:ascii="Verdana" w:hAnsi="Verdana"/>
                <w:sz w:val="20"/>
                <w:szCs w:val="20"/>
                <w:lang w:val="bg-BG"/>
              </w:rPr>
              <w:t xml:space="preserve">Изграждане на система за събиране и агрегиране на </w:t>
            </w:r>
            <w:r w:rsidR="00D279AE">
              <w:rPr>
                <w:rFonts w:ascii="Verdana" w:hAnsi="Verdana"/>
                <w:sz w:val="20"/>
                <w:szCs w:val="20"/>
                <w:lang w:val="bg-BG"/>
              </w:rPr>
              <w:t xml:space="preserve">данни за </w:t>
            </w:r>
            <w:r w:rsidRPr="00355798">
              <w:rPr>
                <w:rFonts w:ascii="Verdana" w:hAnsi="Verdana"/>
                <w:sz w:val="20"/>
                <w:szCs w:val="20"/>
                <w:lang w:val="bg-BG"/>
              </w:rPr>
              <w:t>индикатори, в която са определени задачите и сроковете на всички нива на мониторинг (бенефициент, конкретен бенефициент, отдели в УО)</w:t>
            </w:r>
          </w:p>
        </w:tc>
      </w:tr>
    </w:tbl>
    <w:p w:rsidR="00FE5FDD" w:rsidRPr="00B45B4F" w:rsidRDefault="00FE5FDD" w:rsidP="00E3741C">
      <w:pPr>
        <w:spacing w:after="120"/>
        <w:jc w:val="both"/>
        <w:rPr>
          <w:rFonts w:ascii="Verdana" w:hAnsi="Verdana"/>
          <w:sz w:val="20"/>
          <w:szCs w:val="20"/>
          <w:lang w:val="bg-BG"/>
        </w:rPr>
      </w:pPr>
    </w:p>
    <w:p w:rsidR="009566C5" w:rsidRPr="00B45B4F" w:rsidRDefault="009566C5">
      <w:pPr>
        <w:ind w:left="-709"/>
        <w:jc w:val="center"/>
        <w:rPr>
          <w:rFonts w:ascii="Verdana" w:hAnsi="Verdana"/>
          <w:sz w:val="20"/>
          <w:szCs w:val="20"/>
          <w:lang w:val="bg-BG"/>
        </w:rPr>
        <w:sectPr w:rsidR="009566C5" w:rsidRPr="00B45B4F" w:rsidSect="00957212">
          <w:pgSz w:w="11907" w:h="16839" w:code="9"/>
          <w:pgMar w:top="2174" w:right="1440" w:bottom="1440" w:left="1440" w:header="720" w:footer="724" w:gutter="0"/>
          <w:cols w:space="720"/>
          <w:docGrid w:linePitch="360"/>
        </w:sectPr>
      </w:pPr>
    </w:p>
    <w:p w:rsidR="009566C5" w:rsidRPr="00B45B4F" w:rsidRDefault="009566C5" w:rsidP="00A52885">
      <w:pPr>
        <w:pStyle w:val="Heading1"/>
        <w:shd w:val="clear" w:color="auto" w:fill="0063B8"/>
        <w:tabs>
          <w:tab w:val="num" w:pos="720"/>
        </w:tabs>
        <w:spacing w:before="120" w:after="120" w:line="276" w:lineRule="auto"/>
        <w:ind w:left="720" w:hanging="720"/>
        <w:rPr>
          <w:rFonts w:ascii="Verdana" w:hAnsi="Verdana"/>
          <w:b w:val="0"/>
          <w:caps/>
          <w:lang w:val="bg-BG"/>
        </w:rPr>
        <w:sectPr w:rsidR="009566C5" w:rsidRPr="00B45B4F" w:rsidSect="00957212">
          <w:pgSz w:w="11907" w:h="16839" w:code="9"/>
          <w:pgMar w:top="2173" w:right="1440" w:bottom="1440" w:left="1440" w:header="720" w:footer="724" w:gutter="0"/>
          <w:cols w:space="720"/>
          <w:docGrid w:linePitch="360"/>
        </w:sectPr>
      </w:pPr>
      <w:bookmarkStart w:id="183" w:name="_Toc395612531"/>
      <w:r w:rsidRPr="00B45B4F">
        <w:rPr>
          <w:rFonts w:ascii="Verdana" w:hAnsi="Verdana"/>
          <w:b w:val="0"/>
          <w:caps/>
          <w:color w:val="FFFFFF"/>
          <w:lang w:val="bg-BG"/>
        </w:rPr>
        <w:lastRenderedPageBreak/>
        <w:t>V.</w:t>
      </w:r>
      <w:r w:rsidRPr="00B45B4F">
        <w:rPr>
          <w:rFonts w:ascii="Verdana" w:hAnsi="Verdana"/>
          <w:b w:val="0"/>
          <w:caps/>
          <w:color w:val="FFFFFF"/>
          <w:lang w:val="bg-BG"/>
        </w:rPr>
        <w:tab/>
        <w:t>Приложени</w:t>
      </w:r>
      <w:r w:rsidR="00A52885" w:rsidRPr="00B45B4F">
        <w:rPr>
          <w:rFonts w:ascii="Verdana" w:hAnsi="Verdana"/>
          <w:b w:val="0"/>
          <w:caps/>
          <w:color w:val="FFFFFF"/>
          <w:lang w:val="bg-BG"/>
        </w:rPr>
        <w:t>Я</w:t>
      </w:r>
      <w:bookmarkEnd w:id="183"/>
    </w:p>
    <w:p w:rsidR="009566C5" w:rsidRPr="00B45B4F" w:rsidRDefault="009566C5" w:rsidP="009566C5">
      <w:pPr>
        <w:pStyle w:val="Heading2"/>
        <w:shd w:val="clear" w:color="auto" w:fill="FFCC99"/>
        <w:spacing w:before="0" w:after="240"/>
        <w:rPr>
          <w:rFonts w:ascii="Verdana" w:hAnsi="Verdana"/>
          <w:i w:val="0"/>
          <w:iCs/>
          <w:color w:val="0063B8"/>
          <w:sz w:val="26"/>
          <w:szCs w:val="26"/>
          <w:lang w:val="bg-BG"/>
        </w:rPr>
      </w:pPr>
      <w:bookmarkStart w:id="184" w:name="_Toc395612532"/>
      <w:r w:rsidRPr="00B45B4F">
        <w:rPr>
          <w:rFonts w:ascii="Verdana" w:hAnsi="Verdana"/>
          <w:i w:val="0"/>
          <w:iCs/>
          <w:color w:val="0063B8"/>
          <w:sz w:val="26"/>
          <w:szCs w:val="26"/>
          <w:lang w:val="bg-BG"/>
        </w:rPr>
        <w:lastRenderedPageBreak/>
        <w:t xml:space="preserve">Приложение 1: Списък на </w:t>
      </w:r>
      <w:r w:rsidR="00EC0769" w:rsidRPr="00B45B4F">
        <w:rPr>
          <w:rFonts w:ascii="Verdana" w:hAnsi="Verdana"/>
          <w:i w:val="0"/>
          <w:iCs/>
          <w:color w:val="0063B8"/>
          <w:sz w:val="26"/>
          <w:szCs w:val="26"/>
          <w:lang w:val="bg-BG"/>
        </w:rPr>
        <w:t>използваните документи</w:t>
      </w:r>
      <w:bookmarkEnd w:id="184"/>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Работна версия на ОП „Наука и образование за интелигентен растеж" -</w:t>
      </w:r>
      <w:hyperlink r:id="rId64" w:history="1">
        <w:r w:rsidRPr="00B45B4F">
          <w:rPr>
            <w:rStyle w:val="Hyperlink"/>
            <w:rFonts w:ascii="Verdana" w:hAnsi="Verdana"/>
            <w:sz w:val="20"/>
            <w:szCs w:val="20"/>
            <w:lang w:val="bg-BG"/>
          </w:rPr>
          <w:t>http://www.eufunds.bg/bg/page/985</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Стратегия на ЕС за интелигентен, устойчив и приобщаващ растеж – Европа 2020 -</w:t>
      </w:r>
      <w:hyperlink r:id="rId65" w:history="1">
        <w:r w:rsidRPr="00B45B4F">
          <w:rPr>
            <w:rStyle w:val="Hyperlink"/>
            <w:rFonts w:ascii="Verdana" w:hAnsi="Verdana"/>
            <w:sz w:val="20"/>
            <w:szCs w:val="20"/>
            <w:lang w:val="bg-BG"/>
          </w:rPr>
          <w:t xml:space="preserve">http://ec.europa.eu/europe2020/europe-2020-in-a-nutshell/flagship-initiatives/index_bg.htm </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Водеща инициатива „Съюз за иновации“ - </w:t>
      </w:r>
      <w:hyperlink r:id="rId66" w:history="1">
        <w:r w:rsidRPr="00B45B4F">
          <w:rPr>
            <w:rStyle w:val="Hyperlink"/>
            <w:rFonts w:ascii="Verdana" w:hAnsi="Verdana"/>
            <w:sz w:val="20"/>
            <w:szCs w:val="20"/>
            <w:lang w:val="bg-BG"/>
          </w:rPr>
          <w:t>http://eur-lex.europa.eu/LexUriServ/LexUriServ.do?uri=COM:2010:0546:FIN:BG:PDF</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Водеща инициатива „Младеж в движение“- </w:t>
      </w:r>
      <w:hyperlink r:id="rId67" w:history="1">
        <w:r w:rsidRPr="00B45B4F">
          <w:rPr>
            <w:rStyle w:val="Hyperlink"/>
            <w:rFonts w:ascii="Verdana" w:hAnsi="Verdana"/>
            <w:sz w:val="20"/>
            <w:szCs w:val="20"/>
            <w:lang w:val="bg-BG"/>
          </w:rPr>
          <w:t>http://ec.europa.eu/social/main.jsp?langId=bg&amp;catId=950</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„Индустриална политика за ерата на глобализацията“ - </w:t>
      </w:r>
      <w:hyperlink r:id="rId68" w:history="1">
        <w:r w:rsidRPr="00B45B4F">
          <w:rPr>
            <w:rStyle w:val="Hyperlink"/>
            <w:rFonts w:ascii="Verdana" w:hAnsi="Verdana"/>
            <w:sz w:val="20"/>
            <w:szCs w:val="20"/>
            <w:lang w:val="bg-BG"/>
          </w:rPr>
          <w:t>http://ec.europa.eu/enterprise/policies/industrial-competitiveness/industrial-policy/files/communication_on_industrial_policy_en.pdf</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„Програма за нови умения и работни места“ - </w:t>
      </w:r>
      <w:hyperlink r:id="rId69" w:history="1">
        <w:r w:rsidRPr="00B45B4F">
          <w:rPr>
            <w:rStyle w:val="Hyperlink"/>
            <w:rFonts w:ascii="Verdana" w:hAnsi="Verdana"/>
            <w:sz w:val="20"/>
            <w:szCs w:val="20"/>
            <w:lang w:val="bg-BG"/>
          </w:rPr>
          <w:t>http://eur-lex.europa.eu/LexUriServ/LexUriServ.do?uri=COM:2010:0682:FIN:BG:PDF</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„Програма в областта на цифровите технологии за Европа“ - </w:t>
      </w:r>
      <w:hyperlink r:id="rId70" w:history="1">
        <w:r w:rsidRPr="00B45B4F">
          <w:rPr>
            <w:rStyle w:val="Hyperlink"/>
            <w:rFonts w:ascii="Verdana" w:hAnsi="Verdana"/>
            <w:sz w:val="20"/>
            <w:szCs w:val="20"/>
            <w:lang w:val="bg-BG"/>
          </w:rPr>
          <w:t>http://ec.europa.eu/digital-agenda/</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„Европа за ефективно използване на ресурсите“ -</w:t>
      </w:r>
      <w:hyperlink r:id="rId71" w:history="1">
        <w:r w:rsidRPr="00B45B4F">
          <w:rPr>
            <w:rStyle w:val="Hyperlink"/>
            <w:rFonts w:ascii="Verdana" w:hAnsi="Verdana"/>
            <w:sz w:val="20"/>
            <w:szCs w:val="20"/>
            <w:lang w:val="bg-BG"/>
          </w:rPr>
          <w:t>http://eur-lex.europa.eu/LexUriServ/LexUriServ.do?uri=COM:2011:0021:FIN:BG:PDF</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Комюнике от Букурещ на министрите, отговорни за висшето образование: Да използваме потенциала си по най-добрия възможен начин – консолидиране на Европейското пространство за висше образование (2012 г.) - </w:t>
      </w:r>
      <w:hyperlink r:id="rId72" w:history="1">
        <w:r w:rsidRPr="00B45B4F">
          <w:rPr>
            <w:rStyle w:val="Hyperlink"/>
            <w:rFonts w:ascii="Verdana" w:hAnsi="Verdana"/>
            <w:sz w:val="20"/>
            <w:szCs w:val="20"/>
            <w:lang w:val="bg-BG"/>
          </w:rPr>
          <w:t>http://mail.nacid.bg/newdesign/bg_eu/index.php?id=81</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lang w:val="bg-BG"/>
        </w:rPr>
      </w:pPr>
      <w:r w:rsidRPr="00B45B4F">
        <w:rPr>
          <w:rFonts w:ascii="Verdana" w:hAnsi="Verdana"/>
          <w:sz w:val="20"/>
          <w:szCs w:val="20"/>
          <w:lang w:val="bg-BG"/>
        </w:rPr>
        <w:t>Стратегия за мобилност 2020 за Европейското пространство за висше образование (2012 г.)</w:t>
      </w:r>
      <w:r w:rsidRPr="00B45B4F">
        <w:rPr>
          <w:rFonts w:ascii="Verdana" w:hAnsi="Verdana"/>
          <w:sz w:val="20"/>
          <w:szCs w:val="20"/>
          <w:lang w:val="bg-BG"/>
        </w:rPr>
        <w:tab/>
      </w:r>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Изявление на Третия форум на Болонската политика:  за висше образование (2012 г.) - </w:t>
      </w:r>
      <w:hyperlink r:id="rId73" w:history="1">
        <w:r w:rsidRPr="00B45B4F">
          <w:rPr>
            <w:rStyle w:val="Hyperlink"/>
            <w:rFonts w:ascii="Verdana" w:hAnsi="Verdana"/>
            <w:sz w:val="20"/>
            <w:szCs w:val="20"/>
            <w:lang w:val="bg-BG"/>
          </w:rPr>
          <w:t>http://89.252.196.196/top_menu/higher/info/</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Съобщение от Комисията до Европейския парламент, до Съвета, до Европейския икономически и социален комитет и до Комитета на регионите: В подкрепа на растежа и създаването на работни места – програма за модернизиране на системите за висше образование в Европа (2011 г.) - </w:t>
      </w:r>
      <w:hyperlink r:id="rId74" w:history="1">
        <w:r w:rsidRPr="00B45B4F">
          <w:rPr>
            <w:rStyle w:val="Hyperlink"/>
            <w:rFonts w:ascii="Verdana" w:hAnsi="Verdana"/>
            <w:sz w:val="20"/>
            <w:szCs w:val="20"/>
            <w:lang w:val="bg-BG"/>
          </w:rPr>
          <w:t>http://eur-lex.europa.eu/LexUriServ/LexUriServ.do?uri=COM:2011:0567:FIN:BG:PDF</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Стратегията на ЕС за Дунавския регион -</w:t>
      </w:r>
      <w:hyperlink r:id="rId75" w:history="1">
        <w:r w:rsidRPr="00B45B4F">
          <w:rPr>
            <w:rStyle w:val="Hyperlink"/>
            <w:rFonts w:ascii="Verdana" w:hAnsi="Verdana"/>
            <w:sz w:val="20"/>
            <w:szCs w:val="20"/>
            <w:lang w:val="bg-BG"/>
          </w:rPr>
          <w:t>http://www.strategy.bg/Publications/View.aspx?lang=bg-BG&amp;categoryId=&amp;Id=139&amp;y=&amp;m=&amp;d</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„Комюнике от Брюж относно засилването на европейското сътрудничество в областта на професионалното образование и обучение за периода 2011—2020 г. - </w:t>
      </w:r>
      <w:hyperlink r:id="rId76" w:history="1">
        <w:r w:rsidRPr="00B45B4F">
          <w:rPr>
            <w:rStyle w:val="Hyperlink"/>
            <w:rFonts w:ascii="Verdana" w:hAnsi="Verdana"/>
            <w:sz w:val="20"/>
            <w:szCs w:val="20"/>
            <w:lang w:val="bg-BG"/>
          </w:rPr>
          <w:t>http://ec.europa.eu/education/policy/vocational-policy/doc/brugescom_bg.pdf</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Съобщение от Комисията до Европейския парламент, до Съвета, до Европейския икономически и социален комитет и до Комитета на регионите: Нов импулс за европейското сътрудничество в професионалното образование и обучение за подкрепа на стратегията „Европа 2020” - </w:t>
      </w:r>
      <w:hyperlink r:id="rId77" w:history="1">
        <w:r w:rsidRPr="00B45B4F">
          <w:rPr>
            <w:rStyle w:val="Hyperlink"/>
            <w:rFonts w:ascii="Verdana" w:hAnsi="Verdana"/>
            <w:sz w:val="20"/>
            <w:szCs w:val="20"/>
            <w:lang w:val="bg-BG"/>
          </w:rPr>
          <w:t>http://mail.nacid.bg/newdesign/bg_eu/index.php?id=82</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Националната квалификационна рамка на Република България -</w:t>
      </w:r>
      <w:hyperlink r:id="rId78" w:history="1">
        <w:r w:rsidRPr="00B45B4F">
          <w:rPr>
            <w:rStyle w:val="Hyperlink"/>
            <w:rFonts w:ascii="Verdana" w:hAnsi="Verdana"/>
            <w:sz w:val="20"/>
            <w:szCs w:val="20"/>
            <w:lang w:val="bg-BG"/>
          </w:rPr>
          <w:t>http://www.strategy.bg/StrategicDocuments/View.aspx?lang=bg-BG&amp;Id=719</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lastRenderedPageBreak/>
        <w:t>СЪОБЩЕНИЕ ОТ КОМИСИЯТА ДО ЕВРОПЕЙСКИЯ ПАРЛАМЕНТ, ДО СЪВЕТА, ДО ЕВРОПЕЙСКИЯ ИКОНОМИЧЕСКИ И СОЦИАЛЕН КОМИТЕТ И ДО КОМИТЕТА НА РЕГИОНИТЕ „Хоризонт 2020“ — Рамкова програма за научни изследвания и иновации -</w:t>
      </w:r>
      <w:hyperlink r:id="rId79" w:history="1">
        <w:r w:rsidRPr="00B45B4F">
          <w:rPr>
            <w:rStyle w:val="Hyperlink"/>
            <w:rFonts w:ascii="Verdana" w:hAnsi="Verdana"/>
            <w:sz w:val="20"/>
            <w:szCs w:val="20"/>
            <w:lang w:val="bg-BG"/>
          </w:rPr>
          <w:t>http://mail.nacid.bg/newdesign/bg_eu/att_files/suobshtenie_BG.pdf</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ЕРАЗЪМ ЗА ВСИЧКИ (2014—2020 г.) </w:t>
      </w:r>
      <w:hyperlink r:id="rId80" w:history="1">
        <w:r w:rsidRPr="00B45B4F">
          <w:rPr>
            <w:rStyle w:val="Hyperlink"/>
            <w:rFonts w:ascii="Verdana" w:hAnsi="Verdana"/>
            <w:sz w:val="20"/>
            <w:szCs w:val="20"/>
            <w:lang w:val="bg-BG"/>
          </w:rPr>
          <w:t>http://www.europarl.europa.eu/RegData/etudes/note/join/2012/474543/IPOL-CULT_NT(2012)474543(SUM01)_BG.pdf</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Препоръка на Комисията от 20.02.2013 г. „Инвестициите в децата: прекъсване цикъла на неравностойното положение“ - </w:t>
      </w:r>
      <w:hyperlink r:id="rId81" w:history="1">
        <w:r w:rsidRPr="00B45B4F">
          <w:rPr>
            <w:rStyle w:val="Hyperlink"/>
            <w:rFonts w:ascii="Verdana" w:hAnsi="Verdana"/>
            <w:sz w:val="20"/>
            <w:szCs w:val="20"/>
            <w:lang w:val="bg-BG"/>
          </w:rPr>
          <w:t>http://ec.europa.eu/justice/fundamental-rights/files/c_2013_778_en.pdf</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Национална програма за развитие „България 2020“ - </w:t>
      </w:r>
      <w:hyperlink r:id="rId82" w:history="1">
        <w:r w:rsidRPr="00B45B4F">
          <w:rPr>
            <w:rStyle w:val="Hyperlink"/>
            <w:rFonts w:ascii="Verdana" w:hAnsi="Verdana"/>
            <w:sz w:val="20"/>
            <w:szCs w:val="20"/>
            <w:lang w:val="bg-BG"/>
          </w:rPr>
          <w:t>http://www.strategy.bg/StrategicDocuments/View.aspx?lang=bg-BG&amp;Id=765</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Национална програма за реформи на Република България (2012-2015) в изпълнение на стратегията „Европа 2020“. Актуализация 2013 г. -</w:t>
      </w:r>
      <w:hyperlink r:id="rId83" w:history="1">
        <w:r w:rsidRPr="00B45B4F">
          <w:rPr>
            <w:rStyle w:val="Hyperlink"/>
            <w:rFonts w:ascii="Verdana" w:hAnsi="Verdana"/>
            <w:sz w:val="20"/>
            <w:szCs w:val="20"/>
            <w:lang w:val="bg-BG"/>
          </w:rPr>
          <w:t>http://www.strategy.bg/StrategicDocuments/View.aspx?lang=bg-BG&amp;Id=762</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Конвергентна програма на Република България (2012 – 2015 г.) - </w:t>
      </w:r>
      <w:hyperlink r:id="rId84" w:history="1">
        <w:r w:rsidRPr="00B45B4F">
          <w:rPr>
            <w:rStyle w:val="Hyperlink"/>
            <w:rFonts w:ascii="Verdana" w:hAnsi="Verdana"/>
            <w:sz w:val="20"/>
            <w:szCs w:val="20"/>
            <w:lang w:val="bg-BG"/>
          </w:rPr>
          <w:t>http://www.strategy.bg/StrategicDocuments/View.aspx?lang=bg-BG&amp;Id=755</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Национална стратегия за развитие на научните изследвания 2020 - </w:t>
      </w:r>
      <w:hyperlink r:id="rId85" w:history="1">
        <w:r w:rsidRPr="00B45B4F">
          <w:rPr>
            <w:rStyle w:val="Hyperlink"/>
            <w:rFonts w:ascii="Verdana" w:hAnsi="Verdana"/>
            <w:sz w:val="20"/>
            <w:szCs w:val="20"/>
            <w:lang w:val="bg-BG"/>
          </w:rPr>
          <w:t>http://www.strategy.bg/PublicConsultations/View.aspx?@lang=bg-BG&amp;Id=278</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Национална стратегия за учене през целия живот за периода 2008 – 2013 г. - </w:t>
      </w:r>
      <w:hyperlink r:id="rId86" w:history="1">
        <w:r w:rsidRPr="00B45B4F">
          <w:rPr>
            <w:rStyle w:val="Hyperlink"/>
            <w:rFonts w:ascii="Verdana" w:hAnsi="Verdana"/>
            <w:sz w:val="20"/>
            <w:szCs w:val="20"/>
            <w:lang w:val="bg-BG"/>
          </w:rPr>
          <w:t>http://www.strategy.bg/StrategicDocuments/View.aspx?lang=bg-BG&amp;Id=476</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Национална стратегия за учене през целия живот </w:t>
      </w:r>
      <w:r w:rsidR="005106CE" w:rsidRPr="00B45B4F">
        <w:rPr>
          <w:rFonts w:ascii="Verdana" w:hAnsi="Verdana"/>
          <w:sz w:val="20"/>
          <w:szCs w:val="20"/>
          <w:lang w:val="bg-BG"/>
        </w:rPr>
        <w:t>2014–2020</w:t>
      </w:r>
      <w:r w:rsidRPr="00B45B4F">
        <w:rPr>
          <w:rFonts w:ascii="Verdana" w:hAnsi="Verdana"/>
          <w:sz w:val="20"/>
          <w:szCs w:val="20"/>
          <w:lang w:val="bg-BG"/>
        </w:rPr>
        <w:t xml:space="preserve"> г. - </w:t>
      </w:r>
      <w:hyperlink r:id="rId87" w:history="1">
        <w:r w:rsidRPr="00B45B4F">
          <w:rPr>
            <w:rStyle w:val="Hyperlink"/>
            <w:rFonts w:ascii="Verdana" w:hAnsi="Verdana"/>
            <w:sz w:val="20"/>
            <w:szCs w:val="20"/>
            <w:lang w:val="bg-BG"/>
          </w:rPr>
          <w:t>http://www.strategy.bg/StrategicDocuments/View.aspx?lang=bg-BG&amp;Id=880</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Национална програма за развитие на училищното образова-ние и предучилищното възпитание и подготовка 2006 – 2015 г. - </w:t>
      </w:r>
      <w:hyperlink r:id="rId88" w:history="1">
        <w:r w:rsidRPr="00B45B4F">
          <w:rPr>
            <w:rStyle w:val="Hyperlink"/>
            <w:rFonts w:ascii="Verdana" w:hAnsi="Verdana"/>
            <w:sz w:val="20"/>
            <w:szCs w:val="20"/>
            <w:lang w:val="bg-BG"/>
          </w:rPr>
          <w:t>http://www.strategy.bg/StrategicDocuments/View.aspx?lang=bg-BG&amp;Id=393</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Национална стратегия за младежта 2010 – 2020 - </w:t>
      </w:r>
      <w:hyperlink r:id="rId89" w:history="1">
        <w:r w:rsidRPr="00B45B4F">
          <w:rPr>
            <w:rStyle w:val="Hyperlink"/>
            <w:rFonts w:ascii="Verdana" w:hAnsi="Verdana"/>
            <w:sz w:val="20"/>
            <w:szCs w:val="20"/>
            <w:lang w:val="bg-BG"/>
          </w:rPr>
          <w:t>http://www.strategy.bg/StrategicDocuments/View.aspx?lang=bg-BG&amp;Id=641</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Национална пътна карта за научна инфраструктура - </w:t>
      </w:r>
      <w:hyperlink r:id="rId90" w:history="1">
        <w:r w:rsidRPr="00B45B4F">
          <w:rPr>
            <w:rStyle w:val="Hyperlink"/>
            <w:rFonts w:ascii="Verdana" w:hAnsi="Verdana"/>
            <w:sz w:val="20"/>
            <w:szCs w:val="20"/>
            <w:lang w:val="bg-BG"/>
          </w:rPr>
          <w:t>http://www.strategy.bg/StrategicDocuments/View.aspx?lang=bg-BG&amp;Id=624</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Стратегия за образователна интеграция на децата и учениците от етническите малцинства до 2004-2015 г. - </w:t>
      </w:r>
      <w:hyperlink r:id="rId91" w:history="1">
        <w:r w:rsidRPr="00B45B4F">
          <w:rPr>
            <w:rStyle w:val="Hyperlink"/>
            <w:rFonts w:ascii="Verdana" w:hAnsi="Verdana"/>
            <w:sz w:val="20"/>
            <w:szCs w:val="20"/>
            <w:lang w:val="bg-BG"/>
          </w:rPr>
          <w:t>http://www.strategy.bg/StrategicDocuments/View.aspx?lang=bg-BG&amp;Id=396</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Национална стратегия на Република България за интегриране на ромите (2012-2020) - </w:t>
      </w:r>
      <w:hyperlink r:id="rId92" w:history="1">
        <w:r w:rsidRPr="00B45B4F">
          <w:rPr>
            <w:rStyle w:val="Hyperlink"/>
            <w:rFonts w:ascii="Verdana" w:hAnsi="Verdana"/>
            <w:sz w:val="20"/>
            <w:szCs w:val="20"/>
            <w:lang w:val="bg-BG"/>
          </w:rPr>
          <w:t>http://www.strategy.bg/StrategicDocuments/View.aspx?lang=bg-BG&amp;Id=726</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Рамкова програма за интегриране на ромите в българското общество (2010 – 2020 г.) - </w:t>
      </w:r>
      <w:hyperlink r:id="rId93" w:history="1">
        <w:r w:rsidRPr="00B45B4F">
          <w:rPr>
            <w:rStyle w:val="Hyperlink"/>
            <w:rFonts w:ascii="Verdana" w:hAnsi="Verdana"/>
            <w:sz w:val="20"/>
            <w:szCs w:val="20"/>
            <w:lang w:val="bg-BG"/>
          </w:rPr>
          <w:t>http://www.strategy.bg/StrategicDocuments/View.aspx?lang=bg-BG&amp;Id=609</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Национален план за действие по инициативата „Десетилетие на ромското включване 2005 – 2015 г.” - </w:t>
      </w:r>
      <w:hyperlink r:id="rId94" w:history="1">
        <w:r w:rsidRPr="00B45B4F">
          <w:rPr>
            <w:rStyle w:val="Hyperlink"/>
            <w:rFonts w:ascii="Verdana" w:hAnsi="Verdana"/>
            <w:sz w:val="20"/>
            <w:szCs w:val="20"/>
            <w:lang w:val="bg-BG"/>
          </w:rPr>
          <w:t>http://www.strategy.bg/StrategicDocuments/View.aspx?lang=bg-BG&amp;Id=569</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Национална стратегия за насърчаване на равнопоставеността на половете за периода 2009 – 2015 г. - </w:t>
      </w:r>
      <w:hyperlink r:id="rId95" w:history="1">
        <w:r w:rsidRPr="00B45B4F">
          <w:rPr>
            <w:rStyle w:val="Hyperlink"/>
            <w:rFonts w:ascii="Verdana" w:hAnsi="Verdana"/>
            <w:sz w:val="20"/>
            <w:szCs w:val="20"/>
            <w:lang w:val="bg-BG"/>
          </w:rPr>
          <w:t>http://www.strategy.bg/StrategicDocuments/View.aspx?lang=bg-BG&amp;Id=482</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lastRenderedPageBreak/>
        <w:t xml:space="preserve">Актуализирана национална стратегия за демографско развитие на Република България - </w:t>
      </w:r>
      <w:hyperlink r:id="rId96" w:history="1">
        <w:r w:rsidRPr="00B45B4F">
          <w:rPr>
            <w:rStyle w:val="Hyperlink"/>
            <w:rFonts w:ascii="Verdana" w:hAnsi="Verdana"/>
            <w:sz w:val="20"/>
            <w:szCs w:val="20"/>
            <w:lang w:val="bg-BG"/>
          </w:rPr>
          <w:t>http://www.strategy.bg/StrategicDocuments/View.aspx?lang=bg-BG&amp;Id=778</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Стратегия за осигуряване на равни възможности на хората с увреждания 2008-2015 г. - </w:t>
      </w:r>
      <w:hyperlink r:id="rId97" w:history="1">
        <w:r w:rsidRPr="00B45B4F">
          <w:rPr>
            <w:rStyle w:val="Hyperlink"/>
            <w:rFonts w:ascii="Verdana" w:hAnsi="Verdana"/>
            <w:sz w:val="20"/>
            <w:szCs w:val="20"/>
            <w:lang w:val="bg-BG"/>
          </w:rPr>
          <w:t>http://www.strategy.bg/StrategicDocuments/View.aspx?lang=bg-BG&amp;Id=445</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Национална стратегия за регионално развитие на Република България - </w:t>
      </w:r>
      <w:hyperlink r:id="rId98" w:history="1">
        <w:r w:rsidRPr="00B45B4F">
          <w:rPr>
            <w:rStyle w:val="Hyperlink"/>
            <w:rFonts w:ascii="Verdana" w:hAnsi="Verdana"/>
            <w:sz w:val="20"/>
            <w:szCs w:val="20"/>
            <w:lang w:val="bg-BG"/>
          </w:rPr>
          <w:t>http://www.strategy.bg/StrategicDocuments/View.aspx?lang=bg-BG&amp;Id=657</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Национална стратегия за детето 2008-2018 - </w:t>
      </w:r>
      <w:hyperlink r:id="rId99" w:history="1">
        <w:r w:rsidRPr="00B45B4F">
          <w:rPr>
            <w:rStyle w:val="Hyperlink"/>
            <w:rFonts w:ascii="Verdana" w:hAnsi="Verdana"/>
            <w:sz w:val="20"/>
            <w:szCs w:val="20"/>
            <w:lang w:val="bg-BG"/>
          </w:rPr>
          <w:t>http://www.strategy.bg/StrategicDocuments/View.aspx?lang=bg-BG&amp;Id=464</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Националната стратегия „Визия за деинституционализация на децата в Република България“ - </w:t>
      </w:r>
      <w:hyperlink r:id="rId100" w:history="1">
        <w:r w:rsidRPr="00B45B4F">
          <w:rPr>
            <w:rStyle w:val="Hyperlink"/>
            <w:rFonts w:ascii="Verdana" w:hAnsi="Verdana"/>
            <w:sz w:val="20"/>
            <w:szCs w:val="20"/>
            <w:lang w:val="bg-BG"/>
          </w:rPr>
          <w:t>http://www.strategy.bg/StrategicDocuments/View.aspx?lang=bg-BG&amp;Id=601</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Националната програма за гарантиране правата на децата с увреждания 2010-2013 г. - </w:t>
      </w:r>
      <w:hyperlink r:id="rId101" w:history="1">
        <w:r w:rsidRPr="00B45B4F">
          <w:rPr>
            <w:rStyle w:val="Hyperlink"/>
            <w:rFonts w:ascii="Verdana" w:hAnsi="Verdana"/>
            <w:sz w:val="20"/>
            <w:szCs w:val="20"/>
            <w:lang w:val="bg-BG"/>
          </w:rPr>
          <w:t>http://www.strategy.bg/StrategicDocuments/View.aspx?lang=bg-BG&amp;Id=657</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Концепция за държавна политика в областта на правосъдието за детето - </w:t>
      </w:r>
      <w:hyperlink r:id="rId102" w:history="1">
        <w:r w:rsidRPr="00B45B4F">
          <w:rPr>
            <w:rStyle w:val="Hyperlink"/>
            <w:rFonts w:ascii="Verdana" w:hAnsi="Verdana"/>
            <w:sz w:val="20"/>
            <w:szCs w:val="20"/>
            <w:lang w:val="bg-BG"/>
          </w:rPr>
          <w:t>http://www.strategy.bg/Publications/View.aspx?lang=bg-BG&amp;Id=117</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Проект на Национална стратегия за развитие на педагогическите кадри - </w:t>
      </w:r>
      <w:hyperlink r:id="rId103" w:history="1">
        <w:r w:rsidRPr="00B45B4F">
          <w:rPr>
            <w:rStyle w:val="Hyperlink"/>
            <w:rFonts w:ascii="Verdana" w:hAnsi="Verdana"/>
            <w:sz w:val="20"/>
            <w:szCs w:val="20"/>
            <w:lang w:val="bg-BG"/>
          </w:rPr>
          <w:t>http://www.mon.bg/?h=downloadFile&amp;fileId=3419</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Иновационна стратегия за интелигентна специализация - </w:t>
      </w:r>
      <w:hyperlink r:id="rId104" w:history="1">
        <w:r w:rsidRPr="00B45B4F">
          <w:rPr>
            <w:rStyle w:val="Hyperlink"/>
            <w:rFonts w:ascii="Verdana" w:hAnsi="Verdana"/>
            <w:sz w:val="20"/>
            <w:szCs w:val="20"/>
            <w:lang w:val="bg-BG"/>
          </w:rPr>
          <w:t>http://www.strategy.bg/PublicConsultations/View.aspx?lang=bg-BG&amp;Id=1085</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Стратегия за превенция и намаляване на дела на отпадащите и преждевременно напусналите образователната система 2013-2020 г. - </w:t>
      </w:r>
      <w:hyperlink r:id="rId105" w:history="1">
        <w:r w:rsidRPr="00B45B4F">
          <w:rPr>
            <w:rStyle w:val="Hyperlink"/>
            <w:rFonts w:ascii="Verdana" w:hAnsi="Verdana" w:cs="Arial"/>
            <w:color w:val="0000CC"/>
            <w:sz w:val="20"/>
            <w:szCs w:val="20"/>
            <w:lang w:val="bg-BG"/>
          </w:rPr>
          <w:t>http://www.strategy.bg/FileHandler.ashx?fileId=3302</w:t>
        </w:r>
      </w:hyperlink>
      <w:r w:rsidRPr="00B45B4F">
        <w:rPr>
          <w:rFonts w:ascii="Verdana" w:hAnsi="Verdana" w:cs="Arial"/>
          <w:color w:val="000000"/>
          <w:sz w:val="20"/>
          <w:szCs w:val="20"/>
          <w:lang w:val="bg-BG"/>
        </w:rPr>
        <w:t>.</w:t>
      </w:r>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Проект на Стратегия за ефективно прилагане на информационни и комуникационни технологии в образованието и науката на Република България (</w:t>
      </w:r>
      <w:r w:rsidR="005106CE" w:rsidRPr="00B45B4F">
        <w:rPr>
          <w:rFonts w:ascii="Verdana" w:hAnsi="Verdana"/>
          <w:sz w:val="20"/>
          <w:szCs w:val="20"/>
          <w:lang w:val="bg-BG"/>
        </w:rPr>
        <w:t>2014–2020</w:t>
      </w:r>
      <w:r w:rsidRPr="00B45B4F">
        <w:rPr>
          <w:rFonts w:ascii="Verdana" w:hAnsi="Verdana"/>
          <w:sz w:val="20"/>
          <w:szCs w:val="20"/>
          <w:lang w:val="bg-BG"/>
        </w:rPr>
        <w:t xml:space="preserve"> г.) - </w:t>
      </w:r>
      <w:hyperlink r:id="rId106" w:history="1">
        <w:r w:rsidRPr="00B45B4F">
          <w:rPr>
            <w:rStyle w:val="Hyperlink"/>
            <w:rFonts w:ascii="Verdana" w:hAnsi="Verdana"/>
            <w:sz w:val="20"/>
            <w:szCs w:val="20"/>
            <w:lang w:val="bg-BG"/>
          </w:rPr>
          <w:t>http://www.strategy.bg/PublicConsultations/View.aspx?lang=bg-BG&amp;Id=1185</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 </w:t>
      </w:r>
      <w:hyperlink r:id="rId107" w:history="1">
        <w:r w:rsidRPr="00B45B4F">
          <w:rPr>
            <w:rStyle w:val="Hyperlink"/>
            <w:rFonts w:ascii="Verdana" w:hAnsi="Verdana"/>
            <w:sz w:val="20"/>
            <w:szCs w:val="20"/>
            <w:lang w:val="bg-BG"/>
          </w:rPr>
          <w:t>http://www.eufunds.bg/bg/page/65</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РЕГЛАМЕНТ (ЕС) № 1301/2013 НА ЕВРОПЕЙСКИЯ ПАРЛАМЕНТ И НА СЪВЕТА от 17 декември 2013 година относно Европейския фонд за регионално развитие и специални разпоредби по отношение на целта „Инвестиции за растеж и работни места“ и за отмяна на Регламент (EО) № 1080/2006 - </w:t>
      </w:r>
      <w:hyperlink r:id="rId108" w:history="1">
        <w:r w:rsidRPr="00B45B4F">
          <w:rPr>
            <w:rStyle w:val="Hyperlink"/>
            <w:rFonts w:ascii="Verdana" w:hAnsi="Verdana"/>
            <w:sz w:val="20"/>
            <w:szCs w:val="20"/>
            <w:lang w:val="bg-BG"/>
          </w:rPr>
          <w:t>http://www.eufunds.bg/bg/page/65</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РЕГЛАМЕНТ (ЕС) № 1304/2013 НА ЕВРОПЕЙСКИЯ ПАРЛАМЕНТ И НА СЪВЕТА от 17 декември 2013 г. относно Европейския социален фонд и за отмяна на Регламент (ЕО) № 1081/2006 на Съвета - </w:t>
      </w:r>
      <w:hyperlink r:id="rId109" w:history="1">
        <w:r w:rsidRPr="00B45B4F">
          <w:rPr>
            <w:rStyle w:val="Hyperlink"/>
            <w:rFonts w:ascii="Verdana" w:hAnsi="Verdana"/>
            <w:sz w:val="20"/>
            <w:szCs w:val="20"/>
            <w:lang w:val="bg-BG"/>
          </w:rPr>
          <w:t>http://www.eufunds.bg/bg/page/65</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lastRenderedPageBreak/>
        <w:t xml:space="preserve">РЕГЛАМЕНТ (ЕС) № 1302/2013 НА ЕВРОПЕЙСКИЯ ПАРЛАМЕНТ И НА СЪВЕТА от 17 декември 2013 година за изменение на Регламент (ЕО) № 1082/2006 относно Европейската група за териториално сътрудничество (ЕГТС) с цел по-голяма яснота, опростяване и усъвършенстване на процеса на създаване и функциониране на такива групи - </w:t>
      </w:r>
      <w:hyperlink r:id="rId110" w:history="1">
        <w:r w:rsidRPr="00B45B4F">
          <w:rPr>
            <w:rStyle w:val="Hyperlink"/>
            <w:rFonts w:ascii="Verdana" w:hAnsi="Verdana"/>
            <w:sz w:val="20"/>
            <w:szCs w:val="20"/>
            <w:lang w:val="bg-BG"/>
          </w:rPr>
          <w:t>http://www.eufunds.bg/bg/page/65</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РЕГЛАМЕНТ (ЕС) № 1300/2013 НА ЕВРОПЕЙСКИЯ ПАРЛАМЕНТ И НА СЪВЕТА от 17 декември 2013 година относно Кохезионния фонд и за отмяна на Регламент (EO) № 1084/2006 - </w:t>
      </w:r>
      <w:hyperlink r:id="rId111" w:history="1">
        <w:r w:rsidRPr="00B45B4F">
          <w:rPr>
            <w:rStyle w:val="Hyperlink"/>
            <w:rFonts w:ascii="Verdana" w:hAnsi="Verdana"/>
            <w:sz w:val="20"/>
            <w:szCs w:val="20"/>
            <w:lang w:val="bg-BG"/>
          </w:rPr>
          <w:t>http://www.eufunds.bg/bg/page/65</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РЕГЛАМЕНТ (EC) 1299/2013 НА ЕВРОПЕЙСКИЯ ПАРЛАМЕНТ И НА СЪВЕТА от 17 декември 2013 г. относно специални разпоредби за подкрепа от Европейския фонд за регионално развитие по цел „Европейско териториално сътрудничество“ - </w:t>
      </w:r>
      <w:hyperlink r:id="rId112" w:history="1">
        <w:r w:rsidRPr="00B45B4F">
          <w:rPr>
            <w:rStyle w:val="Hyperlink"/>
            <w:rFonts w:ascii="Verdana" w:hAnsi="Verdana"/>
            <w:sz w:val="20"/>
            <w:szCs w:val="20"/>
            <w:lang w:val="bg-BG"/>
          </w:rPr>
          <w:t>http://www.eufunds.bg/bg/page/65</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Закон за народната просвета - </w:t>
      </w:r>
      <w:hyperlink r:id="rId113" w:history="1">
        <w:r w:rsidRPr="00B45B4F">
          <w:rPr>
            <w:rStyle w:val="Hyperlink"/>
            <w:rFonts w:ascii="Verdana" w:hAnsi="Verdana"/>
            <w:sz w:val="20"/>
            <w:szCs w:val="20"/>
            <w:lang w:val="bg-BG"/>
          </w:rPr>
          <w:t>http://www.mon.bg/?go=page&amp;pageId=7&amp;subpageId=57</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Закон за степента на образование, общообразователния минимум и учебния план - </w:t>
      </w:r>
      <w:hyperlink r:id="rId114" w:history="1">
        <w:r w:rsidRPr="00B45B4F">
          <w:rPr>
            <w:rStyle w:val="Hyperlink"/>
            <w:rFonts w:ascii="Verdana" w:hAnsi="Verdana"/>
            <w:sz w:val="20"/>
            <w:szCs w:val="20"/>
            <w:lang w:val="bg-BG"/>
          </w:rPr>
          <w:t>http://www.mon.bg/?go=page&amp;pageId=7&amp;subpageId=57</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Закон за професионалното образование и обучение - </w:t>
      </w:r>
      <w:hyperlink r:id="rId115" w:history="1">
        <w:r w:rsidRPr="00B45B4F">
          <w:rPr>
            <w:rStyle w:val="Hyperlink"/>
            <w:rFonts w:ascii="Verdana" w:hAnsi="Verdana"/>
            <w:sz w:val="20"/>
            <w:szCs w:val="20"/>
            <w:lang w:val="bg-BG"/>
          </w:rPr>
          <w:t>http://www.mon.bg/?go=page&amp;pageId=7&amp;subpageId=57</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Закон за предучилищното и училищното образование - </w:t>
      </w:r>
      <w:hyperlink r:id="rId116" w:history="1">
        <w:r w:rsidRPr="00B45B4F">
          <w:rPr>
            <w:rStyle w:val="Hyperlink"/>
            <w:rFonts w:ascii="Verdana" w:hAnsi="Verdana"/>
            <w:sz w:val="20"/>
            <w:szCs w:val="20"/>
            <w:lang w:val="bg-BG"/>
          </w:rPr>
          <w:t>http://www.parliament.bg/bg/bills/ID/14397/</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Закон за висшето образование - </w:t>
      </w:r>
      <w:hyperlink r:id="rId117" w:history="1">
        <w:r w:rsidRPr="00B45B4F">
          <w:rPr>
            <w:rStyle w:val="Hyperlink"/>
            <w:rFonts w:ascii="Verdana" w:hAnsi="Verdana"/>
            <w:sz w:val="20"/>
            <w:szCs w:val="20"/>
            <w:lang w:val="bg-BG"/>
          </w:rPr>
          <w:t>http://www.mon.bg/?go=page&amp;pageId=7&amp;subpageId=57</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Закон за развитието на академичния състав в Република България - </w:t>
      </w:r>
      <w:hyperlink r:id="rId118" w:history="1">
        <w:r w:rsidRPr="00B45B4F">
          <w:rPr>
            <w:rStyle w:val="Hyperlink"/>
            <w:rFonts w:ascii="Verdana" w:hAnsi="Verdana"/>
            <w:sz w:val="20"/>
            <w:szCs w:val="20"/>
            <w:lang w:val="bg-BG"/>
          </w:rPr>
          <w:t>http://www.mon.bg/?go=page&amp;pageId=7&amp;subpageId=57</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Закон за насърчаване на научните изследвания - </w:t>
      </w:r>
      <w:hyperlink r:id="rId119" w:history="1">
        <w:r w:rsidRPr="00B45B4F">
          <w:rPr>
            <w:rStyle w:val="Hyperlink"/>
            <w:rFonts w:ascii="Verdana" w:hAnsi="Verdana"/>
            <w:sz w:val="20"/>
            <w:szCs w:val="20"/>
            <w:lang w:val="bg-BG"/>
          </w:rPr>
          <w:t>http://www.mon.bg/?go=page&amp;pageId=7&amp;subpageId=57</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Закон за кредитиране на студенти и докторанти - </w:t>
      </w:r>
      <w:hyperlink r:id="rId120" w:history="1">
        <w:r w:rsidRPr="00B45B4F">
          <w:rPr>
            <w:rStyle w:val="Hyperlink"/>
            <w:rFonts w:ascii="Verdana" w:hAnsi="Verdana"/>
            <w:sz w:val="20"/>
            <w:szCs w:val="20"/>
            <w:lang w:val="bg-BG"/>
          </w:rPr>
          <w:t>http://www.mon.bg/?go=page&amp;pageId=7&amp;subpageId=57</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Закон за финансовото управление и контрол в публичния сектор- </w:t>
      </w:r>
      <w:hyperlink r:id="rId121" w:history="1">
        <w:r w:rsidRPr="00B45B4F">
          <w:rPr>
            <w:rStyle w:val="Hyperlink"/>
            <w:rFonts w:ascii="Verdana" w:hAnsi="Verdana"/>
            <w:sz w:val="20"/>
            <w:szCs w:val="20"/>
            <w:lang w:val="bg-BG"/>
          </w:rPr>
          <w:t>http://iso-mf.minfin.bg/FukvoPublic/docList.aspx</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Постановление № 70 на Министерския съвет от 14.04.2010 г. за координация при управлението на средствата от Европейския съюз - </w:t>
      </w:r>
      <w:hyperlink r:id="rId122" w:history="1">
        <w:r w:rsidRPr="00B45B4F">
          <w:rPr>
            <w:rStyle w:val="Hyperlink"/>
            <w:rFonts w:ascii="Verdana" w:hAnsi="Verdana"/>
            <w:sz w:val="20"/>
            <w:szCs w:val="20"/>
            <w:lang w:val="bg-BG"/>
          </w:rPr>
          <w:t>http://www.eufunds.bg/bg/page/119</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bookmarkStart w:id="185" w:name="RANGE!C68"/>
      <w:r w:rsidRPr="00B45B4F">
        <w:rPr>
          <w:rFonts w:ascii="Verdana" w:hAnsi="Verdana"/>
          <w:sz w:val="20"/>
          <w:szCs w:val="20"/>
          <w:lang w:val="bg-BG"/>
        </w:rPr>
        <w:t xml:space="preserve">Постановление № 5 на Министерския съвет от 18 януари 2012 г. за разработване на стратегическите и програмните документи на Република България за управление на средствата от фондовете по Общата стратегическа рамка на Европейския съюз за програмния период </w:t>
      </w:r>
      <w:r w:rsidR="005106CE" w:rsidRPr="00B45B4F">
        <w:rPr>
          <w:rFonts w:ascii="Verdana" w:hAnsi="Verdana"/>
          <w:sz w:val="20"/>
          <w:szCs w:val="20"/>
          <w:lang w:val="bg-BG"/>
        </w:rPr>
        <w:t>2014–2020</w:t>
      </w:r>
      <w:r w:rsidRPr="00B45B4F">
        <w:rPr>
          <w:rFonts w:ascii="Verdana" w:hAnsi="Verdana"/>
          <w:sz w:val="20"/>
          <w:szCs w:val="20"/>
          <w:lang w:val="bg-BG"/>
        </w:rPr>
        <w:t> г.;</w:t>
      </w:r>
      <w:bookmarkEnd w:id="185"/>
      <w:r w:rsidRPr="00B45B4F">
        <w:rPr>
          <w:rFonts w:ascii="Verdana" w:hAnsi="Verdana"/>
          <w:sz w:val="20"/>
          <w:szCs w:val="20"/>
          <w:lang w:val="bg-BG"/>
        </w:rPr>
        <w:t xml:space="preserve"> - </w:t>
      </w:r>
      <w:hyperlink r:id="rId123" w:history="1">
        <w:r w:rsidRPr="00B45B4F">
          <w:rPr>
            <w:rStyle w:val="Hyperlink"/>
            <w:rFonts w:ascii="Verdana" w:hAnsi="Verdana"/>
            <w:sz w:val="20"/>
            <w:szCs w:val="20"/>
            <w:lang w:val="bg-BG"/>
          </w:rPr>
          <w:t>http://www.eufunds.bg/bg/page/119</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Решение 668 от 6 август 2012 г. за одобряване на списък с действия, срокове и отговорни институции за изпълнение на предварителните условности за средствата от Европейския съюз за програмен период 2014 – 2020 г.; - </w:t>
      </w:r>
      <w:hyperlink r:id="rId124" w:history="1">
        <w:r w:rsidRPr="00B45B4F">
          <w:rPr>
            <w:rStyle w:val="Hyperlink"/>
            <w:rFonts w:ascii="Verdana" w:hAnsi="Verdana"/>
            <w:sz w:val="20"/>
            <w:szCs w:val="20"/>
            <w:lang w:val="bg-BG"/>
          </w:rPr>
          <w:t>http://www.eufunds.bg/bg/page/37</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РМС № 102 от 14.02.2013 г. За изменение и допълнение на Решение № 668 на Министерския съвет от 2012 г. за одобряване на списък с действия, срокове и отговорни институции за изпълнение на предварителните условности за </w:t>
      </w:r>
      <w:r w:rsidRPr="00B45B4F">
        <w:rPr>
          <w:rFonts w:ascii="Verdana" w:hAnsi="Verdana"/>
          <w:sz w:val="20"/>
          <w:szCs w:val="20"/>
          <w:lang w:val="bg-BG"/>
        </w:rPr>
        <w:lastRenderedPageBreak/>
        <w:t xml:space="preserve">средствата от Европейския съюз за програмен период 2014 – 2020 г. ; - </w:t>
      </w:r>
      <w:hyperlink r:id="rId125" w:history="1">
        <w:r w:rsidRPr="00B45B4F">
          <w:rPr>
            <w:rStyle w:val="Hyperlink"/>
            <w:rFonts w:ascii="Verdana" w:hAnsi="Verdana"/>
            <w:sz w:val="20"/>
            <w:szCs w:val="20"/>
            <w:lang w:val="bg-BG"/>
          </w:rPr>
          <w:t>http://www.eufunds.bg/bg/page/37</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Решение № 328 на Министерския съвет от 25 април 2012 г. за одобряване на списък с тематичните цели, които да бъдат включени в </w:t>
      </w:r>
      <w:r w:rsidR="007C4372">
        <w:rPr>
          <w:rFonts w:ascii="Verdana" w:hAnsi="Verdana"/>
          <w:sz w:val="20"/>
          <w:szCs w:val="20"/>
          <w:lang w:val="bg-BG"/>
        </w:rPr>
        <w:t>Споразумението</w:t>
      </w:r>
      <w:r w:rsidRPr="00B45B4F">
        <w:rPr>
          <w:rFonts w:ascii="Verdana" w:hAnsi="Verdana"/>
          <w:sz w:val="20"/>
          <w:szCs w:val="20"/>
          <w:lang w:val="bg-BG"/>
        </w:rPr>
        <w:t xml:space="preserve"> за партньорство на Република България за програмния период </w:t>
      </w:r>
      <w:r w:rsidR="005106CE" w:rsidRPr="00B45B4F">
        <w:rPr>
          <w:rFonts w:ascii="Verdana" w:hAnsi="Verdana"/>
          <w:sz w:val="20"/>
          <w:szCs w:val="20"/>
          <w:lang w:val="bg-BG"/>
        </w:rPr>
        <w:t>2014–2020</w:t>
      </w:r>
      <w:r w:rsidRPr="00B45B4F">
        <w:rPr>
          <w:rFonts w:ascii="Verdana" w:hAnsi="Verdana"/>
          <w:sz w:val="20"/>
          <w:szCs w:val="20"/>
          <w:lang w:val="bg-BG"/>
        </w:rPr>
        <w:t xml:space="preserve"> г., списък с програми и водещо ведомство за разработването на всяка програма. - </w:t>
      </w:r>
      <w:hyperlink r:id="rId126" w:history="1">
        <w:r w:rsidRPr="00B45B4F">
          <w:rPr>
            <w:rStyle w:val="Hyperlink"/>
            <w:rFonts w:ascii="Verdana" w:hAnsi="Verdana"/>
            <w:sz w:val="20"/>
            <w:szCs w:val="20"/>
            <w:lang w:val="bg-BG"/>
          </w:rPr>
          <w:t>http://www.eufunds.bg/bg/page/37</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ОП „Региони в растеж” </w:t>
      </w:r>
      <w:r w:rsidR="005106CE" w:rsidRPr="00B45B4F">
        <w:rPr>
          <w:rFonts w:ascii="Verdana" w:hAnsi="Verdana"/>
          <w:sz w:val="20"/>
          <w:szCs w:val="20"/>
          <w:lang w:val="bg-BG"/>
        </w:rPr>
        <w:t>2014–2020</w:t>
      </w:r>
      <w:r w:rsidRPr="00B45B4F">
        <w:rPr>
          <w:rFonts w:ascii="Verdana" w:hAnsi="Verdana"/>
          <w:sz w:val="20"/>
          <w:szCs w:val="20"/>
          <w:lang w:val="bg-BG"/>
        </w:rPr>
        <w:t xml:space="preserve"> - </w:t>
      </w:r>
      <w:hyperlink r:id="rId127" w:history="1">
        <w:r w:rsidRPr="00B45B4F">
          <w:rPr>
            <w:rStyle w:val="Hyperlink"/>
            <w:rFonts w:ascii="Verdana" w:hAnsi="Verdana"/>
            <w:sz w:val="20"/>
            <w:szCs w:val="20"/>
            <w:lang w:val="bg-BG"/>
          </w:rPr>
          <w:t>http://www.eufunds.bg/bg/page/989</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lang w:val="bg-BG"/>
        </w:rPr>
      </w:pPr>
      <w:r w:rsidRPr="00B45B4F">
        <w:rPr>
          <w:rFonts w:ascii="Verdana" w:hAnsi="Verdana"/>
          <w:sz w:val="20"/>
          <w:szCs w:val="20"/>
          <w:lang w:val="bg-BG"/>
        </w:rPr>
        <w:t xml:space="preserve">ОП "Развитие на човешките ресурси" </w:t>
      </w:r>
    </w:p>
    <w:p w:rsidR="00132F18" w:rsidRPr="00B45B4F" w:rsidRDefault="00EF6425"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ОП „</w:t>
      </w:r>
      <w:r w:rsidR="00132F18" w:rsidRPr="00B45B4F">
        <w:rPr>
          <w:rFonts w:ascii="Verdana" w:hAnsi="Verdana"/>
          <w:sz w:val="20"/>
          <w:szCs w:val="20"/>
          <w:lang w:val="bg-BG"/>
        </w:rPr>
        <w:t xml:space="preserve">Добро управление” </w:t>
      </w:r>
      <w:r w:rsidR="005106CE" w:rsidRPr="00B45B4F">
        <w:rPr>
          <w:rFonts w:ascii="Verdana" w:hAnsi="Verdana"/>
          <w:sz w:val="20"/>
          <w:szCs w:val="20"/>
          <w:lang w:val="bg-BG"/>
        </w:rPr>
        <w:t>2014–2020</w:t>
      </w:r>
      <w:r w:rsidR="00132F18" w:rsidRPr="00B45B4F">
        <w:rPr>
          <w:rFonts w:ascii="Verdana" w:hAnsi="Verdana"/>
          <w:sz w:val="20"/>
          <w:szCs w:val="20"/>
          <w:lang w:val="bg-BG"/>
        </w:rPr>
        <w:t xml:space="preserve"> - </w:t>
      </w:r>
      <w:hyperlink r:id="rId128" w:history="1">
        <w:r w:rsidR="00132F18" w:rsidRPr="00B45B4F">
          <w:rPr>
            <w:rStyle w:val="Hyperlink"/>
            <w:rFonts w:ascii="Verdana" w:hAnsi="Verdana"/>
            <w:sz w:val="20"/>
            <w:szCs w:val="20"/>
            <w:lang w:val="bg-BG"/>
          </w:rPr>
          <w:t>http://www.eufunds.bg/bg/page/1022</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ОП „Транспорт” </w:t>
      </w:r>
      <w:r w:rsidR="005106CE" w:rsidRPr="00B45B4F">
        <w:rPr>
          <w:rFonts w:ascii="Verdana" w:hAnsi="Verdana"/>
          <w:sz w:val="20"/>
          <w:szCs w:val="20"/>
          <w:lang w:val="bg-BG"/>
        </w:rPr>
        <w:t>2014–2020</w:t>
      </w:r>
      <w:r w:rsidRPr="00B45B4F">
        <w:rPr>
          <w:rFonts w:ascii="Verdana" w:hAnsi="Verdana"/>
          <w:sz w:val="20"/>
          <w:szCs w:val="20"/>
          <w:lang w:val="bg-BG"/>
        </w:rPr>
        <w:t xml:space="preserve"> - </w:t>
      </w:r>
      <w:hyperlink r:id="rId129" w:history="1">
        <w:r w:rsidRPr="00B45B4F">
          <w:rPr>
            <w:rStyle w:val="Hyperlink"/>
            <w:rFonts w:ascii="Verdana" w:hAnsi="Verdana"/>
            <w:sz w:val="20"/>
            <w:szCs w:val="20"/>
            <w:lang w:val="bg-BG"/>
          </w:rPr>
          <w:t>http://www.eufunds.bg/bg/page/990</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ОП „Иновации и конкурентоспособност” </w:t>
      </w:r>
      <w:r w:rsidR="005106CE" w:rsidRPr="00B45B4F">
        <w:rPr>
          <w:rFonts w:ascii="Verdana" w:hAnsi="Verdana"/>
          <w:sz w:val="20"/>
          <w:szCs w:val="20"/>
          <w:lang w:val="bg-BG"/>
        </w:rPr>
        <w:t>2014–2020</w:t>
      </w:r>
      <w:r w:rsidRPr="00B45B4F">
        <w:rPr>
          <w:rFonts w:ascii="Verdana" w:hAnsi="Verdana"/>
          <w:sz w:val="20"/>
          <w:szCs w:val="20"/>
          <w:lang w:val="bg-BG"/>
        </w:rPr>
        <w:t xml:space="preserve"> - </w:t>
      </w:r>
      <w:hyperlink r:id="rId130" w:history="1">
        <w:r w:rsidRPr="00B45B4F">
          <w:rPr>
            <w:rStyle w:val="Hyperlink"/>
            <w:rFonts w:ascii="Verdana" w:hAnsi="Verdana"/>
            <w:sz w:val="20"/>
            <w:szCs w:val="20"/>
            <w:lang w:val="bg-BG"/>
          </w:rPr>
          <w:t>http://www.eufunds.bg/bg/page/987</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ОП „Околна среда” </w:t>
      </w:r>
      <w:r w:rsidR="005106CE" w:rsidRPr="00B45B4F">
        <w:rPr>
          <w:rFonts w:ascii="Verdana" w:hAnsi="Verdana"/>
          <w:sz w:val="20"/>
          <w:szCs w:val="20"/>
          <w:lang w:val="bg-BG"/>
        </w:rPr>
        <w:t>2014–2020</w:t>
      </w:r>
      <w:r w:rsidRPr="00B45B4F">
        <w:rPr>
          <w:rFonts w:ascii="Verdana" w:hAnsi="Verdana"/>
          <w:sz w:val="20"/>
          <w:szCs w:val="20"/>
          <w:lang w:val="bg-BG"/>
        </w:rPr>
        <w:t xml:space="preserve"> - </w:t>
      </w:r>
      <w:hyperlink r:id="rId131" w:history="1">
        <w:r w:rsidRPr="00B45B4F">
          <w:rPr>
            <w:rStyle w:val="Hyperlink"/>
            <w:rFonts w:ascii="Verdana" w:hAnsi="Verdana"/>
            <w:sz w:val="20"/>
            <w:szCs w:val="20"/>
            <w:lang w:val="bg-BG"/>
          </w:rPr>
          <w:t>http://www.eufunds.bg/bg/page/986</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Програма за развитие на селските райони </w:t>
      </w:r>
      <w:r w:rsidR="005106CE" w:rsidRPr="00B45B4F">
        <w:rPr>
          <w:rFonts w:ascii="Verdana" w:hAnsi="Verdana"/>
          <w:sz w:val="20"/>
          <w:szCs w:val="20"/>
          <w:lang w:val="bg-BG"/>
        </w:rPr>
        <w:t>2014–2020</w:t>
      </w:r>
      <w:r w:rsidRPr="00B45B4F">
        <w:rPr>
          <w:rFonts w:ascii="Verdana" w:hAnsi="Verdana"/>
          <w:sz w:val="20"/>
          <w:szCs w:val="20"/>
          <w:lang w:val="bg-BG"/>
        </w:rPr>
        <w:t xml:space="preserve"> - </w:t>
      </w:r>
      <w:hyperlink r:id="rId132" w:history="1">
        <w:r w:rsidRPr="00B45B4F">
          <w:rPr>
            <w:rStyle w:val="Hyperlink"/>
            <w:rFonts w:ascii="Verdana" w:hAnsi="Verdana"/>
            <w:sz w:val="20"/>
            <w:szCs w:val="20"/>
            <w:lang w:val="bg-BG"/>
          </w:rPr>
          <w:t>http://prsr.government.bg/index.php/bg/sections/l2/101</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Програма за морско дело и рибарство </w:t>
      </w:r>
      <w:r w:rsidR="005106CE" w:rsidRPr="00B45B4F">
        <w:rPr>
          <w:rFonts w:ascii="Verdana" w:hAnsi="Verdana"/>
          <w:sz w:val="20"/>
          <w:szCs w:val="20"/>
          <w:lang w:val="bg-BG"/>
        </w:rPr>
        <w:t>2014–2020</w:t>
      </w:r>
      <w:r w:rsidRPr="00B45B4F">
        <w:rPr>
          <w:rFonts w:ascii="Verdana" w:hAnsi="Verdana"/>
          <w:sz w:val="20"/>
          <w:szCs w:val="20"/>
          <w:lang w:val="bg-BG"/>
        </w:rPr>
        <w:t xml:space="preserve"> - </w:t>
      </w:r>
      <w:hyperlink r:id="rId133" w:history="1">
        <w:r w:rsidRPr="00B45B4F">
          <w:rPr>
            <w:rStyle w:val="Hyperlink"/>
            <w:rFonts w:ascii="Verdana" w:hAnsi="Verdana"/>
            <w:sz w:val="20"/>
            <w:szCs w:val="20"/>
            <w:lang w:val="bg-BG"/>
          </w:rPr>
          <w:t>http://www.eufunds.bg/bg/page/983</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Програми за европейско териториално сътрудничество </w:t>
      </w:r>
      <w:r w:rsidR="005106CE" w:rsidRPr="00B45B4F">
        <w:rPr>
          <w:rFonts w:ascii="Verdana" w:hAnsi="Verdana"/>
          <w:sz w:val="20"/>
          <w:szCs w:val="20"/>
          <w:lang w:val="bg-BG"/>
        </w:rPr>
        <w:t>2014–2020</w:t>
      </w:r>
      <w:r w:rsidRPr="00B45B4F">
        <w:rPr>
          <w:rFonts w:ascii="Verdana" w:hAnsi="Verdana"/>
          <w:sz w:val="20"/>
          <w:szCs w:val="20"/>
          <w:lang w:val="bg-BG"/>
        </w:rPr>
        <w:t xml:space="preserve"> - </w:t>
      </w:r>
      <w:hyperlink r:id="rId134" w:history="1">
        <w:r w:rsidRPr="00B45B4F">
          <w:rPr>
            <w:rStyle w:val="Hyperlink"/>
            <w:rFonts w:ascii="Verdana" w:hAnsi="Verdana"/>
            <w:sz w:val="20"/>
            <w:szCs w:val="20"/>
            <w:lang w:val="bg-BG"/>
          </w:rPr>
          <w:t>http://www.eufunds.bg/bg/page/982</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Споразумение за партньорство и развитие за България за периода </w:t>
      </w:r>
      <w:r w:rsidR="005106CE" w:rsidRPr="00B45B4F">
        <w:rPr>
          <w:rFonts w:ascii="Verdana" w:hAnsi="Verdana"/>
          <w:sz w:val="20"/>
          <w:szCs w:val="20"/>
          <w:lang w:val="bg-BG"/>
        </w:rPr>
        <w:t>2014–2020</w:t>
      </w:r>
      <w:r w:rsidRPr="00B45B4F">
        <w:rPr>
          <w:rFonts w:ascii="Verdana" w:hAnsi="Verdana"/>
          <w:sz w:val="20"/>
          <w:szCs w:val="20"/>
          <w:lang w:val="bg-BG"/>
        </w:rPr>
        <w:t xml:space="preserve"> г. - </w:t>
      </w:r>
      <w:hyperlink r:id="rId135" w:history="1">
        <w:r w:rsidRPr="00B45B4F">
          <w:rPr>
            <w:rStyle w:val="Hyperlink"/>
            <w:rFonts w:ascii="Verdana" w:hAnsi="Verdana"/>
            <w:sz w:val="20"/>
            <w:szCs w:val="20"/>
            <w:lang w:val="bg-BG"/>
          </w:rPr>
          <w:t>http://www.eufunds.bg/bg/page/993</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Позиция на службите на Комисията относно изготвянето на Споразумение за партньорство и програми в България за периода </w:t>
      </w:r>
      <w:r w:rsidR="005106CE" w:rsidRPr="00B45B4F">
        <w:rPr>
          <w:rFonts w:ascii="Verdana" w:hAnsi="Verdana"/>
          <w:sz w:val="20"/>
          <w:szCs w:val="20"/>
          <w:lang w:val="bg-BG"/>
        </w:rPr>
        <w:t>2014–2020</w:t>
      </w:r>
      <w:r w:rsidRPr="00B45B4F">
        <w:rPr>
          <w:rFonts w:ascii="Verdana" w:hAnsi="Verdana"/>
          <w:sz w:val="20"/>
          <w:szCs w:val="20"/>
          <w:lang w:val="bg-BG"/>
        </w:rPr>
        <w:t xml:space="preserve"> г. - </w:t>
      </w:r>
      <w:hyperlink r:id="rId136" w:history="1">
        <w:r w:rsidRPr="00B45B4F">
          <w:rPr>
            <w:rStyle w:val="Hyperlink"/>
            <w:rFonts w:ascii="Verdana" w:hAnsi="Verdana"/>
            <w:sz w:val="20"/>
            <w:szCs w:val="20"/>
            <w:lang w:val="bg-BG"/>
          </w:rPr>
          <w:t>http://ec.europa.eu/regional_policy/what/future/pdf/partnership/bg_position_paper_bg.pdf</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Концепция за програмиране на развитието на Република България - </w:t>
      </w:r>
      <w:hyperlink r:id="rId137" w:history="1">
        <w:r w:rsidRPr="00B45B4F">
          <w:rPr>
            <w:rStyle w:val="Hyperlink"/>
            <w:rFonts w:ascii="Verdana" w:hAnsi="Verdana"/>
            <w:sz w:val="20"/>
            <w:szCs w:val="20"/>
            <w:lang w:val="bg-BG"/>
          </w:rPr>
          <w:t>http://www.saveti.government.bg/web/guest</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Методология за стратегическо планиране в Република България - </w:t>
      </w:r>
      <w:hyperlink r:id="rId138" w:history="1">
        <w:r w:rsidRPr="00B45B4F">
          <w:rPr>
            <w:rStyle w:val="Hyperlink"/>
            <w:rFonts w:ascii="Verdana" w:hAnsi="Verdana"/>
            <w:sz w:val="20"/>
            <w:szCs w:val="20"/>
            <w:lang w:val="bg-BG"/>
          </w:rPr>
          <w:t>http://www.strategy.bg/Publications/View.aspx?lang=bg-BG&amp;Id=90</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Програма за дейността на Центъра за образователна интеграция на децата и учениците от етническите малцинства за периода 2013-2015 г. - </w:t>
      </w:r>
      <w:hyperlink r:id="rId139" w:history="1">
        <w:r w:rsidRPr="00B45B4F">
          <w:rPr>
            <w:rStyle w:val="Hyperlink"/>
            <w:rFonts w:ascii="Verdana" w:hAnsi="Verdana"/>
            <w:sz w:val="20"/>
            <w:szCs w:val="20"/>
            <w:lang w:val="bg-BG"/>
          </w:rPr>
          <w:t>http://www.strategy.bg/StrategicDocuments/View.aspx?lang=bg-BG&amp;Id=789</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ОБОБЩЕНА ОЦЕНКА НА ВЪЗДЕЙСТВИЕТО (РАБОТЕН ДОКУМЕНТ НА СЛУЖБИТЕ НА КОМИСИЯТА) Придружаваща предложение за регламент на Европейския парламент и на Съвета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обхванати от общата стратегическа рамка, и за определяне на общи разпоредби за Европейския фонд за регионално развитие, Европейския социален фонд, Кохезионния фонд, и за отмяна на Регламент (ЕО) № 1083/2006. - </w:t>
      </w:r>
      <w:hyperlink r:id="rId140" w:history="1">
        <w:r w:rsidRPr="00B45B4F">
          <w:rPr>
            <w:rStyle w:val="Hyperlink"/>
            <w:rFonts w:ascii="Verdana" w:hAnsi="Verdana"/>
            <w:sz w:val="20"/>
            <w:szCs w:val="20"/>
            <w:lang w:val="bg-BG"/>
          </w:rPr>
          <w:t>http://www.eufunds.bg/bg/page/65</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u w:val="single"/>
          <w:lang w:val="bg-BG"/>
        </w:rPr>
      </w:pPr>
      <w:r w:rsidRPr="00B45B4F">
        <w:rPr>
          <w:rFonts w:ascii="Verdana" w:hAnsi="Verdana"/>
          <w:sz w:val="20"/>
          <w:szCs w:val="20"/>
          <w:lang w:val="bg-BG"/>
        </w:rPr>
        <w:t xml:space="preserve">ОБОБЩЕНИЕ НА ОЦЕНКАТА НА ВЪЗДЕЙСТВИЕТО (РАБОТЕН ДОКУМЕНТ НА СЛУЖБИТЕ НА КОМИСИЯТА) Придружаваща предложение за РЕГЛАМЕНТ НА ЕВРОПЕЙСКИЯ ПАРЛАМЕНТ И НА СЪВЕТА относно Европейския социален фонд и </w:t>
      </w:r>
      <w:r w:rsidRPr="00B45B4F">
        <w:rPr>
          <w:rFonts w:ascii="Verdana" w:hAnsi="Verdana"/>
          <w:sz w:val="20"/>
          <w:szCs w:val="20"/>
          <w:lang w:val="bg-BG"/>
        </w:rPr>
        <w:lastRenderedPageBreak/>
        <w:t xml:space="preserve">за отмяна на Регламент (ЕО) № 1081/2006 г. - </w:t>
      </w:r>
      <w:hyperlink r:id="rId141" w:history="1">
        <w:r w:rsidRPr="00B45B4F">
          <w:rPr>
            <w:rStyle w:val="Hyperlink"/>
            <w:rFonts w:ascii="Verdana" w:hAnsi="Verdana"/>
            <w:sz w:val="20"/>
            <w:szCs w:val="20"/>
            <w:lang w:val="bg-BG"/>
          </w:rPr>
          <w:t>http://www.eufunds.bg/bg/page/65</w:t>
        </w:r>
      </w:hyperlink>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lang w:val="bg-BG"/>
        </w:rPr>
      </w:pPr>
      <w:r w:rsidRPr="00B45B4F">
        <w:rPr>
          <w:rFonts w:ascii="Verdana" w:hAnsi="Verdana"/>
          <w:sz w:val="20"/>
          <w:szCs w:val="20"/>
          <w:lang w:val="bg-BG"/>
        </w:rPr>
        <w:t>Анализ на Център за информационно осигуряване на образованието</w:t>
      </w:r>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lang w:val="bg-BG"/>
        </w:rPr>
      </w:pPr>
      <w:r w:rsidRPr="00B45B4F">
        <w:rPr>
          <w:rFonts w:ascii="Verdana" w:hAnsi="Verdana"/>
          <w:sz w:val="20"/>
          <w:szCs w:val="20"/>
          <w:lang w:val="bg-BG"/>
        </w:rPr>
        <w:t>Анализ на НАЦИД за социално-икономически анализ на целевите сектори, свързани с ОП НОИР</w:t>
      </w:r>
    </w:p>
    <w:p w:rsidR="00132F18" w:rsidRPr="00B45B4F" w:rsidRDefault="00132F18" w:rsidP="006861B0">
      <w:pPr>
        <w:pStyle w:val="ListParagraph"/>
        <w:numPr>
          <w:ilvl w:val="0"/>
          <w:numId w:val="34"/>
        </w:numPr>
        <w:tabs>
          <w:tab w:val="left" w:pos="5331"/>
        </w:tabs>
        <w:ind w:left="450"/>
        <w:contextualSpacing/>
        <w:rPr>
          <w:rFonts w:ascii="Verdana" w:hAnsi="Verdana"/>
          <w:sz w:val="20"/>
          <w:szCs w:val="20"/>
          <w:lang w:val="bg-BG"/>
        </w:rPr>
      </w:pPr>
      <w:r w:rsidRPr="00B45B4F">
        <w:rPr>
          <w:rFonts w:ascii="Verdana" w:hAnsi="Verdana"/>
          <w:sz w:val="20"/>
          <w:szCs w:val="20"/>
          <w:lang w:val="bg-BG"/>
        </w:rPr>
        <w:t xml:space="preserve">Европейското пространство за висше образование през 2012, Болонският процес, Доклад за изпълнението - </w:t>
      </w:r>
      <w:hyperlink r:id="rId142" w:history="1">
        <w:r w:rsidRPr="00B45B4F">
          <w:rPr>
            <w:rStyle w:val="Hyperlink"/>
            <w:rFonts w:ascii="Verdana" w:hAnsi="Verdana"/>
            <w:sz w:val="20"/>
            <w:szCs w:val="20"/>
            <w:lang w:val="bg-BG"/>
          </w:rPr>
          <w:t>http://eacea.ec.europa.eu/education/eurydice/documents/thematic_reports/138BG.pdf</w:t>
        </w:r>
      </w:hyperlink>
    </w:p>
    <w:p w:rsidR="00132F18" w:rsidRPr="00B45B4F" w:rsidRDefault="004020E1" w:rsidP="006861B0">
      <w:pPr>
        <w:pStyle w:val="ListParagraph"/>
        <w:numPr>
          <w:ilvl w:val="0"/>
          <w:numId w:val="34"/>
        </w:numPr>
        <w:tabs>
          <w:tab w:val="left" w:pos="5331"/>
        </w:tabs>
        <w:spacing w:after="120"/>
        <w:ind w:left="450"/>
        <w:contextualSpacing/>
        <w:rPr>
          <w:rFonts w:ascii="Verdana" w:hAnsi="Verdana"/>
          <w:sz w:val="20"/>
          <w:szCs w:val="20"/>
          <w:lang w:val="bg-BG"/>
        </w:rPr>
      </w:pPr>
      <w:hyperlink r:id="rId143" w:history="1">
        <w:r w:rsidR="00132F18" w:rsidRPr="00B45B4F">
          <w:rPr>
            <w:rFonts w:ascii="Verdana" w:hAnsi="Verdana" w:cs="Arial"/>
            <w:sz w:val="20"/>
            <w:szCs w:val="20"/>
            <w:lang w:val="bg-BG" w:eastAsia="bg-BG"/>
          </w:rPr>
          <w:t>Draft Guidance Fiche Integrated Territorial Investment (ITI)</w:t>
        </w:r>
      </w:hyperlink>
      <w:r w:rsidR="00132F18" w:rsidRPr="00B45B4F">
        <w:rPr>
          <w:rFonts w:ascii="Verdana" w:hAnsi="Verdana" w:cs="Arial"/>
          <w:sz w:val="20"/>
          <w:szCs w:val="20"/>
          <w:lang w:val="bg-BG" w:eastAsia="bg-BG"/>
        </w:rPr>
        <w:t xml:space="preserve"> - </w:t>
      </w:r>
      <w:hyperlink r:id="rId144" w:history="1">
        <w:r w:rsidR="00132F18" w:rsidRPr="00B45B4F">
          <w:rPr>
            <w:rStyle w:val="Hyperlink"/>
            <w:rFonts w:ascii="Verdana" w:hAnsi="Verdana"/>
            <w:sz w:val="20"/>
            <w:szCs w:val="20"/>
            <w:lang w:val="bg-BG"/>
          </w:rPr>
          <w:t>http://www.eufunds.bg/bg/page/884</w:t>
        </w:r>
      </w:hyperlink>
    </w:p>
    <w:p w:rsidR="00132F18" w:rsidRPr="00B45B4F" w:rsidRDefault="004020E1" w:rsidP="006861B0">
      <w:pPr>
        <w:pStyle w:val="ListParagraph"/>
        <w:numPr>
          <w:ilvl w:val="0"/>
          <w:numId w:val="34"/>
        </w:numPr>
        <w:tabs>
          <w:tab w:val="left" w:pos="5331"/>
        </w:tabs>
        <w:spacing w:after="120"/>
        <w:ind w:left="450"/>
        <w:contextualSpacing/>
        <w:rPr>
          <w:rFonts w:ascii="Verdana" w:hAnsi="Verdana"/>
          <w:sz w:val="20"/>
          <w:szCs w:val="20"/>
          <w:lang w:val="bg-BG"/>
        </w:rPr>
      </w:pPr>
      <w:hyperlink r:id="rId145" w:history="1">
        <w:r w:rsidR="00132F18" w:rsidRPr="00B45B4F">
          <w:rPr>
            <w:rFonts w:ascii="Verdana" w:hAnsi="Verdana" w:cs="Arial"/>
            <w:sz w:val="20"/>
            <w:szCs w:val="20"/>
            <w:lang w:val="bg-BG" w:eastAsia="bg-BG"/>
          </w:rPr>
          <w:t>Fiche on the constitution and the allocation of the performance reserve</w:t>
        </w:r>
      </w:hyperlink>
      <w:r w:rsidR="00132F18" w:rsidRPr="00B45B4F">
        <w:rPr>
          <w:rFonts w:ascii="Verdana" w:hAnsi="Verdana" w:cs="Arial"/>
          <w:sz w:val="20"/>
          <w:szCs w:val="20"/>
          <w:lang w:val="bg-BG" w:eastAsia="bg-BG"/>
        </w:rPr>
        <w:t xml:space="preserve"> - </w:t>
      </w:r>
      <w:hyperlink r:id="rId146" w:history="1">
        <w:r w:rsidR="00132F18" w:rsidRPr="00B45B4F">
          <w:rPr>
            <w:rStyle w:val="Hyperlink"/>
            <w:rFonts w:ascii="Verdana" w:hAnsi="Verdana"/>
            <w:sz w:val="20"/>
            <w:szCs w:val="20"/>
            <w:lang w:val="bg-BG"/>
          </w:rPr>
          <w:t>http://www.eufunds.bg/bg/page/884</w:t>
        </w:r>
      </w:hyperlink>
    </w:p>
    <w:p w:rsidR="00132F18" w:rsidRPr="00B45B4F" w:rsidRDefault="00132F18" w:rsidP="006861B0">
      <w:pPr>
        <w:pStyle w:val="ListParagraph"/>
        <w:numPr>
          <w:ilvl w:val="0"/>
          <w:numId w:val="34"/>
        </w:numPr>
        <w:tabs>
          <w:tab w:val="left" w:pos="5331"/>
        </w:tabs>
        <w:spacing w:after="120"/>
        <w:ind w:left="450"/>
        <w:contextualSpacing/>
        <w:rPr>
          <w:rFonts w:ascii="Verdana" w:hAnsi="Verdana"/>
          <w:sz w:val="20"/>
          <w:szCs w:val="20"/>
          <w:lang w:val="bg-BG"/>
        </w:rPr>
      </w:pPr>
      <w:r w:rsidRPr="00B45B4F">
        <w:rPr>
          <w:rFonts w:ascii="Verdana" w:hAnsi="Verdana" w:cs="Arial"/>
          <w:sz w:val="20"/>
          <w:szCs w:val="20"/>
          <w:lang w:val="bg-BG" w:eastAsia="bg-BG"/>
        </w:rPr>
        <w:t xml:space="preserve">Link between thematic concentration and articles 6, 7, 8, 9 and 10 - </w:t>
      </w:r>
      <w:hyperlink r:id="rId147" w:history="1">
        <w:r w:rsidRPr="00B45B4F">
          <w:rPr>
            <w:rStyle w:val="Hyperlink"/>
            <w:rFonts w:ascii="Verdana" w:hAnsi="Verdana"/>
            <w:sz w:val="20"/>
            <w:szCs w:val="20"/>
            <w:lang w:val="bg-BG"/>
          </w:rPr>
          <w:t>http://www.eufunds.bg/bg/page/884</w:t>
        </w:r>
      </w:hyperlink>
    </w:p>
    <w:p w:rsidR="00132F18" w:rsidRPr="00B45B4F" w:rsidRDefault="00132F18" w:rsidP="006861B0">
      <w:pPr>
        <w:pStyle w:val="Default"/>
        <w:numPr>
          <w:ilvl w:val="0"/>
          <w:numId w:val="34"/>
        </w:numPr>
        <w:tabs>
          <w:tab w:val="left" w:pos="5331"/>
        </w:tabs>
        <w:ind w:left="450"/>
        <w:rPr>
          <w:rFonts w:ascii="Verdana" w:hAnsi="Verdana" w:cs="Arial"/>
          <w:sz w:val="20"/>
          <w:szCs w:val="20"/>
          <w:lang w:val="bg-BG"/>
        </w:rPr>
      </w:pPr>
      <w:r w:rsidRPr="00B45B4F">
        <w:rPr>
          <w:rFonts w:ascii="Verdana" w:hAnsi="Verdana" w:cs="Arial"/>
          <w:sz w:val="20"/>
          <w:szCs w:val="20"/>
          <w:lang w:val="bg-BG" w:eastAsia="bg-BG"/>
        </w:rPr>
        <w:t xml:space="preserve">Monitoringand Evaluation of European Cohesion Policy European Social Fund - </w:t>
      </w:r>
      <w:hyperlink r:id="rId148" w:history="1">
        <w:r w:rsidRPr="00B45B4F">
          <w:rPr>
            <w:rStyle w:val="Hyperlink"/>
            <w:rFonts w:ascii="Verdana" w:hAnsi="Verdana" w:cs="Arial"/>
            <w:color w:val="0000CC"/>
            <w:sz w:val="20"/>
            <w:szCs w:val="20"/>
            <w:lang w:val="bg-BG"/>
          </w:rPr>
          <w:t>http://ec.europa.eu/social/BlobServlet?docId=7884&amp;langId=en</w:t>
        </w:r>
      </w:hyperlink>
      <w:r w:rsidRPr="00B45B4F">
        <w:rPr>
          <w:rFonts w:ascii="Verdana" w:hAnsi="Verdana" w:cs="Arial"/>
          <w:sz w:val="20"/>
          <w:szCs w:val="20"/>
          <w:lang w:val="bg-BG"/>
        </w:rPr>
        <w:t>.</w:t>
      </w:r>
    </w:p>
    <w:p w:rsidR="00132F18" w:rsidRPr="00B45B4F" w:rsidRDefault="00132F18" w:rsidP="006861B0">
      <w:pPr>
        <w:pStyle w:val="ListParagraph"/>
        <w:numPr>
          <w:ilvl w:val="0"/>
          <w:numId w:val="34"/>
        </w:numPr>
        <w:tabs>
          <w:tab w:val="left" w:pos="5331"/>
        </w:tabs>
        <w:spacing w:after="120"/>
        <w:ind w:left="450"/>
        <w:contextualSpacing/>
        <w:rPr>
          <w:rFonts w:ascii="Verdana" w:hAnsi="Verdana" w:cs="Arial"/>
          <w:sz w:val="20"/>
          <w:szCs w:val="20"/>
          <w:lang w:val="bg-BG"/>
        </w:rPr>
      </w:pPr>
      <w:r w:rsidRPr="00B45B4F">
        <w:rPr>
          <w:rFonts w:ascii="Verdana" w:hAnsi="Verdana"/>
          <w:sz w:val="20"/>
          <w:szCs w:val="20"/>
          <w:lang w:val="bg-BG"/>
        </w:rPr>
        <w:t xml:space="preserve">Guide on ex-ante evaluation - </w:t>
      </w:r>
      <w:hyperlink r:id="rId149" w:anchor="1" w:history="1">
        <w:r w:rsidRPr="00B45B4F">
          <w:rPr>
            <w:rStyle w:val="Hyperlink"/>
            <w:rFonts w:ascii="Verdana" w:hAnsi="Verdana" w:cs="Arial"/>
            <w:sz w:val="20"/>
            <w:szCs w:val="20"/>
            <w:lang w:val="bg-BG" w:eastAsia="bg-BG"/>
          </w:rPr>
          <w:t>http://ec.europa.eu/regional_policy/information/evaluations/guidance_en.cfm#1</w:t>
        </w:r>
      </w:hyperlink>
    </w:p>
    <w:p w:rsidR="00132F18" w:rsidRPr="00B45B4F" w:rsidRDefault="00132F18" w:rsidP="006861B0">
      <w:pPr>
        <w:pStyle w:val="ListParagraph"/>
        <w:numPr>
          <w:ilvl w:val="0"/>
          <w:numId w:val="34"/>
        </w:numPr>
        <w:tabs>
          <w:tab w:val="left" w:pos="5331"/>
        </w:tabs>
        <w:spacing w:after="120"/>
        <w:ind w:left="450"/>
        <w:contextualSpacing/>
        <w:rPr>
          <w:rFonts w:ascii="Verdana" w:hAnsi="Verdana" w:cs="Arial"/>
          <w:sz w:val="20"/>
          <w:szCs w:val="20"/>
          <w:lang w:val="bg-BG"/>
        </w:rPr>
      </w:pPr>
      <w:r w:rsidRPr="00B45B4F">
        <w:rPr>
          <w:rFonts w:ascii="Verdana" w:hAnsi="Verdana"/>
          <w:sz w:val="20"/>
          <w:szCs w:val="20"/>
          <w:lang w:val="bg-BG"/>
        </w:rPr>
        <w:t xml:space="preserve">Draft Guidance on the performance framework review and reserve in </w:t>
      </w:r>
      <w:r w:rsidR="005106CE" w:rsidRPr="00B45B4F">
        <w:rPr>
          <w:rFonts w:ascii="Verdana" w:hAnsi="Verdana"/>
          <w:sz w:val="20"/>
          <w:szCs w:val="20"/>
          <w:lang w:val="bg-BG"/>
        </w:rPr>
        <w:t>2014–2020</w:t>
      </w:r>
      <w:r w:rsidRPr="00B45B4F">
        <w:rPr>
          <w:rFonts w:ascii="Verdana" w:hAnsi="Verdana"/>
          <w:sz w:val="20"/>
          <w:szCs w:val="20"/>
          <w:lang w:val="bg-BG"/>
        </w:rPr>
        <w:t xml:space="preserve"> - </w:t>
      </w:r>
      <w:hyperlink r:id="rId150" w:anchor="1" w:history="1">
        <w:r w:rsidRPr="00B45B4F">
          <w:rPr>
            <w:rStyle w:val="Hyperlink"/>
            <w:rFonts w:ascii="Verdana" w:hAnsi="Verdana" w:cs="Arial"/>
            <w:sz w:val="20"/>
            <w:szCs w:val="20"/>
            <w:lang w:val="bg-BG" w:eastAsia="bg-BG"/>
          </w:rPr>
          <w:t>http://ec.europa.eu/regional_policy/information/evaluations/guidance_en.cfm#1</w:t>
        </w:r>
      </w:hyperlink>
    </w:p>
    <w:p w:rsidR="00132F18" w:rsidRPr="00B45B4F" w:rsidRDefault="00132F18" w:rsidP="006861B0">
      <w:pPr>
        <w:pStyle w:val="ListParagraph"/>
        <w:numPr>
          <w:ilvl w:val="0"/>
          <w:numId w:val="34"/>
        </w:numPr>
        <w:tabs>
          <w:tab w:val="left" w:pos="5331"/>
        </w:tabs>
        <w:spacing w:after="120"/>
        <w:ind w:left="450"/>
        <w:contextualSpacing/>
        <w:rPr>
          <w:rStyle w:val="Hyperlink"/>
          <w:rFonts w:ascii="Verdana" w:hAnsi="Verdana" w:cs="Arial"/>
          <w:color w:val="auto"/>
          <w:sz w:val="20"/>
          <w:szCs w:val="20"/>
          <w:lang w:val="bg-BG" w:eastAsia="bg-BG"/>
        </w:rPr>
      </w:pPr>
      <w:r w:rsidRPr="00B45B4F">
        <w:rPr>
          <w:rFonts w:ascii="Verdana" w:hAnsi="Verdana"/>
          <w:sz w:val="20"/>
          <w:szCs w:val="20"/>
          <w:lang w:val="bg-BG"/>
        </w:rPr>
        <w:t xml:space="preserve">The Programming Period </w:t>
      </w:r>
      <w:r w:rsidR="005106CE" w:rsidRPr="00B45B4F">
        <w:rPr>
          <w:rFonts w:ascii="Verdana" w:hAnsi="Verdana"/>
          <w:sz w:val="20"/>
          <w:szCs w:val="20"/>
          <w:lang w:val="bg-BG"/>
        </w:rPr>
        <w:t>2014–2020</w:t>
      </w:r>
      <w:r w:rsidRPr="00B45B4F">
        <w:rPr>
          <w:rFonts w:ascii="Verdana" w:hAnsi="Verdana"/>
          <w:sz w:val="20"/>
          <w:szCs w:val="20"/>
          <w:lang w:val="bg-BG"/>
        </w:rPr>
        <w:t xml:space="preserve">,Guidance document on Monitoring and Evaluation, European Regional Development Fund and Cohesion Fund –2013, Concepts and Recommendations - </w:t>
      </w:r>
      <w:hyperlink r:id="rId151" w:history="1">
        <w:r w:rsidRPr="00B45B4F">
          <w:rPr>
            <w:rStyle w:val="Hyperlink"/>
            <w:rFonts w:ascii="Verdana" w:hAnsi="Verdana" w:cs="Arial"/>
            <w:sz w:val="20"/>
            <w:szCs w:val="20"/>
            <w:lang w:val="bg-BG" w:eastAsia="bg-BG"/>
          </w:rPr>
          <w:t>http://ec.europa.eu/regional_policy/sources/docoffic/2014/working/wd_2014_en.pdf</w:t>
        </w:r>
      </w:hyperlink>
    </w:p>
    <w:p w:rsidR="00132F18" w:rsidRPr="00B45B4F" w:rsidRDefault="00132F18" w:rsidP="006861B0">
      <w:pPr>
        <w:pStyle w:val="ListParagraph"/>
        <w:numPr>
          <w:ilvl w:val="0"/>
          <w:numId w:val="34"/>
        </w:numPr>
        <w:spacing w:after="120"/>
        <w:ind w:left="450"/>
        <w:contextualSpacing/>
        <w:rPr>
          <w:rFonts w:ascii="Verdana" w:hAnsi="Verdana"/>
          <w:sz w:val="20"/>
          <w:szCs w:val="20"/>
          <w:lang w:val="bg-BG"/>
        </w:rPr>
      </w:pPr>
      <w:r w:rsidRPr="00B45B4F">
        <w:rPr>
          <w:rFonts w:ascii="Verdana" w:hAnsi="Verdana"/>
          <w:sz w:val="20"/>
          <w:szCs w:val="20"/>
          <w:lang w:val="bg-BG"/>
        </w:rPr>
        <w:t xml:space="preserve">Анализ на състоянието на научните изследвания в България, МОН - </w:t>
      </w:r>
      <w:hyperlink r:id="rId152" w:history="1">
        <w:r w:rsidRPr="00B45B4F">
          <w:rPr>
            <w:rStyle w:val="Hyperlink"/>
            <w:rFonts w:ascii="Verdana" w:hAnsi="Verdana"/>
            <w:sz w:val="20"/>
            <w:szCs w:val="20"/>
            <w:lang w:val="bg-BG"/>
          </w:rPr>
          <w:t>http://s2b.mon.bg/i/analyse_researches_bg.pdf</w:t>
        </w:r>
      </w:hyperlink>
    </w:p>
    <w:p w:rsidR="00132F18" w:rsidRPr="00B45B4F" w:rsidRDefault="00132F18" w:rsidP="006861B0">
      <w:pPr>
        <w:pStyle w:val="ListParagraph"/>
        <w:numPr>
          <w:ilvl w:val="0"/>
          <w:numId w:val="34"/>
        </w:numPr>
        <w:spacing w:after="120"/>
        <w:ind w:left="450"/>
        <w:contextualSpacing/>
        <w:rPr>
          <w:rFonts w:ascii="Verdana" w:hAnsi="Verdana" w:cs="Arial"/>
          <w:sz w:val="20"/>
          <w:szCs w:val="20"/>
          <w:u w:val="single"/>
          <w:lang w:val="bg-BG"/>
        </w:rPr>
      </w:pPr>
      <w:r w:rsidRPr="00B45B4F">
        <w:rPr>
          <w:rFonts w:ascii="Verdana" w:hAnsi="Verdana"/>
          <w:sz w:val="20"/>
          <w:szCs w:val="20"/>
          <w:lang w:val="bg-BG"/>
        </w:rPr>
        <w:t>Информация, предоставена в сайта на МОН, eufunds.bg и сайтове на другите оперативни програми</w:t>
      </w:r>
    </w:p>
    <w:p w:rsidR="002D6D50" w:rsidRPr="00B45B4F" w:rsidRDefault="002D6D50" w:rsidP="006861B0">
      <w:pPr>
        <w:pStyle w:val="ListParagraph"/>
        <w:numPr>
          <w:ilvl w:val="0"/>
          <w:numId w:val="34"/>
        </w:numPr>
        <w:spacing w:after="120"/>
        <w:ind w:left="450"/>
        <w:contextualSpacing/>
        <w:rPr>
          <w:rStyle w:val="Hyperlink"/>
          <w:rFonts w:ascii="Verdana" w:hAnsi="Verdana" w:cs="Arial"/>
          <w:color w:val="auto"/>
          <w:sz w:val="20"/>
          <w:szCs w:val="20"/>
          <w:lang w:val="bg-BG"/>
        </w:rPr>
      </w:pPr>
      <w:r w:rsidRPr="00B45B4F">
        <w:rPr>
          <w:rFonts w:ascii="Verdana" w:hAnsi="Verdana"/>
          <w:sz w:val="20"/>
          <w:szCs w:val="20"/>
          <w:lang w:val="bg-BG"/>
        </w:rPr>
        <w:t>Рейтинг на висшите училища в България, 2013 г.</w:t>
      </w:r>
    </w:p>
    <w:p w:rsidR="00DB537B" w:rsidRPr="00B45B4F" w:rsidRDefault="00DB537B">
      <w:pPr>
        <w:ind w:left="-709"/>
        <w:jc w:val="center"/>
        <w:rPr>
          <w:rFonts w:ascii="Verdana" w:hAnsi="Verdana"/>
          <w:sz w:val="20"/>
          <w:szCs w:val="20"/>
          <w:lang w:val="bg-BG"/>
        </w:rPr>
      </w:pPr>
    </w:p>
    <w:p w:rsidR="009566C5" w:rsidRPr="00B45B4F" w:rsidRDefault="009566C5">
      <w:pPr>
        <w:ind w:left="-709"/>
        <w:jc w:val="center"/>
        <w:rPr>
          <w:rFonts w:ascii="Verdana" w:hAnsi="Verdana"/>
          <w:sz w:val="20"/>
          <w:szCs w:val="20"/>
          <w:lang w:val="bg-BG"/>
        </w:rPr>
      </w:pPr>
    </w:p>
    <w:p w:rsidR="009566C5" w:rsidRPr="00B45B4F" w:rsidRDefault="009566C5">
      <w:pPr>
        <w:ind w:left="-709"/>
        <w:jc w:val="center"/>
        <w:rPr>
          <w:rFonts w:ascii="Verdana" w:hAnsi="Verdana"/>
          <w:sz w:val="20"/>
          <w:szCs w:val="20"/>
          <w:lang w:val="bg-BG"/>
        </w:rPr>
        <w:sectPr w:rsidR="009566C5" w:rsidRPr="00B45B4F" w:rsidSect="002D3F8E">
          <w:pgSz w:w="11907" w:h="16839" w:code="9"/>
          <w:pgMar w:top="2128" w:right="1440" w:bottom="1440" w:left="1440" w:header="720" w:footer="724" w:gutter="0"/>
          <w:cols w:space="720"/>
          <w:docGrid w:linePitch="360"/>
        </w:sectPr>
      </w:pPr>
    </w:p>
    <w:p w:rsidR="009566C5" w:rsidRPr="00B45B4F" w:rsidRDefault="009566C5" w:rsidP="009566C5">
      <w:pPr>
        <w:pStyle w:val="Heading2"/>
        <w:shd w:val="clear" w:color="auto" w:fill="FFCC99"/>
        <w:spacing w:before="0" w:after="240"/>
        <w:rPr>
          <w:rFonts w:ascii="Verdana" w:hAnsi="Verdana"/>
          <w:i w:val="0"/>
          <w:iCs/>
          <w:color w:val="0063B8"/>
          <w:sz w:val="26"/>
          <w:szCs w:val="26"/>
          <w:lang w:val="bg-BG"/>
        </w:rPr>
      </w:pPr>
      <w:bookmarkStart w:id="186" w:name="_Toc395612533"/>
      <w:r w:rsidRPr="00B45B4F">
        <w:rPr>
          <w:rFonts w:ascii="Verdana" w:hAnsi="Verdana"/>
          <w:i w:val="0"/>
          <w:iCs/>
          <w:color w:val="0063B8"/>
          <w:sz w:val="26"/>
          <w:szCs w:val="26"/>
          <w:lang w:val="bg-BG"/>
        </w:rPr>
        <w:lastRenderedPageBreak/>
        <w:t xml:space="preserve">Приложение 2: </w:t>
      </w:r>
      <w:r w:rsidR="00271DF9" w:rsidRPr="00B45B4F">
        <w:rPr>
          <w:rFonts w:ascii="Verdana" w:hAnsi="Verdana"/>
          <w:i w:val="0"/>
          <w:iCs/>
          <w:color w:val="0063B8"/>
          <w:sz w:val="26"/>
          <w:szCs w:val="26"/>
          <w:lang w:val="bg-BG"/>
        </w:rPr>
        <w:t xml:space="preserve">Списък на участниците в проведените </w:t>
      </w:r>
      <w:r w:rsidR="00543A68" w:rsidRPr="00B45B4F">
        <w:rPr>
          <w:rFonts w:ascii="Verdana" w:hAnsi="Verdana"/>
          <w:i w:val="0"/>
          <w:iCs/>
          <w:color w:val="0063B8"/>
          <w:sz w:val="26"/>
          <w:szCs w:val="26"/>
          <w:lang w:val="bg-BG"/>
        </w:rPr>
        <w:t>срещи</w:t>
      </w:r>
      <w:r w:rsidR="00271DF9" w:rsidRPr="00B45B4F">
        <w:rPr>
          <w:rFonts w:ascii="Verdana" w:hAnsi="Verdana"/>
          <w:i w:val="0"/>
          <w:iCs/>
          <w:color w:val="0063B8"/>
          <w:sz w:val="26"/>
          <w:szCs w:val="26"/>
          <w:lang w:val="bg-BG"/>
        </w:rPr>
        <w:t xml:space="preserve"> и фокус групи</w:t>
      </w:r>
      <w:bookmarkEnd w:id="186"/>
    </w:p>
    <w:p w:rsidR="00FB0125" w:rsidRPr="00B45B4F" w:rsidRDefault="006744A9" w:rsidP="00FB0125">
      <w:pPr>
        <w:rPr>
          <w:rFonts w:ascii="Verdana" w:hAnsi="Verdana"/>
          <w:b/>
          <w:color w:val="548DD4" w:themeColor="text2" w:themeTint="99"/>
          <w:lang w:val="bg-BG"/>
        </w:rPr>
      </w:pPr>
      <w:r>
        <w:rPr>
          <w:rFonts w:ascii="Verdana" w:hAnsi="Verdana"/>
          <w:b/>
          <w:color w:val="548DD4" w:themeColor="text2" w:themeTint="99"/>
          <w:lang w:val="bg-BG"/>
        </w:rPr>
        <w:t>Проведени срещи</w:t>
      </w:r>
    </w:p>
    <w:tbl>
      <w:tblPr>
        <w:tblStyle w:val="TableGrid"/>
        <w:tblW w:w="9090" w:type="dxa"/>
        <w:tblInd w:w="108" w:type="dxa"/>
        <w:tblBorders>
          <w:top w:val="single" w:sz="8" w:space="0" w:color="17365D"/>
          <w:left w:val="single" w:sz="8" w:space="0" w:color="17365D"/>
          <w:bottom w:val="single" w:sz="8" w:space="0" w:color="17365D"/>
          <w:right w:val="single" w:sz="8" w:space="0" w:color="17365D"/>
          <w:insideH w:val="single" w:sz="8" w:space="0" w:color="17365D"/>
          <w:insideV w:val="single" w:sz="8" w:space="0" w:color="17365D"/>
        </w:tblBorders>
        <w:tblLook w:val="04A0" w:firstRow="1" w:lastRow="0" w:firstColumn="1" w:lastColumn="0" w:noHBand="0" w:noVBand="1"/>
      </w:tblPr>
      <w:tblGrid>
        <w:gridCol w:w="2520"/>
        <w:gridCol w:w="6570"/>
      </w:tblGrid>
      <w:tr w:rsidR="00271DF9" w:rsidRPr="00B45B4F" w:rsidTr="002E567A">
        <w:tc>
          <w:tcPr>
            <w:tcW w:w="2520" w:type="dxa"/>
            <w:shd w:val="clear" w:color="auto" w:fill="548DD4" w:themeFill="text2" w:themeFillTint="99"/>
          </w:tcPr>
          <w:p w:rsidR="00271DF9" w:rsidRPr="00B45B4F" w:rsidRDefault="007070F0" w:rsidP="00271DF9">
            <w:pPr>
              <w:spacing w:before="60" w:after="60"/>
              <w:rPr>
                <w:rFonts w:ascii="Verdana" w:hAnsi="Verdana" w:cs="Arial"/>
                <w:b/>
                <w:color w:val="FFFFFF" w:themeColor="background1"/>
                <w:sz w:val="20"/>
                <w:szCs w:val="20"/>
                <w:lang w:val="bg-BG"/>
              </w:rPr>
            </w:pPr>
            <w:r w:rsidRPr="00B45B4F">
              <w:rPr>
                <w:rFonts w:ascii="Verdana" w:hAnsi="Verdana" w:cs="Arial"/>
                <w:b/>
                <w:color w:val="FFFFFF" w:themeColor="background1"/>
                <w:sz w:val="20"/>
                <w:szCs w:val="20"/>
                <w:lang w:val="bg-BG"/>
              </w:rPr>
              <w:t>Име</w:t>
            </w:r>
          </w:p>
        </w:tc>
        <w:tc>
          <w:tcPr>
            <w:tcW w:w="6570" w:type="dxa"/>
            <w:shd w:val="clear" w:color="auto" w:fill="548DD4" w:themeFill="text2" w:themeFillTint="99"/>
          </w:tcPr>
          <w:p w:rsidR="00271DF9" w:rsidRPr="00B45B4F" w:rsidRDefault="00271DF9" w:rsidP="00271DF9">
            <w:pPr>
              <w:spacing w:before="60" w:after="60"/>
              <w:rPr>
                <w:rFonts w:ascii="Verdana" w:hAnsi="Verdana" w:cs="Arial"/>
                <w:b/>
                <w:color w:val="FFFFFF" w:themeColor="background1"/>
                <w:sz w:val="20"/>
                <w:szCs w:val="20"/>
                <w:lang w:val="bg-BG"/>
              </w:rPr>
            </w:pPr>
            <w:r w:rsidRPr="00B45B4F">
              <w:rPr>
                <w:rFonts w:ascii="Verdana" w:hAnsi="Verdana" w:cs="Arial"/>
                <w:b/>
                <w:color w:val="FFFFFF" w:themeColor="background1"/>
                <w:sz w:val="20"/>
                <w:szCs w:val="20"/>
                <w:lang w:val="bg-BG"/>
              </w:rPr>
              <w:t>Институция</w:t>
            </w:r>
          </w:p>
        </w:tc>
      </w:tr>
      <w:tr w:rsidR="005C133B" w:rsidRPr="00B45B4F" w:rsidTr="002E567A">
        <w:tc>
          <w:tcPr>
            <w:tcW w:w="2520" w:type="dxa"/>
          </w:tcPr>
          <w:p w:rsidR="005C133B" w:rsidRPr="00B45B4F" w:rsidRDefault="005C133B" w:rsidP="00271DF9">
            <w:pPr>
              <w:spacing w:before="60" w:after="60"/>
              <w:rPr>
                <w:rFonts w:ascii="Verdana" w:hAnsi="Verdana" w:cs="Arial"/>
                <w:sz w:val="20"/>
                <w:szCs w:val="20"/>
                <w:lang w:val="bg-BG"/>
              </w:rPr>
            </w:pPr>
            <w:r w:rsidRPr="00B45B4F">
              <w:rPr>
                <w:rFonts w:ascii="Verdana" w:hAnsi="Verdana" w:cs="Arial"/>
                <w:sz w:val="20"/>
                <w:szCs w:val="20"/>
                <w:lang w:val="bg-BG"/>
              </w:rPr>
              <w:t>Иван Кръстев</w:t>
            </w:r>
          </w:p>
        </w:tc>
        <w:tc>
          <w:tcPr>
            <w:tcW w:w="6570" w:type="dxa"/>
          </w:tcPr>
          <w:p w:rsidR="005C133B" w:rsidRPr="00B45B4F" w:rsidRDefault="005C133B" w:rsidP="00543A68">
            <w:pPr>
              <w:spacing w:before="60" w:after="60"/>
              <w:rPr>
                <w:rFonts w:ascii="Verdana" w:hAnsi="Verdana" w:cs="Arial"/>
                <w:sz w:val="20"/>
                <w:szCs w:val="20"/>
                <w:lang w:val="bg-BG"/>
              </w:rPr>
            </w:pPr>
            <w:r w:rsidRPr="00B45B4F">
              <w:rPr>
                <w:rFonts w:ascii="Verdana" w:hAnsi="Verdana" w:cs="Arial"/>
                <w:sz w:val="20"/>
                <w:szCs w:val="20"/>
                <w:lang w:val="bg-BG"/>
              </w:rPr>
              <w:t>Заместник министър на образованието и науката</w:t>
            </w:r>
          </w:p>
        </w:tc>
      </w:tr>
      <w:tr w:rsidR="005C133B" w:rsidRPr="00B45B4F" w:rsidTr="002E567A">
        <w:tc>
          <w:tcPr>
            <w:tcW w:w="2520" w:type="dxa"/>
          </w:tcPr>
          <w:p w:rsidR="005C133B" w:rsidRPr="00B45B4F" w:rsidRDefault="005C133B" w:rsidP="00271DF9">
            <w:pPr>
              <w:spacing w:before="60" w:after="60"/>
              <w:rPr>
                <w:rFonts w:ascii="Verdana" w:hAnsi="Verdana" w:cs="Arial"/>
                <w:sz w:val="20"/>
                <w:szCs w:val="20"/>
                <w:lang w:val="bg-BG"/>
              </w:rPr>
            </w:pPr>
            <w:r w:rsidRPr="00B45B4F">
              <w:rPr>
                <w:rFonts w:ascii="Verdana" w:hAnsi="Verdana" w:cs="Arial"/>
                <w:sz w:val="20"/>
                <w:szCs w:val="20"/>
                <w:lang w:val="bg-BG"/>
              </w:rPr>
              <w:t>Иван Модев</w:t>
            </w:r>
          </w:p>
        </w:tc>
        <w:tc>
          <w:tcPr>
            <w:tcW w:w="6570" w:type="dxa"/>
          </w:tcPr>
          <w:p w:rsidR="005C133B" w:rsidRPr="00B45B4F" w:rsidRDefault="005C133B" w:rsidP="00543A68">
            <w:pPr>
              <w:spacing w:before="60" w:after="60"/>
              <w:rPr>
                <w:rFonts w:ascii="Verdana" w:hAnsi="Verdana" w:cs="Arial"/>
                <w:sz w:val="20"/>
                <w:szCs w:val="20"/>
                <w:lang w:val="bg-BG"/>
              </w:rPr>
            </w:pPr>
            <w:r w:rsidRPr="00B45B4F">
              <w:rPr>
                <w:rFonts w:ascii="Verdana" w:hAnsi="Verdana" w:cs="Arial"/>
                <w:sz w:val="20"/>
                <w:szCs w:val="20"/>
                <w:lang w:val="bg-BG"/>
              </w:rPr>
              <w:t>Главен директор, Главна дирекция „Структурни фондове и международни образователни програми“</w:t>
            </w:r>
          </w:p>
        </w:tc>
      </w:tr>
      <w:tr w:rsidR="005C133B" w:rsidRPr="00B45B4F" w:rsidTr="002E567A">
        <w:tc>
          <w:tcPr>
            <w:tcW w:w="2520" w:type="dxa"/>
          </w:tcPr>
          <w:p w:rsidR="005C133B" w:rsidRPr="00B45B4F" w:rsidRDefault="005C133B" w:rsidP="00271DF9">
            <w:pPr>
              <w:spacing w:before="60" w:after="60"/>
              <w:rPr>
                <w:rFonts w:ascii="Verdana" w:hAnsi="Verdana" w:cs="Arial"/>
                <w:sz w:val="20"/>
                <w:szCs w:val="20"/>
                <w:lang w:val="bg-BG"/>
              </w:rPr>
            </w:pPr>
            <w:r w:rsidRPr="00B45B4F">
              <w:rPr>
                <w:rFonts w:ascii="Verdana" w:hAnsi="Verdana" w:cs="Arial"/>
                <w:sz w:val="20"/>
                <w:szCs w:val="20"/>
                <w:lang w:val="bg-BG"/>
              </w:rPr>
              <w:t>Стоян Цонев</w:t>
            </w:r>
          </w:p>
        </w:tc>
        <w:tc>
          <w:tcPr>
            <w:tcW w:w="6570" w:type="dxa"/>
          </w:tcPr>
          <w:p w:rsidR="005C133B" w:rsidRPr="00B45B4F" w:rsidRDefault="005C133B" w:rsidP="00543A68">
            <w:pPr>
              <w:spacing w:before="60" w:after="60"/>
              <w:rPr>
                <w:rFonts w:ascii="Verdana" w:hAnsi="Verdana" w:cs="Arial"/>
                <w:sz w:val="20"/>
                <w:szCs w:val="20"/>
                <w:lang w:val="bg-BG"/>
              </w:rPr>
            </w:pPr>
            <w:r w:rsidRPr="00B45B4F">
              <w:rPr>
                <w:rFonts w:ascii="Verdana" w:hAnsi="Verdana" w:cs="Arial"/>
                <w:sz w:val="20"/>
                <w:szCs w:val="20"/>
                <w:lang w:val="bg-BG"/>
              </w:rPr>
              <w:t>Началник отдел "Анализ, планиране и предоставяне на безвъзмездна финансова помощ" Главна дирекция „Структурни фондове и международни образователни програми“</w:t>
            </w:r>
          </w:p>
        </w:tc>
      </w:tr>
      <w:tr w:rsidR="005C133B" w:rsidRPr="00B45B4F" w:rsidTr="002E567A">
        <w:tc>
          <w:tcPr>
            <w:tcW w:w="2520" w:type="dxa"/>
          </w:tcPr>
          <w:p w:rsidR="005C133B" w:rsidRPr="00B45B4F" w:rsidRDefault="005C133B" w:rsidP="00271DF9">
            <w:pPr>
              <w:spacing w:before="60" w:after="60"/>
              <w:rPr>
                <w:rFonts w:ascii="Verdana" w:hAnsi="Verdana" w:cs="Arial"/>
                <w:sz w:val="20"/>
                <w:szCs w:val="20"/>
                <w:lang w:val="bg-BG"/>
              </w:rPr>
            </w:pPr>
            <w:r w:rsidRPr="00B45B4F">
              <w:rPr>
                <w:rFonts w:ascii="Verdana" w:hAnsi="Verdana" w:cs="Arial"/>
                <w:sz w:val="20"/>
                <w:szCs w:val="20"/>
                <w:lang w:val="bg-BG"/>
              </w:rPr>
              <w:t>Николай Николов</w:t>
            </w:r>
          </w:p>
        </w:tc>
        <w:tc>
          <w:tcPr>
            <w:tcW w:w="6570" w:type="dxa"/>
          </w:tcPr>
          <w:p w:rsidR="005C133B" w:rsidRPr="00B45B4F" w:rsidRDefault="005C133B" w:rsidP="00543A68">
            <w:pPr>
              <w:spacing w:before="60" w:after="60"/>
              <w:rPr>
                <w:rFonts w:ascii="Verdana" w:hAnsi="Verdana" w:cs="Arial"/>
                <w:sz w:val="20"/>
                <w:szCs w:val="20"/>
                <w:lang w:val="bg-BG"/>
              </w:rPr>
            </w:pPr>
            <w:r w:rsidRPr="00B45B4F">
              <w:rPr>
                <w:rFonts w:ascii="Verdana" w:hAnsi="Verdana" w:cs="Arial"/>
                <w:sz w:val="20"/>
                <w:szCs w:val="20"/>
                <w:lang w:val="bg-BG"/>
              </w:rPr>
              <w:t>Главен експерт отдел "Анализ, планиране и предоставяне на безвъзмездна финансова помощ" Главна дирекция „Структурни фондове и международни образователни програми“</w:t>
            </w:r>
          </w:p>
        </w:tc>
      </w:tr>
      <w:tr w:rsidR="005C133B" w:rsidRPr="00B45B4F" w:rsidTr="002E567A">
        <w:tc>
          <w:tcPr>
            <w:tcW w:w="2520" w:type="dxa"/>
          </w:tcPr>
          <w:p w:rsidR="005C133B" w:rsidRPr="00B45B4F" w:rsidRDefault="005C133B" w:rsidP="00271DF9">
            <w:pPr>
              <w:spacing w:before="60" w:after="60"/>
              <w:rPr>
                <w:rFonts w:ascii="Verdana" w:hAnsi="Verdana" w:cs="Arial"/>
                <w:sz w:val="20"/>
                <w:szCs w:val="20"/>
                <w:lang w:val="bg-BG"/>
              </w:rPr>
            </w:pPr>
            <w:r w:rsidRPr="00B45B4F">
              <w:rPr>
                <w:rFonts w:ascii="Verdana" w:hAnsi="Verdana" w:cs="Arial"/>
                <w:sz w:val="20"/>
                <w:szCs w:val="20"/>
                <w:lang w:val="bg-BG"/>
              </w:rPr>
              <w:t>Методий Киров</w:t>
            </w:r>
          </w:p>
        </w:tc>
        <w:tc>
          <w:tcPr>
            <w:tcW w:w="6570" w:type="dxa"/>
          </w:tcPr>
          <w:p w:rsidR="005C133B" w:rsidRPr="00B45B4F" w:rsidRDefault="005C133B" w:rsidP="00543A68">
            <w:pPr>
              <w:spacing w:before="60" w:after="60"/>
              <w:rPr>
                <w:rFonts w:ascii="Verdana" w:hAnsi="Verdana" w:cs="Arial"/>
                <w:sz w:val="20"/>
                <w:szCs w:val="20"/>
                <w:lang w:val="bg-BG"/>
              </w:rPr>
            </w:pPr>
            <w:r w:rsidRPr="00B45B4F">
              <w:rPr>
                <w:rFonts w:ascii="Verdana" w:hAnsi="Verdana" w:cs="Arial"/>
                <w:sz w:val="20"/>
                <w:szCs w:val="20"/>
                <w:lang w:val="bg-BG"/>
              </w:rPr>
              <w:t>Държавен експерт отдел "Анализ, планиране и предоставяне на безвъзмездна финансова помощ" Главна дирекция „Структурни фондове и международни образователни програми“</w:t>
            </w:r>
          </w:p>
        </w:tc>
      </w:tr>
      <w:tr w:rsidR="00271DF9" w:rsidRPr="00B45B4F" w:rsidTr="002E567A">
        <w:tc>
          <w:tcPr>
            <w:tcW w:w="2520" w:type="dxa"/>
          </w:tcPr>
          <w:p w:rsidR="00271DF9" w:rsidRPr="00B45B4F" w:rsidRDefault="00271DF9" w:rsidP="00271DF9">
            <w:pPr>
              <w:spacing w:before="60" w:after="60"/>
              <w:rPr>
                <w:rFonts w:ascii="Verdana" w:hAnsi="Verdana" w:cs="Arial"/>
                <w:sz w:val="20"/>
                <w:szCs w:val="20"/>
                <w:lang w:val="bg-BG"/>
              </w:rPr>
            </w:pPr>
            <w:r w:rsidRPr="00B45B4F">
              <w:rPr>
                <w:rFonts w:ascii="Verdana" w:hAnsi="Verdana" w:cs="Arial"/>
                <w:sz w:val="20"/>
                <w:szCs w:val="20"/>
                <w:lang w:val="bg-BG"/>
              </w:rPr>
              <w:t>Ивана Радонова</w:t>
            </w:r>
          </w:p>
        </w:tc>
        <w:tc>
          <w:tcPr>
            <w:tcW w:w="6570" w:type="dxa"/>
          </w:tcPr>
          <w:p w:rsidR="00271DF9" w:rsidRPr="00B45B4F" w:rsidRDefault="00543A68" w:rsidP="00543A68">
            <w:pPr>
              <w:spacing w:before="60" w:after="60"/>
              <w:rPr>
                <w:rFonts w:ascii="Verdana" w:hAnsi="Verdana" w:cs="Arial"/>
                <w:sz w:val="20"/>
                <w:szCs w:val="20"/>
                <w:lang w:val="bg-BG"/>
              </w:rPr>
            </w:pPr>
            <w:r w:rsidRPr="00B45B4F">
              <w:rPr>
                <w:rFonts w:ascii="Verdana" w:hAnsi="Verdana" w:cs="Arial"/>
                <w:sz w:val="20"/>
                <w:szCs w:val="20"/>
                <w:lang w:val="bg-BG"/>
              </w:rPr>
              <w:t>Главен експерт, Дирекция "Висше образование", МОН</w:t>
            </w:r>
          </w:p>
        </w:tc>
      </w:tr>
      <w:tr w:rsidR="00271DF9" w:rsidRPr="00B45B4F" w:rsidTr="002E567A">
        <w:tc>
          <w:tcPr>
            <w:tcW w:w="2520" w:type="dxa"/>
          </w:tcPr>
          <w:p w:rsidR="00271DF9" w:rsidRPr="00B45B4F" w:rsidRDefault="00271DF9" w:rsidP="00271DF9">
            <w:pPr>
              <w:spacing w:before="60" w:after="60"/>
              <w:rPr>
                <w:rFonts w:ascii="Verdana" w:hAnsi="Verdana" w:cs="Arial"/>
                <w:sz w:val="20"/>
                <w:szCs w:val="20"/>
                <w:lang w:val="bg-BG"/>
              </w:rPr>
            </w:pPr>
            <w:r w:rsidRPr="00B45B4F">
              <w:rPr>
                <w:rFonts w:ascii="Verdana" w:hAnsi="Verdana" w:cs="Arial"/>
                <w:sz w:val="20"/>
                <w:szCs w:val="20"/>
                <w:lang w:val="bg-BG"/>
              </w:rPr>
              <w:t>Яна Йотова</w:t>
            </w:r>
          </w:p>
        </w:tc>
        <w:tc>
          <w:tcPr>
            <w:tcW w:w="6570" w:type="dxa"/>
          </w:tcPr>
          <w:p w:rsidR="00271DF9" w:rsidRPr="00B45B4F" w:rsidRDefault="00543A68" w:rsidP="00543A68">
            <w:pPr>
              <w:spacing w:before="60" w:after="60"/>
              <w:rPr>
                <w:rFonts w:ascii="Verdana" w:hAnsi="Verdana" w:cs="Arial"/>
                <w:sz w:val="20"/>
                <w:szCs w:val="20"/>
                <w:lang w:val="bg-BG"/>
              </w:rPr>
            </w:pPr>
            <w:r w:rsidRPr="00B45B4F">
              <w:rPr>
                <w:rFonts w:ascii="Verdana" w:hAnsi="Verdana" w:cs="Arial"/>
                <w:sz w:val="20"/>
                <w:szCs w:val="20"/>
                <w:lang w:val="bg-BG"/>
              </w:rPr>
              <w:t>Старши експерт, Дирекция "Висше образование", МОН</w:t>
            </w:r>
          </w:p>
        </w:tc>
      </w:tr>
      <w:tr w:rsidR="00271DF9" w:rsidRPr="00B45B4F" w:rsidTr="002E567A">
        <w:tc>
          <w:tcPr>
            <w:tcW w:w="2520" w:type="dxa"/>
          </w:tcPr>
          <w:p w:rsidR="00271DF9" w:rsidRPr="00B45B4F" w:rsidRDefault="00543A68" w:rsidP="00271DF9">
            <w:pPr>
              <w:spacing w:before="60" w:after="60"/>
              <w:rPr>
                <w:rFonts w:ascii="Verdana" w:hAnsi="Verdana" w:cs="Arial"/>
                <w:sz w:val="20"/>
                <w:szCs w:val="20"/>
                <w:lang w:val="bg-BG"/>
              </w:rPr>
            </w:pPr>
            <w:r w:rsidRPr="00B45B4F">
              <w:rPr>
                <w:rFonts w:ascii="Verdana" w:hAnsi="Verdana" w:cs="Arial"/>
                <w:sz w:val="20"/>
                <w:szCs w:val="20"/>
                <w:lang w:val="bg-BG"/>
              </w:rPr>
              <w:t>Валентина Дейкова</w:t>
            </w:r>
          </w:p>
        </w:tc>
        <w:tc>
          <w:tcPr>
            <w:tcW w:w="6570" w:type="dxa"/>
          </w:tcPr>
          <w:p w:rsidR="00271DF9" w:rsidRPr="00B45B4F" w:rsidRDefault="00543A68" w:rsidP="00543A68">
            <w:pPr>
              <w:spacing w:before="60" w:after="60"/>
              <w:rPr>
                <w:rFonts w:ascii="Verdana" w:hAnsi="Verdana" w:cs="Arial"/>
                <w:sz w:val="20"/>
                <w:szCs w:val="20"/>
                <w:lang w:val="bg-BG"/>
              </w:rPr>
            </w:pPr>
            <w:r w:rsidRPr="00B45B4F">
              <w:rPr>
                <w:rFonts w:ascii="Verdana" w:hAnsi="Verdana" w:cs="Arial"/>
                <w:sz w:val="20"/>
                <w:szCs w:val="20"/>
                <w:lang w:val="bg-BG"/>
              </w:rPr>
              <w:t>Началник отдел „Учене през целия живот“, дирекция „Ф</w:t>
            </w:r>
            <w:r w:rsidRPr="00B45B4F">
              <w:rPr>
                <w:rFonts w:ascii="Verdana" w:hAnsi="Verdana" w:cs="Tahoma"/>
                <w:sz w:val="20"/>
                <w:szCs w:val="20"/>
                <w:lang w:val="bg-BG"/>
              </w:rPr>
              <w:t>ормиране, анализ и оценка на политиките“</w:t>
            </w:r>
          </w:p>
        </w:tc>
      </w:tr>
      <w:tr w:rsidR="00543A68" w:rsidRPr="00B45B4F" w:rsidTr="002E567A">
        <w:tc>
          <w:tcPr>
            <w:tcW w:w="2520" w:type="dxa"/>
          </w:tcPr>
          <w:p w:rsidR="00543A68" w:rsidRPr="00B45B4F" w:rsidRDefault="00543A68" w:rsidP="00271DF9">
            <w:pPr>
              <w:spacing w:before="60" w:after="60"/>
              <w:rPr>
                <w:rFonts w:ascii="Verdana" w:hAnsi="Verdana" w:cs="Arial"/>
                <w:sz w:val="20"/>
                <w:szCs w:val="20"/>
                <w:lang w:val="bg-BG"/>
              </w:rPr>
            </w:pPr>
            <w:r w:rsidRPr="00B45B4F">
              <w:rPr>
                <w:rFonts w:ascii="Verdana" w:hAnsi="Verdana" w:cs="Arial"/>
                <w:sz w:val="20"/>
                <w:szCs w:val="20"/>
                <w:lang w:val="bg-BG"/>
              </w:rPr>
              <w:t>Геновева Жечева</w:t>
            </w:r>
          </w:p>
        </w:tc>
        <w:tc>
          <w:tcPr>
            <w:tcW w:w="6570" w:type="dxa"/>
          </w:tcPr>
          <w:p w:rsidR="00543A68" w:rsidRPr="00B45B4F" w:rsidRDefault="00543A68" w:rsidP="00543A68">
            <w:pPr>
              <w:spacing w:before="60" w:after="60"/>
              <w:rPr>
                <w:rFonts w:ascii="Verdana" w:hAnsi="Verdana" w:cs="Arial"/>
                <w:sz w:val="20"/>
                <w:szCs w:val="20"/>
                <w:lang w:val="bg-BG"/>
              </w:rPr>
            </w:pPr>
            <w:r w:rsidRPr="00B45B4F">
              <w:rPr>
                <w:rFonts w:ascii="Verdana" w:hAnsi="Verdana" w:cs="Arial"/>
                <w:sz w:val="20"/>
                <w:szCs w:val="20"/>
                <w:lang w:val="bg-BG"/>
              </w:rPr>
              <w:t>Началник отдел „</w:t>
            </w:r>
            <w:r w:rsidRPr="00B45B4F">
              <w:rPr>
                <w:rFonts w:ascii="Verdana" w:hAnsi="Verdana" w:cs="Tahoma"/>
                <w:sz w:val="20"/>
                <w:szCs w:val="20"/>
                <w:lang w:val="bg-BG"/>
              </w:rPr>
              <w:t>Транснационални научни инициативи“, дирекция „Наука“</w:t>
            </w:r>
          </w:p>
        </w:tc>
      </w:tr>
      <w:tr w:rsidR="002C1A8B" w:rsidRPr="00B45B4F" w:rsidTr="002E567A">
        <w:tc>
          <w:tcPr>
            <w:tcW w:w="2520" w:type="dxa"/>
          </w:tcPr>
          <w:p w:rsidR="002C1A8B" w:rsidRPr="00B45B4F" w:rsidRDefault="002C1A8B" w:rsidP="00271DF9">
            <w:pPr>
              <w:spacing w:before="60" w:after="60"/>
              <w:rPr>
                <w:rFonts w:ascii="Verdana" w:hAnsi="Verdana" w:cs="Arial"/>
                <w:sz w:val="20"/>
                <w:szCs w:val="20"/>
                <w:lang w:val="bg-BG"/>
              </w:rPr>
            </w:pPr>
            <w:r>
              <w:rPr>
                <w:rFonts w:ascii="Verdana" w:hAnsi="Verdana" w:cs="Arial"/>
                <w:sz w:val="20"/>
                <w:szCs w:val="20"/>
                <w:lang w:val="bg-BG"/>
              </w:rPr>
              <w:t>Методи Киров</w:t>
            </w:r>
          </w:p>
        </w:tc>
        <w:tc>
          <w:tcPr>
            <w:tcW w:w="6570" w:type="dxa"/>
          </w:tcPr>
          <w:p w:rsidR="002C1A8B" w:rsidRPr="00B45B4F" w:rsidRDefault="002C1A8B" w:rsidP="00357075">
            <w:pPr>
              <w:spacing w:before="60" w:after="60"/>
              <w:rPr>
                <w:rFonts w:ascii="Verdana" w:hAnsi="Verdana" w:cs="Arial"/>
                <w:sz w:val="20"/>
                <w:szCs w:val="20"/>
                <w:lang w:val="bg-BG"/>
              </w:rPr>
            </w:pPr>
            <w:r>
              <w:rPr>
                <w:rFonts w:ascii="Verdana" w:hAnsi="Verdana" w:cs="Arial"/>
                <w:sz w:val="20"/>
                <w:szCs w:val="20"/>
                <w:lang w:val="bg-BG"/>
              </w:rPr>
              <w:t>Началник отдел „Наблюдение и оценка“</w:t>
            </w:r>
          </w:p>
        </w:tc>
      </w:tr>
      <w:tr w:rsidR="002C1A8B" w:rsidRPr="00B45B4F" w:rsidTr="002E567A">
        <w:tc>
          <w:tcPr>
            <w:tcW w:w="2520" w:type="dxa"/>
          </w:tcPr>
          <w:p w:rsidR="002C1A8B" w:rsidRPr="00B45B4F" w:rsidRDefault="002C1A8B" w:rsidP="002C1A8B">
            <w:pPr>
              <w:spacing w:before="60" w:after="60"/>
              <w:rPr>
                <w:rFonts w:ascii="Verdana" w:hAnsi="Verdana" w:cs="Arial"/>
                <w:sz w:val="20"/>
                <w:szCs w:val="20"/>
                <w:lang w:val="bg-BG"/>
              </w:rPr>
            </w:pPr>
            <w:r>
              <w:rPr>
                <w:rFonts w:ascii="Verdana" w:hAnsi="Verdana" w:cs="Arial"/>
                <w:sz w:val="20"/>
                <w:szCs w:val="20"/>
                <w:lang w:val="bg-BG"/>
              </w:rPr>
              <w:t>Стефка Пилева-Малиновска</w:t>
            </w:r>
          </w:p>
        </w:tc>
        <w:tc>
          <w:tcPr>
            <w:tcW w:w="6570" w:type="dxa"/>
          </w:tcPr>
          <w:p w:rsidR="002C1A8B" w:rsidRPr="00B45B4F" w:rsidRDefault="002C1A8B" w:rsidP="00357075">
            <w:pPr>
              <w:spacing w:before="60" w:after="60"/>
              <w:rPr>
                <w:rFonts w:ascii="Verdana" w:hAnsi="Verdana" w:cs="Arial"/>
                <w:sz w:val="20"/>
                <w:szCs w:val="20"/>
                <w:lang w:val="bg-BG"/>
              </w:rPr>
            </w:pPr>
            <w:r>
              <w:rPr>
                <w:rFonts w:ascii="Verdana" w:hAnsi="Verdana" w:cs="Arial"/>
                <w:sz w:val="20"/>
                <w:szCs w:val="20"/>
                <w:lang w:val="bg-BG"/>
              </w:rPr>
              <w:t>Началник отдел „Верификация“</w:t>
            </w:r>
          </w:p>
        </w:tc>
      </w:tr>
      <w:tr w:rsidR="002C1A8B" w:rsidRPr="00B45B4F" w:rsidTr="002E567A">
        <w:tc>
          <w:tcPr>
            <w:tcW w:w="2520" w:type="dxa"/>
          </w:tcPr>
          <w:p w:rsidR="002C1A8B" w:rsidRPr="00B45B4F" w:rsidRDefault="002C1A8B" w:rsidP="00271DF9">
            <w:pPr>
              <w:spacing w:before="60" w:after="60"/>
              <w:rPr>
                <w:rFonts w:ascii="Verdana" w:hAnsi="Verdana" w:cs="Arial"/>
                <w:sz w:val="20"/>
                <w:szCs w:val="20"/>
                <w:lang w:val="bg-BG"/>
              </w:rPr>
            </w:pPr>
            <w:r>
              <w:rPr>
                <w:rFonts w:ascii="Verdana" w:hAnsi="Verdana" w:cs="Arial"/>
                <w:sz w:val="20"/>
                <w:szCs w:val="20"/>
                <w:lang w:val="bg-BG"/>
              </w:rPr>
              <w:t>Димитър Ничев</w:t>
            </w:r>
          </w:p>
        </w:tc>
        <w:tc>
          <w:tcPr>
            <w:tcW w:w="6570" w:type="dxa"/>
          </w:tcPr>
          <w:p w:rsidR="002C1A8B" w:rsidRPr="00B45B4F" w:rsidRDefault="002C1A8B" w:rsidP="00357075">
            <w:pPr>
              <w:spacing w:before="60" w:after="60"/>
              <w:rPr>
                <w:rFonts w:ascii="Verdana" w:hAnsi="Verdana" w:cs="Arial"/>
                <w:sz w:val="20"/>
                <w:szCs w:val="20"/>
                <w:lang w:val="bg-BG"/>
              </w:rPr>
            </w:pPr>
            <w:r>
              <w:rPr>
                <w:rFonts w:ascii="Verdana" w:hAnsi="Verdana" w:cs="Arial"/>
                <w:sz w:val="20"/>
                <w:szCs w:val="20"/>
                <w:lang w:val="bg-BG"/>
              </w:rPr>
              <w:t>Началник сектор „Техническа верификация“ в отдел „Верификация“</w:t>
            </w:r>
          </w:p>
        </w:tc>
      </w:tr>
      <w:tr w:rsidR="002C1A8B" w:rsidRPr="00B45B4F" w:rsidTr="002E567A">
        <w:tc>
          <w:tcPr>
            <w:tcW w:w="2520" w:type="dxa"/>
          </w:tcPr>
          <w:p w:rsidR="002C1A8B" w:rsidRPr="00B45B4F" w:rsidRDefault="002C1A8B" w:rsidP="00271DF9">
            <w:pPr>
              <w:spacing w:before="60" w:after="60"/>
              <w:rPr>
                <w:rFonts w:ascii="Verdana" w:hAnsi="Verdana" w:cs="Arial"/>
                <w:sz w:val="20"/>
                <w:szCs w:val="20"/>
                <w:lang w:val="bg-BG"/>
              </w:rPr>
            </w:pPr>
            <w:r>
              <w:rPr>
                <w:rFonts w:ascii="Verdana" w:hAnsi="Verdana" w:cs="Arial"/>
                <w:sz w:val="20"/>
                <w:szCs w:val="20"/>
                <w:lang w:val="bg-BG"/>
              </w:rPr>
              <w:t>Благовеста Хаджипеткова</w:t>
            </w:r>
          </w:p>
        </w:tc>
        <w:tc>
          <w:tcPr>
            <w:tcW w:w="6570" w:type="dxa"/>
          </w:tcPr>
          <w:p w:rsidR="002C1A8B" w:rsidRPr="00B45B4F" w:rsidRDefault="002C1A8B" w:rsidP="002C1A8B">
            <w:pPr>
              <w:spacing w:before="60" w:after="60"/>
              <w:rPr>
                <w:rFonts w:ascii="Verdana" w:hAnsi="Verdana" w:cs="Arial"/>
                <w:sz w:val="20"/>
                <w:szCs w:val="20"/>
                <w:lang w:val="bg-BG"/>
              </w:rPr>
            </w:pPr>
            <w:r>
              <w:rPr>
                <w:rFonts w:ascii="Verdana" w:hAnsi="Verdana" w:cs="Arial"/>
                <w:sz w:val="20"/>
                <w:szCs w:val="20"/>
                <w:lang w:val="bg-BG"/>
              </w:rPr>
              <w:t>Началник сектор „Финансова верификация“ в отдел „Верификация“</w:t>
            </w:r>
          </w:p>
        </w:tc>
      </w:tr>
      <w:tr w:rsidR="002C1A8B" w:rsidRPr="00B45B4F" w:rsidTr="002E567A">
        <w:tc>
          <w:tcPr>
            <w:tcW w:w="2520" w:type="dxa"/>
          </w:tcPr>
          <w:p w:rsidR="002C1A8B" w:rsidRPr="00B45B4F" w:rsidRDefault="002C1A8B" w:rsidP="00271DF9">
            <w:pPr>
              <w:spacing w:before="60" w:after="60"/>
              <w:rPr>
                <w:rFonts w:ascii="Verdana" w:hAnsi="Verdana" w:cs="Arial"/>
                <w:sz w:val="20"/>
                <w:szCs w:val="20"/>
                <w:lang w:val="bg-BG"/>
              </w:rPr>
            </w:pPr>
            <w:r>
              <w:rPr>
                <w:rFonts w:ascii="Verdana" w:hAnsi="Verdana" w:cs="Arial"/>
                <w:sz w:val="20"/>
                <w:szCs w:val="20"/>
                <w:lang w:val="bg-BG"/>
              </w:rPr>
              <w:t>Борислав Първанов</w:t>
            </w:r>
          </w:p>
        </w:tc>
        <w:tc>
          <w:tcPr>
            <w:tcW w:w="6570" w:type="dxa"/>
          </w:tcPr>
          <w:p w:rsidR="002C1A8B" w:rsidRPr="00B45B4F" w:rsidRDefault="002C1A8B" w:rsidP="002C1A8B">
            <w:pPr>
              <w:spacing w:before="60" w:after="60"/>
              <w:rPr>
                <w:rFonts w:ascii="Verdana" w:hAnsi="Verdana" w:cs="Arial"/>
                <w:sz w:val="20"/>
                <w:szCs w:val="20"/>
                <w:lang w:val="bg-BG"/>
              </w:rPr>
            </w:pPr>
            <w:r>
              <w:rPr>
                <w:rFonts w:ascii="Verdana" w:hAnsi="Verdana" w:cs="Arial"/>
                <w:sz w:val="20"/>
                <w:szCs w:val="20"/>
                <w:lang w:val="bg-BG"/>
              </w:rPr>
              <w:t>Старши сътрудник в отдел „Управление на риска и контрол“</w:t>
            </w:r>
          </w:p>
        </w:tc>
      </w:tr>
      <w:tr w:rsidR="002C1A8B" w:rsidRPr="00B45B4F" w:rsidTr="002E567A">
        <w:tc>
          <w:tcPr>
            <w:tcW w:w="2520" w:type="dxa"/>
          </w:tcPr>
          <w:p w:rsidR="002C1A8B" w:rsidRPr="00B45B4F" w:rsidRDefault="002C1A8B" w:rsidP="00271DF9">
            <w:pPr>
              <w:spacing w:before="60" w:after="60"/>
              <w:rPr>
                <w:rFonts w:ascii="Verdana" w:hAnsi="Verdana" w:cs="Arial"/>
                <w:sz w:val="20"/>
                <w:szCs w:val="20"/>
                <w:lang w:val="bg-BG"/>
              </w:rPr>
            </w:pPr>
            <w:r>
              <w:rPr>
                <w:rFonts w:ascii="Verdana" w:hAnsi="Verdana" w:cs="Arial"/>
                <w:sz w:val="20"/>
                <w:szCs w:val="20"/>
                <w:lang w:val="bg-BG"/>
              </w:rPr>
              <w:t>Цветанка Фичева</w:t>
            </w:r>
          </w:p>
        </w:tc>
        <w:tc>
          <w:tcPr>
            <w:tcW w:w="6570" w:type="dxa"/>
          </w:tcPr>
          <w:p w:rsidR="002C1A8B" w:rsidRPr="00B45B4F" w:rsidRDefault="002C1A8B" w:rsidP="00357075">
            <w:pPr>
              <w:spacing w:before="60" w:after="60"/>
              <w:rPr>
                <w:rFonts w:ascii="Verdana" w:hAnsi="Verdana" w:cs="Arial"/>
                <w:sz w:val="20"/>
                <w:szCs w:val="20"/>
                <w:lang w:val="bg-BG"/>
              </w:rPr>
            </w:pPr>
            <w:r>
              <w:rPr>
                <w:rFonts w:ascii="Verdana" w:hAnsi="Verdana" w:cs="Arial"/>
                <w:sz w:val="20"/>
                <w:szCs w:val="20"/>
                <w:lang w:val="bg-BG"/>
              </w:rPr>
              <w:t xml:space="preserve">Началник отдел „Финансово планиране, счетоводна </w:t>
            </w:r>
            <w:r>
              <w:rPr>
                <w:rFonts w:ascii="Verdana" w:hAnsi="Verdana" w:cs="Arial"/>
                <w:sz w:val="20"/>
                <w:szCs w:val="20"/>
                <w:lang w:val="bg-BG"/>
              </w:rPr>
              <w:lastRenderedPageBreak/>
              <w:t>отчетност и плащания“</w:t>
            </w:r>
          </w:p>
        </w:tc>
      </w:tr>
      <w:tr w:rsidR="00543A68" w:rsidRPr="00B45B4F" w:rsidTr="002E567A">
        <w:tc>
          <w:tcPr>
            <w:tcW w:w="2520" w:type="dxa"/>
          </w:tcPr>
          <w:p w:rsidR="00543A68" w:rsidRPr="00B45B4F" w:rsidRDefault="00543A68" w:rsidP="00271DF9">
            <w:pPr>
              <w:spacing w:before="60" w:after="60"/>
              <w:rPr>
                <w:rFonts w:ascii="Verdana" w:hAnsi="Verdana" w:cs="Arial"/>
                <w:sz w:val="20"/>
                <w:szCs w:val="20"/>
                <w:lang w:val="bg-BG"/>
              </w:rPr>
            </w:pPr>
            <w:r w:rsidRPr="00B45B4F">
              <w:rPr>
                <w:rFonts w:ascii="Verdana" w:hAnsi="Verdana" w:cs="Arial"/>
                <w:sz w:val="20"/>
                <w:szCs w:val="20"/>
                <w:lang w:val="bg-BG"/>
              </w:rPr>
              <w:lastRenderedPageBreak/>
              <w:t>Людмила Тозева</w:t>
            </w:r>
          </w:p>
        </w:tc>
        <w:tc>
          <w:tcPr>
            <w:tcW w:w="6570" w:type="dxa"/>
          </w:tcPr>
          <w:p w:rsidR="00543A68" w:rsidRPr="00B45B4F" w:rsidRDefault="00357075" w:rsidP="00357075">
            <w:pPr>
              <w:spacing w:before="60" w:after="60"/>
              <w:rPr>
                <w:rFonts w:ascii="Verdana" w:hAnsi="Verdana" w:cs="Arial"/>
                <w:sz w:val="20"/>
                <w:szCs w:val="20"/>
                <w:lang w:val="bg-BG"/>
              </w:rPr>
            </w:pPr>
            <w:r w:rsidRPr="00B45B4F">
              <w:rPr>
                <w:rFonts w:ascii="Verdana" w:hAnsi="Verdana" w:cs="Arial"/>
                <w:sz w:val="20"/>
                <w:szCs w:val="20"/>
                <w:lang w:val="bg-BG"/>
              </w:rPr>
              <w:t>Началник отдел „Програмиране, наблюдение и оценка на оперативната програма“, ГД „Европейски фондове за конкурентоспособност“</w:t>
            </w:r>
            <w:r w:rsidR="00A82200" w:rsidRPr="00B45B4F">
              <w:rPr>
                <w:rFonts w:ascii="Verdana" w:hAnsi="Verdana" w:cs="Arial"/>
                <w:sz w:val="20"/>
                <w:szCs w:val="20"/>
                <w:lang w:val="bg-BG"/>
              </w:rPr>
              <w:t>, Министерство на икономиката и</w:t>
            </w:r>
            <w:r w:rsidRPr="00B45B4F">
              <w:rPr>
                <w:rFonts w:ascii="Verdana" w:hAnsi="Verdana" w:cs="Arial"/>
                <w:sz w:val="20"/>
                <w:szCs w:val="20"/>
                <w:lang w:val="bg-BG"/>
              </w:rPr>
              <w:t xml:space="preserve"> енергетиката</w:t>
            </w:r>
          </w:p>
        </w:tc>
      </w:tr>
      <w:tr w:rsidR="00543A68" w:rsidRPr="00B45B4F" w:rsidTr="002E567A">
        <w:tc>
          <w:tcPr>
            <w:tcW w:w="2520" w:type="dxa"/>
          </w:tcPr>
          <w:p w:rsidR="00543A68" w:rsidRPr="00B45B4F" w:rsidRDefault="00543A68" w:rsidP="00271DF9">
            <w:pPr>
              <w:spacing w:before="60" w:after="60"/>
              <w:rPr>
                <w:rFonts w:ascii="Verdana" w:hAnsi="Verdana" w:cs="Arial"/>
                <w:sz w:val="20"/>
                <w:szCs w:val="20"/>
                <w:lang w:val="bg-BG"/>
              </w:rPr>
            </w:pPr>
            <w:r w:rsidRPr="00B45B4F">
              <w:rPr>
                <w:rFonts w:ascii="Verdana" w:hAnsi="Verdana" w:cs="Arial"/>
                <w:sz w:val="20"/>
                <w:szCs w:val="20"/>
                <w:lang w:val="bg-BG"/>
              </w:rPr>
              <w:t>Даниела Малхасян</w:t>
            </w:r>
          </w:p>
        </w:tc>
        <w:tc>
          <w:tcPr>
            <w:tcW w:w="6570" w:type="dxa"/>
          </w:tcPr>
          <w:p w:rsidR="00543A68" w:rsidRPr="00B45B4F" w:rsidRDefault="00A82200" w:rsidP="00543A68">
            <w:pPr>
              <w:spacing w:before="60" w:after="60"/>
              <w:rPr>
                <w:rFonts w:ascii="Verdana" w:hAnsi="Verdana" w:cs="Arial"/>
                <w:sz w:val="20"/>
                <w:szCs w:val="20"/>
                <w:lang w:val="bg-BG"/>
              </w:rPr>
            </w:pPr>
            <w:r w:rsidRPr="00B45B4F">
              <w:rPr>
                <w:rFonts w:ascii="Verdana" w:hAnsi="Verdana" w:cs="Arial"/>
                <w:sz w:val="20"/>
                <w:szCs w:val="20"/>
                <w:lang w:val="bg-BG"/>
              </w:rPr>
              <w:t>Заместник главен директор ГД „Европейски фондове за конкурентоспособност“, Министерство на икономиката и енергетиката</w:t>
            </w:r>
          </w:p>
        </w:tc>
      </w:tr>
    </w:tbl>
    <w:p w:rsidR="00711B2D" w:rsidRPr="00B45B4F" w:rsidRDefault="00711B2D" w:rsidP="00FB0125">
      <w:pPr>
        <w:rPr>
          <w:lang w:val="bg-BG"/>
        </w:rPr>
      </w:pPr>
    </w:p>
    <w:p w:rsidR="00271DF9" w:rsidRPr="00B45B4F" w:rsidRDefault="006744A9" w:rsidP="00FB0125">
      <w:pPr>
        <w:rPr>
          <w:rFonts w:ascii="Verdana" w:hAnsi="Verdana"/>
          <w:b/>
          <w:color w:val="548DD4" w:themeColor="text2" w:themeTint="99"/>
          <w:lang w:val="bg-BG"/>
        </w:rPr>
      </w:pPr>
      <w:r>
        <w:rPr>
          <w:rFonts w:ascii="Verdana" w:hAnsi="Verdana"/>
          <w:b/>
          <w:color w:val="548DD4" w:themeColor="text2" w:themeTint="99"/>
          <w:lang w:val="bg-BG"/>
        </w:rPr>
        <w:t>Участници във ф</w:t>
      </w:r>
      <w:r w:rsidR="00543A68" w:rsidRPr="00B45B4F">
        <w:rPr>
          <w:rFonts w:ascii="Verdana" w:hAnsi="Verdana"/>
          <w:b/>
          <w:color w:val="548DD4" w:themeColor="text2" w:themeTint="99"/>
          <w:lang w:val="bg-BG"/>
        </w:rPr>
        <w:t xml:space="preserve">окус група с представители на </w:t>
      </w:r>
      <w:r w:rsidR="002E567A" w:rsidRPr="00B45B4F">
        <w:rPr>
          <w:rFonts w:ascii="Verdana" w:hAnsi="Verdana"/>
          <w:b/>
          <w:color w:val="548DD4" w:themeColor="text2" w:themeTint="99"/>
          <w:lang w:val="bg-BG"/>
        </w:rPr>
        <w:t>ТРГ</w:t>
      </w:r>
      <w:r w:rsidR="00543A68" w:rsidRPr="00B45B4F">
        <w:rPr>
          <w:rFonts w:ascii="Verdana" w:hAnsi="Verdana"/>
          <w:b/>
          <w:color w:val="548DD4" w:themeColor="text2" w:themeTint="99"/>
          <w:lang w:val="bg-BG"/>
        </w:rPr>
        <w:t xml:space="preserve"> за подготовка на програмата</w:t>
      </w:r>
    </w:p>
    <w:tbl>
      <w:tblPr>
        <w:tblStyle w:val="TableGrid"/>
        <w:tblW w:w="9072" w:type="dxa"/>
        <w:tblInd w:w="108" w:type="dxa"/>
        <w:tblBorders>
          <w:top w:val="single" w:sz="8" w:space="0" w:color="17365D"/>
          <w:left w:val="single" w:sz="8" w:space="0" w:color="17365D"/>
          <w:bottom w:val="single" w:sz="8" w:space="0" w:color="17365D"/>
          <w:right w:val="single" w:sz="8" w:space="0" w:color="17365D"/>
          <w:insideH w:val="single" w:sz="8" w:space="0" w:color="17365D"/>
          <w:insideV w:val="single" w:sz="8" w:space="0" w:color="17365D"/>
        </w:tblBorders>
        <w:tblLook w:val="04A0" w:firstRow="1" w:lastRow="0" w:firstColumn="1" w:lastColumn="0" w:noHBand="0" w:noVBand="1"/>
      </w:tblPr>
      <w:tblGrid>
        <w:gridCol w:w="2520"/>
        <w:gridCol w:w="6552"/>
      </w:tblGrid>
      <w:tr w:rsidR="00543A68" w:rsidRPr="00B45B4F" w:rsidTr="002E567A">
        <w:tc>
          <w:tcPr>
            <w:tcW w:w="2520" w:type="dxa"/>
            <w:shd w:val="clear" w:color="auto" w:fill="548DD4" w:themeFill="text2" w:themeFillTint="99"/>
          </w:tcPr>
          <w:p w:rsidR="00543A68" w:rsidRPr="00B45B4F" w:rsidRDefault="00543A68" w:rsidP="006F74A8">
            <w:pPr>
              <w:spacing w:before="60" w:after="60"/>
              <w:rPr>
                <w:rFonts w:ascii="Verdana" w:hAnsi="Verdana" w:cs="Arial"/>
                <w:b/>
                <w:color w:val="FFFFFF" w:themeColor="background1"/>
                <w:sz w:val="20"/>
                <w:szCs w:val="20"/>
                <w:lang w:val="bg-BG"/>
              </w:rPr>
            </w:pPr>
            <w:r w:rsidRPr="00B45B4F">
              <w:rPr>
                <w:rFonts w:ascii="Verdana" w:hAnsi="Verdana" w:cs="Arial"/>
                <w:b/>
                <w:color w:val="FFFFFF" w:themeColor="background1"/>
                <w:sz w:val="20"/>
                <w:szCs w:val="20"/>
                <w:lang w:val="bg-BG"/>
              </w:rPr>
              <w:t xml:space="preserve">Име </w:t>
            </w:r>
          </w:p>
        </w:tc>
        <w:tc>
          <w:tcPr>
            <w:tcW w:w="6552" w:type="dxa"/>
            <w:shd w:val="clear" w:color="auto" w:fill="548DD4" w:themeFill="text2" w:themeFillTint="99"/>
          </w:tcPr>
          <w:p w:rsidR="00543A68" w:rsidRPr="00B45B4F" w:rsidRDefault="00543A68" w:rsidP="006F74A8">
            <w:pPr>
              <w:spacing w:before="60" w:after="60"/>
              <w:rPr>
                <w:rFonts w:ascii="Verdana" w:hAnsi="Verdana" w:cs="Arial"/>
                <w:b/>
                <w:color w:val="FFFFFF" w:themeColor="background1"/>
                <w:sz w:val="20"/>
                <w:szCs w:val="20"/>
                <w:lang w:val="bg-BG"/>
              </w:rPr>
            </w:pPr>
            <w:r w:rsidRPr="00B45B4F">
              <w:rPr>
                <w:rFonts w:ascii="Verdana" w:hAnsi="Verdana" w:cs="Arial"/>
                <w:b/>
                <w:color w:val="FFFFFF" w:themeColor="background1"/>
                <w:sz w:val="20"/>
                <w:szCs w:val="20"/>
                <w:lang w:val="bg-BG"/>
              </w:rPr>
              <w:t>Институция</w:t>
            </w:r>
          </w:p>
        </w:tc>
      </w:tr>
      <w:tr w:rsidR="00543A68" w:rsidRPr="00B45B4F" w:rsidTr="002E567A">
        <w:tc>
          <w:tcPr>
            <w:tcW w:w="2520" w:type="dxa"/>
          </w:tcPr>
          <w:p w:rsidR="00543A68" w:rsidRPr="00B45B4F" w:rsidRDefault="005C133B" w:rsidP="006F74A8">
            <w:pPr>
              <w:spacing w:before="60" w:after="60"/>
              <w:rPr>
                <w:rFonts w:ascii="Verdana" w:hAnsi="Verdana" w:cs="Arial"/>
                <w:sz w:val="20"/>
                <w:szCs w:val="20"/>
                <w:lang w:val="bg-BG"/>
              </w:rPr>
            </w:pPr>
            <w:r w:rsidRPr="00B45B4F">
              <w:rPr>
                <w:rFonts w:ascii="Verdana" w:hAnsi="Verdana" w:cs="Arial"/>
                <w:sz w:val="20"/>
                <w:szCs w:val="20"/>
                <w:lang w:val="bg-BG"/>
              </w:rPr>
              <w:t>Христиан Даскалов</w:t>
            </w:r>
          </w:p>
        </w:tc>
        <w:tc>
          <w:tcPr>
            <w:tcW w:w="6552" w:type="dxa"/>
          </w:tcPr>
          <w:p w:rsidR="00543A68" w:rsidRPr="00B45B4F" w:rsidRDefault="005C133B" w:rsidP="006F74A8">
            <w:pPr>
              <w:spacing w:before="60" w:after="60"/>
              <w:rPr>
                <w:rFonts w:ascii="Verdana" w:hAnsi="Verdana" w:cs="Arial"/>
                <w:sz w:val="20"/>
                <w:szCs w:val="20"/>
                <w:lang w:val="bg-BG"/>
              </w:rPr>
            </w:pPr>
            <w:r w:rsidRPr="00B45B4F">
              <w:rPr>
                <w:rFonts w:ascii="Verdana" w:hAnsi="Verdana" w:cs="Arial"/>
                <w:sz w:val="20"/>
                <w:szCs w:val="20"/>
                <w:lang w:val="bg-BG"/>
              </w:rPr>
              <w:t>Национално представителство на студентските съвети</w:t>
            </w:r>
          </w:p>
        </w:tc>
      </w:tr>
      <w:tr w:rsidR="005C133B" w:rsidRPr="00B45B4F" w:rsidTr="002E567A">
        <w:tc>
          <w:tcPr>
            <w:tcW w:w="2520" w:type="dxa"/>
          </w:tcPr>
          <w:p w:rsidR="005C133B" w:rsidRPr="00B45B4F" w:rsidRDefault="005C133B" w:rsidP="006F74A8">
            <w:pPr>
              <w:spacing w:before="60" w:after="60"/>
              <w:rPr>
                <w:rFonts w:ascii="Verdana" w:hAnsi="Verdana" w:cs="Arial"/>
                <w:sz w:val="20"/>
                <w:szCs w:val="20"/>
                <w:lang w:val="bg-BG"/>
              </w:rPr>
            </w:pPr>
            <w:r w:rsidRPr="00B45B4F">
              <w:rPr>
                <w:rFonts w:ascii="Verdana" w:hAnsi="Verdana" w:cs="Arial"/>
                <w:sz w:val="20"/>
                <w:szCs w:val="20"/>
                <w:lang w:val="bg-BG"/>
              </w:rPr>
              <w:t>Николай Найденов</w:t>
            </w:r>
          </w:p>
        </w:tc>
        <w:tc>
          <w:tcPr>
            <w:tcW w:w="6552" w:type="dxa"/>
          </w:tcPr>
          <w:p w:rsidR="005C133B" w:rsidRPr="00B45B4F" w:rsidRDefault="005C133B" w:rsidP="006F74A8">
            <w:pPr>
              <w:spacing w:before="60" w:after="60"/>
              <w:rPr>
                <w:rFonts w:ascii="Verdana" w:hAnsi="Verdana" w:cs="Arial"/>
                <w:sz w:val="20"/>
                <w:szCs w:val="20"/>
                <w:lang w:val="bg-BG"/>
              </w:rPr>
            </w:pPr>
            <w:r w:rsidRPr="00B45B4F">
              <w:rPr>
                <w:rFonts w:ascii="Verdana" w:hAnsi="Verdana" w:cs="Arial"/>
                <w:sz w:val="20"/>
                <w:szCs w:val="20"/>
                <w:lang w:val="bg-BG"/>
              </w:rPr>
              <w:t>Министерски съвет, дирекция „Мониторинг на средствата от ЕС“</w:t>
            </w:r>
          </w:p>
        </w:tc>
      </w:tr>
      <w:tr w:rsidR="00543A68" w:rsidRPr="00B45B4F" w:rsidTr="002E567A">
        <w:tc>
          <w:tcPr>
            <w:tcW w:w="2520" w:type="dxa"/>
          </w:tcPr>
          <w:p w:rsidR="00543A68" w:rsidRPr="00B45B4F" w:rsidRDefault="00543A68" w:rsidP="006F74A8">
            <w:pPr>
              <w:spacing w:before="60" w:after="60"/>
              <w:rPr>
                <w:rFonts w:ascii="Verdana" w:hAnsi="Verdana" w:cs="Arial"/>
                <w:sz w:val="20"/>
                <w:szCs w:val="20"/>
                <w:lang w:val="bg-BG"/>
              </w:rPr>
            </w:pPr>
            <w:r w:rsidRPr="00B45B4F">
              <w:rPr>
                <w:rFonts w:ascii="Verdana" w:hAnsi="Verdana" w:cs="Arial"/>
                <w:sz w:val="20"/>
                <w:szCs w:val="20"/>
                <w:lang w:val="bg-BG"/>
              </w:rPr>
              <w:t>Весела Караянева</w:t>
            </w:r>
          </w:p>
        </w:tc>
        <w:tc>
          <w:tcPr>
            <w:tcW w:w="6552" w:type="dxa"/>
          </w:tcPr>
          <w:p w:rsidR="00543A68" w:rsidRPr="00B45B4F" w:rsidRDefault="00543A68" w:rsidP="006F74A8">
            <w:pPr>
              <w:spacing w:before="60" w:after="60"/>
              <w:rPr>
                <w:rFonts w:ascii="Verdana" w:hAnsi="Verdana" w:cs="Arial"/>
                <w:sz w:val="20"/>
                <w:szCs w:val="20"/>
                <w:lang w:val="bg-BG"/>
              </w:rPr>
            </w:pPr>
            <w:r w:rsidRPr="00B45B4F">
              <w:rPr>
                <w:rFonts w:ascii="Verdana" w:hAnsi="Verdana" w:cs="Arial"/>
                <w:sz w:val="20"/>
                <w:szCs w:val="20"/>
                <w:lang w:val="bg-BG"/>
              </w:rPr>
              <w:t>Главен експерт, дирекция „Професионална квалификация и лицензиране“, НАПОО</w:t>
            </w:r>
          </w:p>
        </w:tc>
      </w:tr>
      <w:tr w:rsidR="00543A68" w:rsidRPr="00B45B4F" w:rsidTr="002E567A">
        <w:tc>
          <w:tcPr>
            <w:tcW w:w="2520" w:type="dxa"/>
          </w:tcPr>
          <w:p w:rsidR="00543A68" w:rsidRPr="00B45B4F" w:rsidRDefault="005C133B" w:rsidP="006F74A8">
            <w:pPr>
              <w:spacing w:before="60" w:after="60"/>
              <w:rPr>
                <w:rFonts w:ascii="Verdana" w:hAnsi="Verdana" w:cs="Arial"/>
                <w:sz w:val="20"/>
                <w:szCs w:val="20"/>
                <w:lang w:val="bg-BG"/>
              </w:rPr>
            </w:pPr>
            <w:r w:rsidRPr="00B45B4F">
              <w:rPr>
                <w:rFonts w:ascii="Verdana" w:hAnsi="Verdana" w:cs="Arial"/>
                <w:sz w:val="20"/>
                <w:szCs w:val="20"/>
                <w:lang w:val="bg-BG"/>
              </w:rPr>
              <w:t>Антоанета Кацарова</w:t>
            </w:r>
          </w:p>
        </w:tc>
        <w:tc>
          <w:tcPr>
            <w:tcW w:w="6552" w:type="dxa"/>
          </w:tcPr>
          <w:p w:rsidR="00543A68" w:rsidRPr="00B45B4F" w:rsidRDefault="005C133B" w:rsidP="006F74A8">
            <w:pPr>
              <w:spacing w:before="60" w:after="60"/>
              <w:rPr>
                <w:rFonts w:ascii="Verdana" w:hAnsi="Verdana" w:cs="Arial"/>
                <w:sz w:val="20"/>
                <w:szCs w:val="20"/>
                <w:lang w:val="bg-BG"/>
              </w:rPr>
            </w:pPr>
            <w:r w:rsidRPr="00B45B4F">
              <w:rPr>
                <w:rFonts w:ascii="Verdana" w:hAnsi="Verdana" w:cs="Arial"/>
                <w:sz w:val="20"/>
                <w:szCs w:val="20"/>
                <w:lang w:val="bg-BG"/>
              </w:rPr>
              <w:t>Българска стопанска камара</w:t>
            </w:r>
          </w:p>
        </w:tc>
      </w:tr>
      <w:tr w:rsidR="00543A68" w:rsidRPr="00B45B4F" w:rsidTr="002E567A">
        <w:tc>
          <w:tcPr>
            <w:tcW w:w="2520" w:type="dxa"/>
          </w:tcPr>
          <w:p w:rsidR="00543A68" w:rsidRPr="00B45B4F" w:rsidRDefault="005C133B" w:rsidP="006F74A8">
            <w:pPr>
              <w:spacing w:before="60" w:after="60"/>
              <w:rPr>
                <w:rFonts w:ascii="Verdana" w:hAnsi="Verdana" w:cs="Arial"/>
                <w:sz w:val="20"/>
                <w:szCs w:val="20"/>
                <w:lang w:val="bg-BG"/>
              </w:rPr>
            </w:pPr>
            <w:r w:rsidRPr="00B45B4F">
              <w:rPr>
                <w:rFonts w:ascii="Verdana" w:hAnsi="Verdana" w:cs="Arial"/>
                <w:sz w:val="20"/>
                <w:szCs w:val="20"/>
                <w:lang w:val="bg-BG"/>
              </w:rPr>
              <w:t>Кирил Желязков</w:t>
            </w:r>
          </w:p>
        </w:tc>
        <w:tc>
          <w:tcPr>
            <w:tcW w:w="6552" w:type="dxa"/>
          </w:tcPr>
          <w:p w:rsidR="00543A68" w:rsidRPr="00B45B4F" w:rsidRDefault="005C133B" w:rsidP="006F74A8">
            <w:pPr>
              <w:spacing w:before="60" w:after="60"/>
              <w:rPr>
                <w:rFonts w:ascii="Verdana" w:hAnsi="Verdana" w:cs="Arial"/>
                <w:sz w:val="20"/>
                <w:szCs w:val="20"/>
                <w:lang w:val="bg-BG"/>
              </w:rPr>
            </w:pPr>
            <w:r w:rsidRPr="00B45B4F">
              <w:rPr>
                <w:rFonts w:ascii="Verdana" w:hAnsi="Verdana" w:cs="Arial"/>
                <w:sz w:val="20"/>
                <w:szCs w:val="20"/>
                <w:lang w:val="bg-BG"/>
              </w:rPr>
              <w:t>Българска стопанска камара</w:t>
            </w:r>
          </w:p>
        </w:tc>
      </w:tr>
      <w:tr w:rsidR="00897B97" w:rsidRPr="00B45B4F" w:rsidTr="002E567A">
        <w:tc>
          <w:tcPr>
            <w:tcW w:w="2520" w:type="dxa"/>
          </w:tcPr>
          <w:p w:rsidR="00897B97" w:rsidRPr="00B45B4F" w:rsidRDefault="00897B97" w:rsidP="006F74A8">
            <w:pPr>
              <w:spacing w:before="60" w:after="60"/>
              <w:rPr>
                <w:rFonts w:ascii="Verdana" w:hAnsi="Verdana" w:cs="Arial"/>
                <w:sz w:val="20"/>
                <w:szCs w:val="20"/>
                <w:lang w:val="bg-BG"/>
              </w:rPr>
            </w:pPr>
            <w:r w:rsidRPr="00B45B4F">
              <w:rPr>
                <w:rFonts w:ascii="Verdana" w:hAnsi="Verdana" w:cs="Arial"/>
                <w:sz w:val="20"/>
                <w:szCs w:val="20"/>
                <w:lang w:val="bg-BG"/>
              </w:rPr>
              <w:t>Николай Денков</w:t>
            </w:r>
          </w:p>
        </w:tc>
        <w:tc>
          <w:tcPr>
            <w:tcW w:w="6552" w:type="dxa"/>
          </w:tcPr>
          <w:p w:rsidR="00897B97" w:rsidRPr="00B45B4F" w:rsidRDefault="00897B97" w:rsidP="006F74A8">
            <w:pPr>
              <w:spacing w:before="60" w:after="60"/>
              <w:rPr>
                <w:rFonts w:ascii="Verdana" w:hAnsi="Verdana" w:cs="Arial"/>
                <w:sz w:val="20"/>
                <w:szCs w:val="20"/>
                <w:lang w:val="bg-BG"/>
              </w:rPr>
            </w:pPr>
            <w:r w:rsidRPr="00B45B4F">
              <w:rPr>
                <w:rFonts w:ascii="Verdana" w:hAnsi="Verdana" w:cs="Arial"/>
                <w:sz w:val="20"/>
                <w:szCs w:val="20"/>
                <w:lang w:val="bg-BG"/>
              </w:rPr>
              <w:t>Софийски Университет</w:t>
            </w:r>
          </w:p>
        </w:tc>
      </w:tr>
      <w:tr w:rsidR="00543A68" w:rsidRPr="00B45B4F" w:rsidTr="002E567A">
        <w:tc>
          <w:tcPr>
            <w:tcW w:w="2520" w:type="dxa"/>
          </w:tcPr>
          <w:p w:rsidR="00543A68" w:rsidRPr="00B45B4F" w:rsidRDefault="005C133B" w:rsidP="006F74A8">
            <w:pPr>
              <w:spacing w:before="60" w:after="60"/>
              <w:rPr>
                <w:rFonts w:ascii="Verdana" w:hAnsi="Verdana" w:cs="Arial"/>
                <w:sz w:val="20"/>
                <w:szCs w:val="20"/>
                <w:lang w:val="bg-BG"/>
              </w:rPr>
            </w:pPr>
            <w:r w:rsidRPr="00B45B4F">
              <w:rPr>
                <w:rFonts w:ascii="Verdana" w:hAnsi="Verdana" w:cs="Arial"/>
                <w:sz w:val="20"/>
                <w:szCs w:val="20"/>
                <w:lang w:val="bg-BG"/>
              </w:rPr>
              <w:t>Добромир Добрев</w:t>
            </w:r>
          </w:p>
        </w:tc>
        <w:tc>
          <w:tcPr>
            <w:tcW w:w="6552" w:type="dxa"/>
          </w:tcPr>
          <w:p w:rsidR="00543A68" w:rsidRPr="00B45B4F" w:rsidRDefault="005C133B" w:rsidP="006F74A8">
            <w:pPr>
              <w:spacing w:before="60" w:after="60"/>
              <w:rPr>
                <w:rFonts w:ascii="Verdana" w:hAnsi="Verdana" w:cs="Arial"/>
                <w:sz w:val="20"/>
                <w:szCs w:val="20"/>
                <w:lang w:val="bg-BG"/>
              </w:rPr>
            </w:pPr>
            <w:r w:rsidRPr="00B45B4F">
              <w:rPr>
                <w:rFonts w:ascii="Verdana" w:hAnsi="Verdana" w:cs="Arial"/>
                <w:sz w:val="20"/>
                <w:szCs w:val="20"/>
                <w:lang w:val="bg-BG"/>
              </w:rPr>
              <w:t>Административен директор, Университетски к</w:t>
            </w:r>
            <w:r w:rsidR="00897B97" w:rsidRPr="00B45B4F">
              <w:rPr>
                <w:rFonts w:ascii="Verdana" w:hAnsi="Verdana" w:cs="Arial"/>
                <w:sz w:val="20"/>
                <w:szCs w:val="20"/>
                <w:lang w:val="bg-BG"/>
              </w:rPr>
              <w:t>омплекс по хуманитаристика, Софийски университет</w:t>
            </w:r>
          </w:p>
        </w:tc>
      </w:tr>
      <w:tr w:rsidR="00897B97" w:rsidRPr="00B45B4F" w:rsidTr="002E567A">
        <w:tc>
          <w:tcPr>
            <w:tcW w:w="2520" w:type="dxa"/>
          </w:tcPr>
          <w:p w:rsidR="00897B97" w:rsidRPr="00B45B4F" w:rsidRDefault="00897B97" w:rsidP="005C133B">
            <w:pPr>
              <w:spacing w:before="60" w:after="60"/>
              <w:rPr>
                <w:rFonts w:ascii="Verdana" w:hAnsi="Verdana" w:cs="Arial"/>
                <w:sz w:val="20"/>
                <w:szCs w:val="20"/>
                <w:lang w:val="bg-BG"/>
              </w:rPr>
            </w:pPr>
            <w:r w:rsidRPr="00B45B4F">
              <w:rPr>
                <w:rFonts w:ascii="Verdana" w:hAnsi="Verdana" w:cs="Arial"/>
                <w:sz w:val="20"/>
                <w:szCs w:val="20"/>
                <w:lang w:val="bg-BG"/>
              </w:rPr>
              <w:t>Веселка Иванова</w:t>
            </w:r>
          </w:p>
        </w:tc>
        <w:tc>
          <w:tcPr>
            <w:tcW w:w="6552" w:type="dxa"/>
          </w:tcPr>
          <w:p w:rsidR="00897B97" w:rsidRPr="00B45B4F" w:rsidRDefault="00897B97" w:rsidP="006F74A8">
            <w:pPr>
              <w:spacing w:before="60" w:after="60"/>
              <w:rPr>
                <w:rFonts w:ascii="Verdana" w:hAnsi="Verdana" w:cs="Arial"/>
                <w:sz w:val="20"/>
                <w:szCs w:val="20"/>
                <w:lang w:val="bg-BG"/>
              </w:rPr>
            </w:pPr>
            <w:r w:rsidRPr="00B45B4F">
              <w:rPr>
                <w:rFonts w:ascii="Verdana" w:hAnsi="Verdana" w:cs="Arial"/>
                <w:sz w:val="20"/>
                <w:szCs w:val="20"/>
                <w:lang w:val="bg-BG"/>
              </w:rPr>
              <w:t>НСОРБ</w:t>
            </w:r>
          </w:p>
        </w:tc>
      </w:tr>
      <w:tr w:rsidR="00897B97" w:rsidRPr="00B45B4F" w:rsidTr="002E567A">
        <w:tc>
          <w:tcPr>
            <w:tcW w:w="2520" w:type="dxa"/>
          </w:tcPr>
          <w:p w:rsidR="00897B97" w:rsidRPr="00B45B4F" w:rsidRDefault="00897B97" w:rsidP="005C133B">
            <w:pPr>
              <w:spacing w:before="60" w:after="60"/>
              <w:rPr>
                <w:rFonts w:ascii="Verdana" w:hAnsi="Verdana" w:cs="Arial"/>
                <w:sz w:val="20"/>
                <w:szCs w:val="20"/>
                <w:lang w:val="bg-BG"/>
              </w:rPr>
            </w:pPr>
            <w:r w:rsidRPr="00B45B4F">
              <w:rPr>
                <w:rFonts w:ascii="Verdana" w:hAnsi="Verdana" w:cs="Arial"/>
                <w:sz w:val="20"/>
                <w:szCs w:val="20"/>
                <w:lang w:val="bg-BG"/>
              </w:rPr>
              <w:t>Десислава Фролошка</w:t>
            </w:r>
          </w:p>
        </w:tc>
        <w:tc>
          <w:tcPr>
            <w:tcW w:w="6552" w:type="dxa"/>
          </w:tcPr>
          <w:p w:rsidR="00897B97" w:rsidRPr="00B45B4F" w:rsidRDefault="00897B97" w:rsidP="006F74A8">
            <w:pPr>
              <w:spacing w:before="60" w:after="60"/>
              <w:rPr>
                <w:rFonts w:ascii="Verdana" w:hAnsi="Verdana" w:cs="Arial"/>
                <w:sz w:val="20"/>
                <w:szCs w:val="20"/>
                <w:lang w:val="bg-BG"/>
              </w:rPr>
            </w:pPr>
            <w:r w:rsidRPr="00B45B4F">
              <w:rPr>
                <w:rFonts w:ascii="Verdana" w:hAnsi="Verdana" w:cs="Arial"/>
                <w:sz w:val="20"/>
                <w:szCs w:val="20"/>
                <w:lang w:val="bg-BG"/>
              </w:rPr>
              <w:t>Асоциация на индустриалния капитал в България</w:t>
            </w:r>
          </w:p>
        </w:tc>
      </w:tr>
      <w:tr w:rsidR="00543A68" w:rsidRPr="00B45B4F" w:rsidTr="002E567A">
        <w:tc>
          <w:tcPr>
            <w:tcW w:w="2520" w:type="dxa"/>
          </w:tcPr>
          <w:p w:rsidR="00543A68" w:rsidRPr="00B45B4F" w:rsidRDefault="00543A68" w:rsidP="005C133B">
            <w:pPr>
              <w:spacing w:before="60" w:after="60"/>
              <w:rPr>
                <w:rFonts w:ascii="Verdana" w:hAnsi="Verdana" w:cs="Arial"/>
                <w:sz w:val="20"/>
                <w:szCs w:val="20"/>
                <w:lang w:val="bg-BG"/>
              </w:rPr>
            </w:pPr>
            <w:r w:rsidRPr="00B45B4F">
              <w:rPr>
                <w:rFonts w:ascii="Verdana" w:hAnsi="Verdana" w:cs="Arial"/>
                <w:sz w:val="20"/>
                <w:szCs w:val="20"/>
                <w:lang w:val="bg-BG"/>
              </w:rPr>
              <w:t>Георги Р</w:t>
            </w:r>
            <w:r w:rsidR="005C133B" w:rsidRPr="00B45B4F">
              <w:rPr>
                <w:rFonts w:ascii="Verdana" w:hAnsi="Verdana" w:cs="Arial"/>
                <w:sz w:val="20"/>
                <w:szCs w:val="20"/>
                <w:lang w:val="bg-BG"/>
              </w:rPr>
              <w:t>а</w:t>
            </w:r>
            <w:r w:rsidRPr="00B45B4F">
              <w:rPr>
                <w:rFonts w:ascii="Verdana" w:hAnsi="Verdana" w:cs="Arial"/>
                <w:sz w:val="20"/>
                <w:szCs w:val="20"/>
                <w:lang w:val="bg-BG"/>
              </w:rPr>
              <w:t>йчевски</w:t>
            </w:r>
          </w:p>
        </w:tc>
        <w:tc>
          <w:tcPr>
            <w:tcW w:w="6552" w:type="dxa"/>
          </w:tcPr>
          <w:p w:rsidR="00543A68" w:rsidRPr="00B45B4F" w:rsidRDefault="00897B97" w:rsidP="006F74A8">
            <w:pPr>
              <w:spacing w:before="60" w:after="60"/>
              <w:rPr>
                <w:rFonts w:ascii="Verdana" w:hAnsi="Verdana" w:cs="Arial"/>
                <w:sz w:val="20"/>
                <w:szCs w:val="20"/>
                <w:lang w:val="bg-BG"/>
              </w:rPr>
            </w:pPr>
            <w:r w:rsidRPr="00B45B4F">
              <w:rPr>
                <w:rFonts w:ascii="Verdana" w:hAnsi="Verdana" w:cs="Arial"/>
                <w:sz w:val="20"/>
                <w:szCs w:val="20"/>
                <w:lang w:val="bg-BG"/>
              </w:rPr>
              <w:t>Фондация „ГИС – Трансферцентър“ и БАН „ЕЦИ“</w:t>
            </w:r>
          </w:p>
        </w:tc>
      </w:tr>
      <w:tr w:rsidR="00897B97" w:rsidRPr="00B45B4F" w:rsidTr="002E567A">
        <w:tc>
          <w:tcPr>
            <w:tcW w:w="2520" w:type="dxa"/>
          </w:tcPr>
          <w:p w:rsidR="00897B97" w:rsidRPr="00B45B4F" w:rsidRDefault="00897B97" w:rsidP="005C133B">
            <w:pPr>
              <w:spacing w:before="60" w:after="60"/>
              <w:rPr>
                <w:rFonts w:ascii="Verdana" w:hAnsi="Verdana" w:cs="Arial"/>
                <w:sz w:val="20"/>
                <w:szCs w:val="20"/>
                <w:lang w:val="bg-BG"/>
              </w:rPr>
            </w:pPr>
            <w:r w:rsidRPr="00B45B4F">
              <w:rPr>
                <w:rFonts w:ascii="Verdana" w:hAnsi="Verdana" w:cs="Arial"/>
                <w:sz w:val="20"/>
                <w:szCs w:val="20"/>
                <w:lang w:val="bg-BG"/>
              </w:rPr>
              <w:t>Методий Киров</w:t>
            </w:r>
          </w:p>
        </w:tc>
        <w:tc>
          <w:tcPr>
            <w:tcW w:w="6552" w:type="dxa"/>
          </w:tcPr>
          <w:p w:rsidR="00897B97" w:rsidRPr="00B45B4F" w:rsidRDefault="00897B97" w:rsidP="006F74A8">
            <w:pPr>
              <w:spacing w:before="60" w:after="60"/>
              <w:rPr>
                <w:rFonts w:ascii="Verdana" w:hAnsi="Verdana" w:cs="Arial"/>
                <w:sz w:val="20"/>
                <w:szCs w:val="20"/>
                <w:lang w:val="bg-BG"/>
              </w:rPr>
            </w:pPr>
            <w:r w:rsidRPr="00B45B4F">
              <w:rPr>
                <w:rFonts w:ascii="Verdana" w:hAnsi="Verdana" w:cs="Arial"/>
                <w:sz w:val="20"/>
                <w:szCs w:val="20"/>
                <w:lang w:val="bg-BG"/>
              </w:rPr>
              <w:t>МОН, Главна дирекция „Структурни фондове и международни образователни програми“</w:t>
            </w:r>
          </w:p>
        </w:tc>
      </w:tr>
      <w:tr w:rsidR="00897B97" w:rsidRPr="00B45B4F" w:rsidTr="002E567A">
        <w:tc>
          <w:tcPr>
            <w:tcW w:w="2520" w:type="dxa"/>
          </w:tcPr>
          <w:p w:rsidR="00897B97" w:rsidRPr="00B45B4F" w:rsidRDefault="00897B97" w:rsidP="005C133B">
            <w:pPr>
              <w:spacing w:before="60" w:after="60"/>
              <w:rPr>
                <w:rFonts w:ascii="Verdana" w:hAnsi="Verdana" w:cs="Arial"/>
                <w:sz w:val="20"/>
                <w:szCs w:val="20"/>
                <w:lang w:val="bg-BG"/>
              </w:rPr>
            </w:pPr>
            <w:r w:rsidRPr="00B45B4F">
              <w:rPr>
                <w:rFonts w:ascii="Verdana" w:hAnsi="Verdana" w:cs="Arial"/>
                <w:sz w:val="20"/>
                <w:szCs w:val="20"/>
                <w:lang w:val="bg-BG"/>
              </w:rPr>
              <w:t>Николай Николов</w:t>
            </w:r>
          </w:p>
        </w:tc>
        <w:tc>
          <w:tcPr>
            <w:tcW w:w="6552" w:type="dxa"/>
          </w:tcPr>
          <w:p w:rsidR="00897B97" w:rsidRPr="00B45B4F" w:rsidRDefault="00897B97" w:rsidP="006F74A8">
            <w:pPr>
              <w:spacing w:before="60" w:after="60"/>
              <w:rPr>
                <w:rFonts w:ascii="Verdana" w:hAnsi="Verdana" w:cs="Arial"/>
                <w:sz w:val="20"/>
                <w:szCs w:val="20"/>
                <w:lang w:val="bg-BG"/>
              </w:rPr>
            </w:pPr>
            <w:r w:rsidRPr="00B45B4F">
              <w:rPr>
                <w:rFonts w:ascii="Verdana" w:hAnsi="Verdana" w:cs="Arial"/>
                <w:sz w:val="20"/>
                <w:szCs w:val="20"/>
                <w:lang w:val="bg-BG"/>
              </w:rPr>
              <w:t>МОН Главна дирекция „Структурни фондове и международни образователни програми“</w:t>
            </w:r>
          </w:p>
        </w:tc>
      </w:tr>
    </w:tbl>
    <w:p w:rsidR="00543A68" w:rsidRDefault="00543A68" w:rsidP="00FB0125">
      <w:pPr>
        <w:rPr>
          <w:lang w:val="bg-BG"/>
        </w:rPr>
      </w:pPr>
    </w:p>
    <w:p w:rsidR="002C1A8B" w:rsidRDefault="002C1A8B" w:rsidP="00FB0125">
      <w:pPr>
        <w:rPr>
          <w:lang w:val="bg-BG"/>
        </w:rPr>
      </w:pPr>
    </w:p>
    <w:p w:rsidR="002C1A8B" w:rsidRPr="00B45B4F" w:rsidRDefault="002C1A8B" w:rsidP="00FB0125">
      <w:pPr>
        <w:rPr>
          <w:lang w:val="bg-BG"/>
        </w:rPr>
      </w:pPr>
    </w:p>
    <w:p w:rsidR="002C1A8B" w:rsidRPr="00B45B4F" w:rsidRDefault="002C1A8B" w:rsidP="002C1A8B">
      <w:pPr>
        <w:rPr>
          <w:rFonts w:ascii="Verdana" w:hAnsi="Verdana"/>
          <w:b/>
          <w:color w:val="548DD4" w:themeColor="text2" w:themeTint="99"/>
          <w:lang w:val="bg-BG"/>
        </w:rPr>
      </w:pPr>
      <w:r>
        <w:rPr>
          <w:rFonts w:ascii="Verdana" w:hAnsi="Verdana"/>
          <w:b/>
          <w:color w:val="548DD4" w:themeColor="text2" w:themeTint="99"/>
          <w:lang w:val="bg-BG"/>
        </w:rPr>
        <w:lastRenderedPageBreak/>
        <w:t>Участници във ф</w:t>
      </w:r>
      <w:r w:rsidRPr="00B45B4F">
        <w:rPr>
          <w:rFonts w:ascii="Verdana" w:hAnsi="Verdana"/>
          <w:b/>
          <w:color w:val="548DD4" w:themeColor="text2" w:themeTint="99"/>
          <w:lang w:val="bg-BG"/>
        </w:rPr>
        <w:t xml:space="preserve">окус група с представители </w:t>
      </w:r>
      <w:r>
        <w:rPr>
          <w:rFonts w:ascii="Verdana" w:hAnsi="Verdana"/>
          <w:b/>
          <w:color w:val="548DD4" w:themeColor="text2" w:themeTint="99"/>
          <w:lang w:val="bg-BG"/>
        </w:rPr>
        <w:t>потенциални бенефициенти</w:t>
      </w:r>
    </w:p>
    <w:tbl>
      <w:tblPr>
        <w:tblStyle w:val="TableGrid"/>
        <w:tblW w:w="9072" w:type="dxa"/>
        <w:tblInd w:w="108" w:type="dxa"/>
        <w:tblBorders>
          <w:top w:val="single" w:sz="8" w:space="0" w:color="17365D"/>
          <w:left w:val="single" w:sz="8" w:space="0" w:color="17365D"/>
          <w:bottom w:val="single" w:sz="8" w:space="0" w:color="17365D"/>
          <w:right w:val="single" w:sz="8" w:space="0" w:color="17365D"/>
          <w:insideH w:val="single" w:sz="8" w:space="0" w:color="17365D"/>
          <w:insideV w:val="single" w:sz="8" w:space="0" w:color="17365D"/>
        </w:tblBorders>
        <w:tblLook w:val="04A0" w:firstRow="1" w:lastRow="0" w:firstColumn="1" w:lastColumn="0" w:noHBand="0" w:noVBand="1"/>
      </w:tblPr>
      <w:tblGrid>
        <w:gridCol w:w="2520"/>
        <w:gridCol w:w="6552"/>
      </w:tblGrid>
      <w:tr w:rsidR="002C1A8B" w:rsidRPr="00B45B4F" w:rsidTr="001A66A0">
        <w:tc>
          <w:tcPr>
            <w:tcW w:w="2520" w:type="dxa"/>
            <w:shd w:val="clear" w:color="auto" w:fill="548DD4" w:themeFill="text2" w:themeFillTint="99"/>
          </w:tcPr>
          <w:p w:rsidR="002C1A8B" w:rsidRPr="00B45B4F" w:rsidRDefault="002C1A8B" w:rsidP="001A66A0">
            <w:pPr>
              <w:spacing w:before="60" w:after="60" w:line="240" w:lineRule="auto"/>
              <w:rPr>
                <w:rFonts w:ascii="Verdana" w:hAnsi="Verdana" w:cs="Arial"/>
                <w:b/>
                <w:color w:val="FFFFFF" w:themeColor="background1"/>
                <w:sz w:val="20"/>
                <w:szCs w:val="20"/>
                <w:lang w:val="bg-BG"/>
              </w:rPr>
            </w:pPr>
            <w:r w:rsidRPr="00B45B4F">
              <w:rPr>
                <w:rFonts w:ascii="Verdana" w:hAnsi="Verdana" w:cs="Arial"/>
                <w:b/>
                <w:color w:val="FFFFFF" w:themeColor="background1"/>
                <w:sz w:val="20"/>
                <w:szCs w:val="20"/>
                <w:lang w:val="bg-BG"/>
              </w:rPr>
              <w:t xml:space="preserve">Име </w:t>
            </w:r>
          </w:p>
        </w:tc>
        <w:tc>
          <w:tcPr>
            <w:tcW w:w="6552" w:type="dxa"/>
            <w:shd w:val="clear" w:color="auto" w:fill="548DD4" w:themeFill="text2" w:themeFillTint="99"/>
          </w:tcPr>
          <w:p w:rsidR="002C1A8B" w:rsidRPr="00B45B4F" w:rsidRDefault="002C1A8B" w:rsidP="001A66A0">
            <w:pPr>
              <w:spacing w:before="60" w:after="60" w:line="240" w:lineRule="auto"/>
              <w:rPr>
                <w:rFonts w:ascii="Verdana" w:hAnsi="Verdana" w:cs="Arial"/>
                <w:b/>
                <w:color w:val="FFFFFF" w:themeColor="background1"/>
                <w:sz w:val="20"/>
                <w:szCs w:val="20"/>
                <w:lang w:val="bg-BG"/>
              </w:rPr>
            </w:pPr>
            <w:r w:rsidRPr="00B45B4F">
              <w:rPr>
                <w:rFonts w:ascii="Verdana" w:hAnsi="Verdana" w:cs="Arial"/>
                <w:b/>
                <w:color w:val="FFFFFF" w:themeColor="background1"/>
                <w:sz w:val="20"/>
                <w:szCs w:val="20"/>
                <w:lang w:val="bg-BG"/>
              </w:rPr>
              <w:t>Институция</w:t>
            </w:r>
          </w:p>
        </w:tc>
      </w:tr>
      <w:tr w:rsidR="002C1A8B" w:rsidRPr="00B45B4F" w:rsidTr="001A66A0">
        <w:tc>
          <w:tcPr>
            <w:tcW w:w="2520" w:type="dxa"/>
          </w:tcPr>
          <w:p w:rsidR="002C1A8B" w:rsidRPr="00B45B4F" w:rsidRDefault="002C1A8B" w:rsidP="001A66A0">
            <w:pPr>
              <w:spacing w:before="60" w:after="60" w:line="240" w:lineRule="auto"/>
              <w:rPr>
                <w:rFonts w:ascii="Verdana" w:hAnsi="Verdana" w:cs="Arial"/>
                <w:sz w:val="20"/>
                <w:szCs w:val="20"/>
                <w:lang w:val="bg-BG"/>
              </w:rPr>
            </w:pPr>
            <w:r>
              <w:rPr>
                <w:rFonts w:ascii="Verdana" w:hAnsi="Verdana" w:cs="Arial"/>
                <w:sz w:val="20"/>
                <w:szCs w:val="20"/>
                <w:lang w:val="bg-BG"/>
              </w:rPr>
              <w:t>Лалка Момчилова</w:t>
            </w:r>
          </w:p>
        </w:tc>
        <w:tc>
          <w:tcPr>
            <w:tcW w:w="6552" w:type="dxa"/>
          </w:tcPr>
          <w:p w:rsidR="002C1A8B" w:rsidRPr="00B45B4F" w:rsidRDefault="002C1A8B" w:rsidP="001A66A0">
            <w:pPr>
              <w:spacing w:before="60" w:after="60" w:line="240" w:lineRule="auto"/>
              <w:rPr>
                <w:rFonts w:ascii="Verdana" w:hAnsi="Verdana" w:cs="Arial"/>
                <w:sz w:val="20"/>
                <w:szCs w:val="20"/>
                <w:lang w:val="bg-BG"/>
              </w:rPr>
            </w:pPr>
            <w:r>
              <w:rPr>
                <w:rFonts w:ascii="Verdana" w:hAnsi="Verdana" w:cs="Arial"/>
                <w:sz w:val="20"/>
                <w:szCs w:val="20"/>
                <w:lang w:val="bg-BG"/>
              </w:rPr>
              <w:t>ПГМЕ „Вапцаров“</w:t>
            </w:r>
          </w:p>
        </w:tc>
      </w:tr>
      <w:tr w:rsidR="002C1A8B" w:rsidRPr="00B45B4F" w:rsidTr="001A66A0">
        <w:tc>
          <w:tcPr>
            <w:tcW w:w="2520" w:type="dxa"/>
          </w:tcPr>
          <w:p w:rsidR="002C1A8B" w:rsidRPr="00B45B4F" w:rsidRDefault="002C1A8B" w:rsidP="001A66A0">
            <w:pPr>
              <w:spacing w:before="60" w:after="60" w:line="240" w:lineRule="auto"/>
              <w:rPr>
                <w:rFonts w:ascii="Verdana" w:hAnsi="Verdana" w:cs="Arial"/>
                <w:sz w:val="20"/>
                <w:szCs w:val="20"/>
                <w:lang w:val="bg-BG"/>
              </w:rPr>
            </w:pPr>
            <w:r>
              <w:rPr>
                <w:rFonts w:ascii="Verdana" w:hAnsi="Verdana" w:cs="Arial"/>
                <w:sz w:val="20"/>
                <w:szCs w:val="20"/>
                <w:lang w:val="bg-BG"/>
              </w:rPr>
              <w:t>Людмила Пикова</w:t>
            </w:r>
          </w:p>
        </w:tc>
        <w:tc>
          <w:tcPr>
            <w:tcW w:w="6552" w:type="dxa"/>
          </w:tcPr>
          <w:p w:rsidR="002C1A8B" w:rsidRPr="00B45B4F" w:rsidRDefault="002C1A8B" w:rsidP="001A66A0">
            <w:pPr>
              <w:spacing w:before="60" w:after="60" w:line="240" w:lineRule="auto"/>
              <w:rPr>
                <w:rFonts w:ascii="Verdana" w:hAnsi="Verdana" w:cs="Arial"/>
                <w:sz w:val="20"/>
                <w:szCs w:val="20"/>
                <w:lang w:val="bg-BG"/>
              </w:rPr>
            </w:pPr>
            <w:r>
              <w:rPr>
                <w:rFonts w:ascii="Verdana" w:hAnsi="Verdana" w:cs="Arial"/>
                <w:sz w:val="20"/>
                <w:szCs w:val="20"/>
                <w:lang w:val="bg-BG"/>
              </w:rPr>
              <w:t>ПГМЕ „Вапцаров“</w:t>
            </w:r>
          </w:p>
        </w:tc>
      </w:tr>
      <w:tr w:rsidR="002C1A8B" w:rsidRPr="00B45B4F" w:rsidTr="001A66A0">
        <w:tc>
          <w:tcPr>
            <w:tcW w:w="2520" w:type="dxa"/>
          </w:tcPr>
          <w:p w:rsidR="002C1A8B" w:rsidRPr="00B45B4F" w:rsidRDefault="002C1A8B" w:rsidP="001A66A0">
            <w:pPr>
              <w:spacing w:before="60" w:after="60" w:line="240" w:lineRule="auto"/>
              <w:rPr>
                <w:rFonts w:ascii="Verdana" w:hAnsi="Verdana" w:cs="Arial"/>
                <w:sz w:val="20"/>
                <w:szCs w:val="20"/>
                <w:lang w:val="bg-BG"/>
              </w:rPr>
            </w:pPr>
            <w:r>
              <w:rPr>
                <w:rFonts w:ascii="Verdana" w:hAnsi="Verdana" w:cs="Arial"/>
                <w:sz w:val="20"/>
                <w:szCs w:val="20"/>
                <w:lang w:val="bg-BG"/>
              </w:rPr>
              <w:t>Явор Шопов</w:t>
            </w:r>
          </w:p>
        </w:tc>
        <w:tc>
          <w:tcPr>
            <w:tcW w:w="6552" w:type="dxa"/>
          </w:tcPr>
          <w:p w:rsidR="002C1A8B" w:rsidRPr="00B45B4F" w:rsidRDefault="002C1A8B" w:rsidP="001A66A0">
            <w:pPr>
              <w:spacing w:before="60" w:after="60" w:line="240" w:lineRule="auto"/>
              <w:rPr>
                <w:rFonts w:ascii="Verdana" w:hAnsi="Verdana" w:cs="Arial"/>
                <w:sz w:val="20"/>
                <w:szCs w:val="20"/>
                <w:lang w:val="bg-BG"/>
              </w:rPr>
            </w:pPr>
            <w:r>
              <w:rPr>
                <w:rFonts w:ascii="Verdana" w:hAnsi="Verdana" w:cs="Arial"/>
                <w:sz w:val="20"/>
                <w:szCs w:val="20"/>
                <w:lang w:val="bg-BG"/>
              </w:rPr>
              <w:t>СУ „Климент Охридски“</w:t>
            </w:r>
          </w:p>
        </w:tc>
      </w:tr>
      <w:tr w:rsidR="002C1A8B" w:rsidRPr="00B45B4F" w:rsidTr="001A66A0">
        <w:tc>
          <w:tcPr>
            <w:tcW w:w="2520" w:type="dxa"/>
          </w:tcPr>
          <w:p w:rsidR="002C1A8B" w:rsidRPr="00B45B4F" w:rsidRDefault="002C1A8B" w:rsidP="001A66A0">
            <w:pPr>
              <w:spacing w:before="60" w:after="60" w:line="240" w:lineRule="auto"/>
              <w:rPr>
                <w:rFonts w:ascii="Verdana" w:hAnsi="Verdana" w:cs="Arial"/>
                <w:sz w:val="20"/>
                <w:szCs w:val="20"/>
                <w:lang w:val="bg-BG"/>
              </w:rPr>
            </w:pPr>
            <w:r>
              <w:rPr>
                <w:rFonts w:ascii="Verdana" w:hAnsi="Verdana" w:cs="Arial"/>
                <w:sz w:val="20"/>
                <w:szCs w:val="20"/>
                <w:lang w:val="bg-BG"/>
              </w:rPr>
              <w:t>Кирил Стойчев</w:t>
            </w:r>
          </w:p>
        </w:tc>
        <w:tc>
          <w:tcPr>
            <w:tcW w:w="6552" w:type="dxa"/>
          </w:tcPr>
          <w:p w:rsidR="002C1A8B" w:rsidRPr="00B45B4F" w:rsidRDefault="002C1A8B" w:rsidP="001A66A0">
            <w:pPr>
              <w:spacing w:before="60" w:after="60" w:line="240" w:lineRule="auto"/>
              <w:rPr>
                <w:rFonts w:ascii="Verdana" w:hAnsi="Verdana" w:cs="Arial"/>
                <w:sz w:val="20"/>
                <w:szCs w:val="20"/>
                <w:lang w:val="bg-BG"/>
              </w:rPr>
            </w:pPr>
            <w:r>
              <w:rPr>
                <w:rFonts w:ascii="Verdana" w:hAnsi="Verdana" w:cs="Arial"/>
                <w:sz w:val="20"/>
                <w:szCs w:val="20"/>
                <w:lang w:val="bg-BG"/>
              </w:rPr>
              <w:t>БАН</w:t>
            </w:r>
          </w:p>
        </w:tc>
      </w:tr>
      <w:tr w:rsidR="002C1A8B" w:rsidRPr="00B45B4F" w:rsidTr="001A66A0">
        <w:tc>
          <w:tcPr>
            <w:tcW w:w="2520" w:type="dxa"/>
          </w:tcPr>
          <w:p w:rsidR="002C1A8B" w:rsidRPr="00B45B4F" w:rsidRDefault="002C1A8B" w:rsidP="001A66A0">
            <w:pPr>
              <w:spacing w:before="60" w:after="60" w:line="240" w:lineRule="auto"/>
              <w:rPr>
                <w:rFonts w:ascii="Verdana" w:hAnsi="Verdana" w:cs="Arial"/>
                <w:sz w:val="20"/>
                <w:szCs w:val="20"/>
                <w:lang w:val="bg-BG"/>
              </w:rPr>
            </w:pPr>
            <w:r>
              <w:rPr>
                <w:rFonts w:ascii="Verdana" w:hAnsi="Verdana" w:cs="Arial"/>
                <w:sz w:val="20"/>
                <w:szCs w:val="20"/>
                <w:lang w:val="bg-BG"/>
              </w:rPr>
              <w:t>Янка Александрова</w:t>
            </w:r>
          </w:p>
        </w:tc>
        <w:tc>
          <w:tcPr>
            <w:tcW w:w="6552" w:type="dxa"/>
          </w:tcPr>
          <w:p w:rsidR="002C1A8B" w:rsidRPr="00B45B4F" w:rsidRDefault="002C1A8B" w:rsidP="001A66A0">
            <w:pPr>
              <w:spacing w:before="60" w:after="60" w:line="240" w:lineRule="auto"/>
              <w:rPr>
                <w:rFonts w:ascii="Verdana" w:hAnsi="Verdana" w:cs="Arial"/>
                <w:sz w:val="20"/>
                <w:szCs w:val="20"/>
                <w:lang w:val="bg-BG"/>
              </w:rPr>
            </w:pPr>
            <w:r>
              <w:rPr>
                <w:rFonts w:ascii="Verdana" w:hAnsi="Verdana" w:cs="Arial"/>
                <w:sz w:val="20"/>
                <w:szCs w:val="20"/>
                <w:lang w:val="bg-BG"/>
              </w:rPr>
              <w:t>Фондация „Съвременност“</w:t>
            </w:r>
          </w:p>
        </w:tc>
      </w:tr>
      <w:tr w:rsidR="002C1A8B" w:rsidRPr="00B45B4F" w:rsidTr="001A66A0">
        <w:tc>
          <w:tcPr>
            <w:tcW w:w="2520" w:type="dxa"/>
          </w:tcPr>
          <w:p w:rsidR="002C1A8B" w:rsidRPr="00B45B4F" w:rsidRDefault="002C1A8B" w:rsidP="001A66A0">
            <w:pPr>
              <w:spacing w:before="60" w:after="60" w:line="240" w:lineRule="auto"/>
              <w:rPr>
                <w:rFonts w:ascii="Verdana" w:hAnsi="Verdana" w:cs="Arial"/>
                <w:sz w:val="20"/>
                <w:szCs w:val="20"/>
                <w:lang w:val="bg-BG"/>
              </w:rPr>
            </w:pPr>
            <w:r>
              <w:rPr>
                <w:rFonts w:ascii="Verdana" w:hAnsi="Verdana" w:cs="Arial"/>
                <w:sz w:val="20"/>
                <w:szCs w:val="20"/>
                <w:lang w:val="bg-BG"/>
              </w:rPr>
              <w:t xml:space="preserve">Анета Караиванова </w:t>
            </w:r>
          </w:p>
        </w:tc>
        <w:tc>
          <w:tcPr>
            <w:tcW w:w="6552" w:type="dxa"/>
          </w:tcPr>
          <w:p w:rsidR="002C1A8B" w:rsidRPr="00B45B4F" w:rsidRDefault="002C1A8B" w:rsidP="001A66A0">
            <w:pPr>
              <w:spacing w:before="60" w:after="60" w:line="240" w:lineRule="auto"/>
              <w:rPr>
                <w:rFonts w:ascii="Verdana" w:hAnsi="Verdana" w:cs="Arial"/>
                <w:sz w:val="20"/>
                <w:szCs w:val="20"/>
                <w:lang w:val="bg-BG"/>
              </w:rPr>
            </w:pPr>
            <w:r>
              <w:rPr>
                <w:rFonts w:ascii="Verdana" w:hAnsi="Verdana" w:cs="Arial"/>
                <w:sz w:val="20"/>
                <w:szCs w:val="20"/>
                <w:lang w:val="bg-BG"/>
              </w:rPr>
              <w:t>ИИКТ-БАН</w:t>
            </w:r>
          </w:p>
        </w:tc>
      </w:tr>
      <w:tr w:rsidR="002C1A8B" w:rsidRPr="00B45B4F" w:rsidTr="001A66A0">
        <w:tc>
          <w:tcPr>
            <w:tcW w:w="2520" w:type="dxa"/>
          </w:tcPr>
          <w:p w:rsidR="002C1A8B" w:rsidRPr="00B45B4F" w:rsidRDefault="002C1A8B" w:rsidP="001A66A0">
            <w:pPr>
              <w:spacing w:before="60" w:after="60" w:line="240" w:lineRule="auto"/>
              <w:rPr>
                <w:rFonts w:ascii="Verdana" w:hAnsi="Verdana" w:cs="Arial"/>
                <w:sz w:val="20"/>
                <w:szCs w:val="20"/>
                <w:lang w:val="bg-BG"/>
              </w:rPr>
            </w:pPr>
            <w:r>
              <w:rPr>
                <w:rFonts w:ascii="Verdana" w:hAnsi="Verdana" w:cs="Arial"/>
                <w:sz w:val="20"/>
                <w:szCs w:val="20"/>
                <w:lang w:val="bg-BG"/>
              </w:rPr>
              <w:t>Асен Петров</w:t>
            </w:r>
          </w:p>
        </w:tc>
        <w:tc>
          <w:tcPr>
            <w:tcW w:w="6552" w:type="dxa"/>
          </w:tcPr>
          <w:p w:rsidR="002C1A8B" w:rsidRPr="00B45B4F" w:rsidRDefault="002C1A8B" w:rsidP="001A66A0">
            <w:pPr>
              <w:spacing w:before="60" w:after="60" w:line="240" w:lineRule="auto"/>
              <w:rPr>
                <w:rFonts w:ascii="Verdana" w:hAnsi="Verdana" w:cs="Arial"/>
                <w:sz w:val="20"/>
                <w:szCs w:val="20"/>
                <w:lang w:val="bg-BG"/>
              </w:rPr>
            </w:pPr>
            <w:r>
              <w:rPr>
                <w:rFonts w:ascii="Verdana" w:hAnsi="Verdana" w:cs="Arial"/>
                <w:sz w:val="20"/>
                <w:szCs w:val="20"/>
                <w:lang w:val="bg-BG"/>
              </w:rPr>
              <w:t>МОН</w:t>
            </w:r>
          </w:p>
        </w:tc>
      </w:tr>
      <w:tr w:rsidR="002C1A8B" w:rsidRPr="00B45B4F" w:rsidTr="001A66A0">
        <w:tc>
          <w:tcPr>
            <w:tcW w:w="2520" w:type="dxa"/>
          </w:tcPr>
          <w:p w:rsidR="002C1A8B" w:rsidRPr="00B45B4F" w:rsidRDefault="002C1A8B" w:rsidP="001A66A0">
            <w:pPr>
              <w:spacing w:before="60" w:after="60" w:line="240" w:lineRule="auto"/>
              <w:rPr>
                <w:rFonts w:ascii="Verdana" w:hAnsi="Verdana" w:cs="Arial"/>
                <w:sz w:val="20"/>
                <w:szCs w:val="20"/>
                <w:lang w:val="bg-BG"/>
              </w:rPr>
            </w:pPr>
            <w:r>
              <w:rPr>
                <w:rFonts w:ascii="Verdana" w:hAnsi="Verdana" w:cs="Arial"/>
                <w:sz w:val="20"/>
                <w:szCs w:val="20"/>
                <w:lang w:val="bg-BG"/>
              </w:rPr>
              <w:t>Иванка Германова</w:t>
            </w:r>
          </w:p>
        </w:tc>
        <w:tc>
          <w:tcPr>
            <w:tcW w:w="6552" w:type="dxa"/>
          </w:tcPr>
          <w:p w:rsidR="002C1A8B" w:rsidRPr="00B45B4F" w:rsidRDefault="002C1A8B" w:rsidP="001A66A0">
            <w:pPr>
              <w:spacing w:before="60" w:after="60" w:line="240" w:lineRule="auto"/>
              <w:rPr>
                <w:rFonts w:ascii="Verdana" w:hAnsi="Verdana" w:cs="Arial"/>
                <w:sz w:val="20"/>
                <w:szCs w:val="20"/>
                <w:lang w:val="bg-BG"/>
              </w:rPr>
            </w:pPr>
            <w:r>
              <w:rPr>
                <w:rFonts w:ascii="Verdana" w:hAnsi="Verdana" w:cs="Arial"/>
                <w:sz w:val="20"/>
                <w:szCs w:val="20"/>
                <w:lang w:val="bg-BG"/>
              </w:rPr>
              <w:t>РИО София-град</w:t>
            </w:r>
          </w:p>
        </w:tc>
      </w:tr>
      <w:tr w:rsidR="002C1A8B" w:rsidRPr="00B45B4F" w:rsidTr="001A66A0">
        <w:tc>
          <w:tcPr>
            <w:tcW w:w="2520" w:type="dxa"/>
          </w:tcPr>
          <w:p w:rsidR="002C1A8B" w:rsidRPr="00B45B4F" w:rsidRDefault="002C1A8B" w:rsidP="001A66A0">
            <w:pPr>
              <w:spacing w:before="60" w:after="60" w:line="240" w:lineRule="auto"/>
              <w:rPr>
                <w:rFonts w:ascii="Verdana" w:hAnsi="Verdana" w:cs="Arial"/>
                <w:sz w:val="20"/>
                <w:szCs w:val="20"/>
                <w:lang w:val="bg-BG"/>
              </w:rPr>
            </w:pPr>
            <w:r>
              <w:rPr>
                <w:rFonts w:ascii="Verdana" w:hAnsi="Verdana" w:cs="Arial"/>
                <w:sz w:val="20"/>
                <w:szCs w:val="20"/>
                <w:lang w:val="bg-BG"/>
              </w:rPr>
              <w:t>Мария Цветкова</w:t>
            </w:r>
          </w:p>
        </w:tc>
        <w:tc>
          <w:tcPr>
            <w:tcW w:w="6552" w:type="dxa"/>
          </w:tcPr>
          <w:p w:rsidR="002C1A8B" w:rsidRPr="00B45B4F" w:rsidRDefault="002C1A8B" w:rsidP="001A66A0">
            <w:pPr>
              <w:spacing w:before="60" w:after="60" w:line="240" w:lineRule="auto"/>
              <w:rPr>
                <w:rFonts w:ascii="Verdana" w:hAnsi="Verdana" w:cs="Arial"/>
                <w:sz w:val="20"/>
                <w:szCs w:val="20"/>
                <w:lang w:val="bg-BG"/>
              </w:rPr>
            </w:pPr>
            <w:r>
              <w:rPr>
                <w:rFonts w:ascii="Verdana" w:hAnsi="Verdana" w:cs="Arial"/>
                <w:sz w:val="20"/>
                <w:szCs w:val="20"/>
                <w:lang w:val="bg-BG"/>
              </w:rPr>
              <w:t>НБУ</w:t>
            </w:r>
          </w:p>
        </w:tc>
      </w:tr>
    </w:tbl>
    <w:p w:rsidR="00543A68" w:rsidRPr="00B45B4F" w:rsidRDefault="00543A68" w:rsidP="00FB0125">
      <w:pPr>
        <w:rPr>
          <w:lang w:val="bg-BG"/>
        </w:rPr>
      </w:pPr>
    </w:p>
    <w:p w:rsidR="00543A68" w:rsidRPr="00B45B4F" w:rsidRDefault="00543A68" w:rsidP="00FB0125">
      <w:pPr>
        <w:rPr>
          <w:lang w:val="bg-BG"/>
        </w:rPr>
      </w:pPr>
    </w:p>
    <w:p w:rsidR="00FB0125" w:rsidRPr="00B45B4F" w:rsidRDefault="00FB0125">
      <w:pPr>
        <w:ind w:left="-709"/>
        <w:jc w:val="center"/>
        <w:rPr>
          <w:rFonts w:ascii="Verdana" w:hAnsi="Verdana"/>
          <w:sz w:val="20"/>
          <w:szCs w:val="20"/>
          <w:lang w:val="bg-BG"/>
        </w:rPr>
        <w:sectPr w:rsidR="00FB0125" w:rsidRPr="00B45B4F" w:rsidSect="002D3F8E">
          <w:pgSz w:w="11907" w:h="16839" w:code="9"/>
          <w:pgMar w:top="2166" w:right="1440" w:bottom="1440" w:left="1440" w:header="720" w:footer="724" w:gutter="0"/>
          <w:cols w:space="720"/>
          <w:docGrid w:linePitch="360"/>
        </w:sectPr>
      </w:pPr>
      <w:bookmarkStart w:id="187" w:name="_GoBack"/>
      <w:bookmarkEnd w:id="187"/>
    </w:p>
    <w:p w:rsidR="00271DF9" w:rsidRPr="00B45B4F" w:rsidRDefault="00271DF9" w:rsidP="00271DF9">
      <w:pPr>
        <w:pStyle w:val="Heading2"/>
        <w:shd w:val="clear" w:color="auto" w:fill="FFCC99"/>
        <w:spacing w:before="0" w:after="240"/>
        <w:rPr>
          <w:rFonts w:ascii="Verdana" w:hAnsi="Verdana"/>
          <w:i w:val="0"/>
          <w:iCs/>
          <w:color w:val="0063B8"/>
          <w:sz w:val="26"/>
          <w:szCs w:val="26"/>
          <w:lang w:val="bg-BG"/>
        </w:rPr>
      </w:pPr>
      <w:bookmarkStart w:id="188" w:name="_Toc395612534"/>
      <w:r w:rsidRPr="00B45B4F">
        <w:rPr>
          <w:rFonts w:ascii="Verdana" w:hAnsi="Verdana"/>
          <w:i w:val="0"/>
          <w:iCs/>
          <w:color w:val="0063B8"/>
          <w:sz w:val="26"/>
          <w:szCs w:val="26"/>
          <w:lang w:val="bg-BG"/>
        </w:rPr>
        <w:lastRenderedPageBreak/>
        <w:t xml:space="preserve">Приложение </w:t>
      </w:r>
      <w:r w:rsidR="00A62214">
        <w:rPr>
          <w:rFonts w:ascii="Verdana" w:hAnsi="Verdana"/>
          <w:i w:val="0"/>
          <w:iCs/>
          <w:color w:val="0063B8"/>
          <w:sz w:val="26"/>
          <w:szCs w:val="26"/>
          <w:lang w:val="bg-BG"/>
        </w:rPr>
        <w:t>3</w:t>
      </w:r>
      <w:r w:rsidRPr="00B45B4F">
        <w:rPr>
          <w:rFonts w:ascii="Verdana" w:hAnsi="Verdana"/>
          <w:i w:val="0"/>
          <w:iCs/>
          <w:color w:val="0063B8"/>
          <w:sz w:val="26"/>
          <w:szCs w:val="26"/>
          <w:lang w:val="bg-BG"/>
        </w:rPr>
        <w:t xml:space="preserve">: </w:t>
      </w:r>
      <w:r w:rsidR="006744A9">
        <w:rPr>
          <w:rFonts w:ascii="Verdana" w:hAnsi="Verdana"/>
          <w:i w:val="0"/>
          <w:iCs/>
          <w:color w:val="0063B8"/>
          <w:sz w:val="26"/>
          <w:szCs w:val="26"/>
          <w:lang w:val="bg-BG"/>
        </w:rPr>
        <w:t>Р</w:t>
      </w:r>
      <w:r w:rsidRPr="00B45B4F">
        <w:rPr>
          <w:rFonts w:ascii="Verdana" w:hAnsi="Verdana"/>
          <w:i w:val="0"/>
          <w:iCs/>
          <w:color w:val="0063B8"/>
          <w:sz w:val="26"/>
          <w:szCs w:val="26"/>
          <w:lang w:val="bg-BG"/>
        </w:rPr>
        <w:t>езултати от онлайн проучването сред потенциални бенефициенти на програмата, бъдещият УО и членове на Работната група за подготовка на програмата</w:t>
      </w:r>
      <w:bookmarkEnd w:id="188"/>
    </w:p>
    <w:p w:rsidR="00CA3622" w:rsidRDefault="00CA3622" w:rsidP="001958F4">
      <w:pPr>
        <w:ind w:left="-709"/>
        <w:jc w:val="center"/>
        <w:rPr>
          <w:rFonts w:ascii="Verdana" w:hAnsi="Verdana"/>
          <w:sz w:val="20"/>
          <w:szCs w:val="20"/>
          <w:lang w:val="bg-BG"/>
        </w:rPr>
        <w:sectPr w:rsidR="00CA3622" w:rsidSect="002D3F8E">
          <w:pgSz w:w="11907" w:h="16839" w:code="9"/>
          <w:pgMar w:top="2169" w:right="1440" w:bottom="1440" w:left="1440" w:header="720" w:footer="724" w:gutter="0"/>
          <w:cols w:space="720"/>
          <w:docGrid w:linePitch="360"/>
        </w:sectPr>
      </w:pPr>
    </w:p>
    <w:p w:rsidR="00CA3622" w:rsidRPr="00B45B4F" w:rsidRDefault="00CA3622" w:rsidP="00CA3622">
      <w:pPr>
        <w:pStyle w:val="Heading2"/>
        <w:shd w:val="clear" w:color="auto" w:fill="FFCC99"/>
        <w:spacing w:before="0" w:after="240"/>
        <w:rPr>
          <w:rFonts w:ascii="Verdana" w:hAnsi="Verdana"/>
          <w:i w:val="0"/>
          <w:iCs/>
          <w:color w:val="0063B8"/>
          <w:sz w:val="26"/>
          <w:szCs w:val="26"/>
          <w:lang w:val="bg-BG"/>
        </w:rPr>
      </w:pPr>
      <w:bookmarkStart w:id="189" w:name="_Toc395612535"/>
      <w:r w:rsidRPr="00B45B4F">
        <w:rPr>
          <w:rFonts w:ascii="Verdana" w:hAnsi="Verdana"/>
          <w:i w:val="0"/>
          <w:iCs/>
          <w:color w:val="0063B8"/>
          <w:sz w:val="26"/>
          <w:szCs w:val="26"/>
          <w:lang w:val="bg-BG"/>
        </w:rPr>
        <w:lastRenderedPageBreak/>
        <w:t xml:space="preserve">Приложение </w:t>
      </w:r>
      <w:r w:rsidR="00A62214">
        <w:rPr>
          <w:rFonts w:ascii="Verdana" w:hAnsi="Verdana"/>
          <w:i w:val="0"/>
          <w:iCs/>
          <w:color w:val="0063B8"/>
          <w:sz w:val="26"/>
          <w:szCs w:val="26"/>
          <w:lang w:val="bg-BG"/>
        </w:rPr>
        <w:t>4</w:t>
      </w:r>
      <w:r w:rsidRPr="00B45B4F">
        <w:rPr>
          <w:rFonts w:ascii="Verdana" w:hAnsi="Verdana"/>
          <w:i w:val="0"/>
          <w:iCs/>
          <w:color w:val="0063B8"/>
          <w:sz w:val="26"/>
          <w:szCs w:val="26"/>
          <w:lang w:val="bg-BG"/>
        </w:rPr>
        <w:t xml:space="preserve">: </w:t>
      </w:r>
      <w:r>
        <w:rPr>
          <w:rFonts w:ascii="Verdana" w:hAnsi="Verdana"/>
          <w:i w:val="0"/>
          <w:iCs/>
          <w:color w:val="0063B8"/>
          <w:sz w:val="26"/>
          <w:szCs w:val="26"/>
          <w:lang w:val="bg-BG"/>
        </w:rPr>
        <w:t>Р</w:t>
      </w:r>
      <w:r w:rsidRPr="00B45B4F">
        <w:rPr>
          <w:rFonts w:ascii="Verdana" w:hAnsi="Verdana"/>
          <w:i w:val="0"/>
          <w:iCs/>
          <w:color w:val="0063B8"/>
          <w:sz w:val="26"/>
          <w:szCs w:val="26"/>
          <w:lang w:val="bg-BG"/>
        </w:rPr>
        <w:t xml:space="preserve">езултати от онлайн проучването </w:t>
      </w:r>
      <w:r>
        <w:rPr>
          <w:rFonts w:ascii="Verdana" w:hAnsi="Verdana"/>
          <w:i w:val="0"/>
          <w:iCs/>
          <w:color w:val="0063B8"/>
          <w:sz w:val="26"/>
          <w:szCs w:val="26"/>
          <w:lang w:val="bg-BG"/>
        </w:rPr>
        <w:t>сред експерти от ГД СФМОП</w:t>
      </w:r>
      <w:bookmarkEnd w:id="189"/>
    </w:p>
    <w:p w:rsidR="00FB0125" w:rsidRDefault="00FB0125" w:rsidP="001958F4">
      <w:pPr>
        <w:ind w:left="-709"/>
        <w:jc w:val="center"/>
        <w:rPr>
          <w:rFonts w:ascii="Verdana" w:hAnsi="Verdana"/>
          <w:sz w:val="20"/>
          <w:szCs w:val="20"/>
          <w:lang w:val="bg-BG"/>
        </w:rPr>
      </w:pPr>
    </w:p>
    <w:p w:rsidR="00002CEF" w:rsidRDefault="00002CEF" w:rsidP="001958F4">
      <w:pPr>
        <w:ind w:left="-709"/>
        <w:jc w:val="center"/>
        <w:rPr>
          <w:rFonts w:ascii="Verdana" w:hAnsi="Verdana"/>
          <w:sz w:val="20"/>
          <w:szCs w:val="20"/>
          <w:lang w:val="bg-BG"/>
        </w:rPr>
        <w:sectPr w:rsidR="00002CEF" w:rsidSect="002D3F8E">
          <w:pgSz w:w="11907" w:h="16839" w:code="9"/>
          <w:pgMar w:top="2169" w:right="1440" w:bottom="1440" w:left="1440" w:header="720" w:footer="724" w:gutter="0"/>
          <w:cols w:space="720"/>
          <w:docGrid w:linePitch="360"/>
        </w:sectPr>
      </w:pPr>
    </w:p>
    <w:p w:rsidR="00002CEF" w:rsidRPr="00B45B4F" w:rsidRDefault="00002CEF" w:rsidP="00002CEF">
      <w:pPr>
        <w:pStyle w:val="Heading2"/>
        <w:shd w:val="clear" w:color="auto" w:fill="FFCC99"/>
        <w:spacing w:before="0" w:after="240"/>
        <w:rPr>
          <w:rFonts w:ascii="Verdana" w:hAnsi="Verdana"/>
          <w:i w:val="0"/>
          <w:iCs/>
          <w:color w:val="0063B8"/>
          <w:sz w:val="26"/>
          <w:szCs w:val="26"/>
          <w:lang w:val="bg-BG"/>
        </w:rPr>
      </w:pPr>
      <w:bookmarkStart w:id="190" w:name="_Toc395612536"/>
      <w:r w:rsidRPr="00B45B4F">
        <w:rPr>
          <w:rFonts w:ascii="Verdana" w:hAnsi="Verdana"/>
          <w:i w:val="0"/>
          <w:iCs/>
          <w:color w:val="0063B8"/>
          <w:sz w:val="26"/>
          <w:szCs w:val="26"/>
          <w:lang w:val="bg-BG"/>
        </w:rPr>
        <w:lastRenderedPageBreak/>
        <w:t xml:space="preserve">Приложение </w:t>
      </w:r>
      <w:r>
        <w:rPr>
          <w:rFonts w:ascii="Verdana" w:hAnsi="Verdana"/>
          <w:i w:val="0"/>
          <w:iCs/>
          <w:color w:val="0063B8"/>
          <w:sz w:val="26"/>
          <w:szCs w:val="26"/>
          <w:lang w:val="bg-BG"/>
        </w:rPr>
        <w:t>5</w:t>
      </w:r>
      <w:r w:rsidRPr="00B45B4F">
        <w:rPr>
          <w:rFonts w:ascii="Verdana" w:hAnsi="Verdana"/>
          <w:i w:val="0"/>
          <w:iCs/>
          <w:color w:val="0063B8"/>
          <w:sz w:val="26"/>
          <w:szCs w:val="26"/>
          <w:lang w:val="bg-BG"/>
        </w:rPr>
        <w:t>: Логика на интервенция на програмата</w:t>
      </w:r>
      <w:bookmarkEnd w:id="190"/>
    </w:p>
    <w:p w:rsidR="00002CEF" w:rsidRDefault="00002CEF" w:rsidP="00002CEF">
      <w:pPr>
        <w:ind w:left="-709"/>
        <w:jc w:val="center"/>
        <w:rPr>
          <w:rFonts w:ascii="Verdana" w:hAnsi="Verdana"/>
          <w:sz w:val="20"/>
          <w:szCs w:val="20"/>
          <w:lang w:val="bg-BG"/>
        </w:rPr>
      </w:pPr>
    </w:p>
    <w:p w:rsidR="00002CEF" w:rsidRDefault="00002CEF" w:rsidP="00002CEF">
      <w:pPr>
        <w:ind w:left="-709"/>
        <w:jc w:val="center"/>
        <w:rPr>
          <w:rFonts w:ascii="Verdana" w:hAnsi="Verdana"/>
          <w:sz w:val="20"/>
          <w:szCs w:val="20"/>
          <w:lang w:val="bg-BG"/>
        </w:rPr>
      </w:pPr>
    </w:p>
    <w:p w:rsidR="007C4372" w:rsidRDefault="007C4372" w:rsidP="001958F4">
      <w:pPr>
        <w:ind w:left="-709"/>
        <w:jc w:val="center"/>
        <w:rPr>
          <w:rFonts w:ascii="Verdana" w:hAnsi="Verdana"/>
          <w:sz w:val="20"/>
          <w:szCs w:val="20"/>
          <w:lang w:val="bg-BG"/>
        </w:rPr>
        <w:sectPr w:rsidR="007C4372" w:rsidSect="002D3F8E">
          <w:pgSz w:w="11907" w:h="16839" w:code="9"/>
          <w:pgMar w:top="2169" w:right="1440" w:bottom="1440" w:left="1440" w:header="720" w:footer="724" w:gutter="0"/>
          <w:cols w:space="720"/>
          <w:docGrid w:linePitch="360"/>
        </w:sectPr>
      </w:pPr>
    </w:p>
    <w:p w:rsidR="007C4372" w:rsidRPr="007C4372" w:rsidRDefault="007C4372" w:rsidP="007C4372">
      <w:pPr>
        <w:pStyle w:val="Heading2"/>
        <w:shd w:val="clear" w:color="auto" w:fill="FFCC99"/>
        <w:spacing w:before="0" w:after="240"/>
        <w:rPr>
          <w:rFonts w:ascii="Verdana" w:hAnsi="Verdana"/>
          <w:i w:val="0"/>
          <w:iCs/>
          <w:color w:val="0063B8"/>
          <w:sz w:val="26"/>
          <w:szCs w:val="26"/>
          <w:lang w:val="bg-BG"/>
        </w:rPr>
      </w:pPr>
      <w:bookmarkStart w:id="191" w:name="_Toc395612537"/>
      <w:r w:rsidRPr="00B45B4F">
        <w:rPr>
          <w:rFonts w:ascii="Verdana" w:hAnsi="Verdana"/>
          <w:i w:val="0"/>
          <w:iCs/>
          <w:color w:val="0063B8"/>
          <w:sz w:val="26"/>
          <w:szCs w:val="26"/>
          <w:lang w:val="bg-BG"/>
        </w:rPr>
        <w:lastRenderedPageBreak/>
        <w:t xml:space="preserve">Приложение </w:t>
      </w:r>
      <w:r>
        <w:rPr>
          <w:rFonts w:ascii="Verdana" w:hAnsi="Verdana"/>
          <w:i w:val="0"/>
          <w:iCs/>
          <w:color w:val="0063B8"/>
          <w:sz w:val="26"/>
          <w:szCs w:val="26"/>
          <w:lang w:val="en-US"/>
        </w:rPr>
        <w:t>6</w:t>
      </w:r>
      <w:r w:rsidRPr="00B45B4F">
        <w:rPr>
          <w:rFonts w:ascii="Verdana" w:hAnsi="Verdana"/>
          <w:i w:val="0"/>
          <w:iCs/>
          <w:color w:val="0063B8"/>
          <w:sz w:val="26"/>
          <w:szCs w:val="26"/>
          <w:lang w:val="bg-BG"/>
        </w:rPr>
        <w:t xml:space="preserve">: </w:t>
      </w:r>
      <w:r>
        <w:rPr>
          <w:rFonts w:ascii="Verdana" w:hAnsi="Verdana"/>
          <w:i w:val="0"/>
          <w:iCs/>
          <w:color w:val="0063B8"/>
          <w:sz w:val="26"/>
          <w:szCs w:val="26"/>
          <w:lang w:val="bg-BG"/>
        </w:rPr>
        <w:t>Фишове на индикаторите</w:t>
      </w:r>
      <w:bookmarkEnd w:id="191"/>
    </w:p>
    <w:p w:rsidR="007C4372" w:rsidRDefault="007C4372" w:rsidP="007C4372">
      <w:pPr>
        <w:rPr>
          <w:rFonts w:ascii="Verdana" w:hAnsi="Verdana"/>
          <w:sz w:val="20"/>
          <w:szCs w:val="20"/>
          <w:lang w:val="bg-BG"/>
        </w:rPr>
      </w:pPr>
    </w:p>
    <w:p w:rsidR="00002CEF" w:rsidRPr="00B45B4F" w:rsidRDefault="007C4372" w:rsidP="007C4372">
      <w:pPr>
        <w:rPr>
          <w:rFonts w:ascii="Verdana" w:hAnsi="Verdana"/>
          <w:sz w:val="20"/>
          <w:szCs w:val="20"/>
          <w:lang w:val="bg-BG"/>
        </w:rPr>
      </w:pPr>
      <w:r>
        <w:rPr>
          <w:rFonts w:ascii="Verdana" w:hAnsi="Verdana"/>
          <w:sz w:val="20"/>
          <w:szCs w:val="20"/>
          <w:lang w:val="bg-BG"/>
        </w:rPr>
        <w:t>Само на електронен носител.</w:t>
      </w:r>
    </w:p>
    <w:sectPr w:rsidR="00002CEF" w:rsidRPr="00B45B4F" w:rsidSect="002D3F8E">
      <w:pgSz w:w="11907" w:h="16839" w:code="9"/>
      <w:pgMar w:top="2169" w:right="1440" w:bottom="1440" w:left="1440" w:header="720" w:footer="72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449A3" w:rsidRDefault="00A449A3" w:rsidP="007069A4">
      <w:pPr>
        <w:spacing w:after="0" w:line="240" w:lineRule="auto"/>
      </w:pPr>
      <w:r>
        <w:separator/>
      </w:r>
    </w:p>
  </w:endnote>
  <w:endnote w:type="continuationSeparator" w:id="0">
    <w:p w:rsidR="00A449A3" w:rsidRDefault="00A449A3" w:rsidP="007069A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Arial Narrow">
    <w:panose1 w:val="020B0606020202030204"/>
    <w:charset w:val="CC"/>
    <w:family w:val="swiss"/>
    <w:pitch w:val="variable"/>
    <w:sig w:usb0="00000287" w:usb1="00000800" w:usb2="00000000" w:usb3="00000000" w:csb0="0000009F" w:csb1="00000000"/>
  </w:font>
  <w:font w:name="Optima">
    <w:altName w:val="Century Gothic"/>
    <w:charset w:val="00"/>
    <w:family w:val="swiss"/>
    <w:pitch w:val="variable"/>
    <w:sig w:usb0="00000007" w:usb1="00000000" w:usb2="00000000" w:usb3="00000000" w:csb0="00000093" w:csb1="00000000"/>
  </w:font>
  <w:font w:name="DejaVu Sans">
    <w:charset w:val="CC"/>
    <w:family w:val="swiss"/>
    <w:pitch w:val="variable"/>
    <w:sig w:usb0="E7002EFF" w:usb1="D200FDFF" w:usb2="0A246029" w:usb3="00000000" w:csb0="000001FF" w:csb1="00000000"/>
  </w:font>
  <w:font w:name="TmsCyr">
    <w:altName w:val="Times New Roman"/>
    <w:panose1 w:val="00000000000000000000"/>
    <w:charset w:val="00"/>
    <w:family w:val="roman"/>
    <w:notTrueType/>
    <w:pitch w:val="variable"/>
    <w:sig w:usb0="00000003" w:usb1="00000000" w:usb2="00000000" w:usb3="00000000" w:csb0="00000001" w:csb1="00000000"/>
  </w:font>
  <w:font w:name="PF Square Sans Pro Medium">
    <w:altName w:val="PF Square Sans Pro Medium"/>
    <w:panose1 w:val="00000000000000000000"/>
    <w:charset w:val="CC"/>
    <w:family w:val="swiss"/>
    <w:notTrueType/>
    <w:pitch w:val="default"/>
    <w:sig w:usb0="00000201" w:usb1="00000000" w:usb2="00000000" w:usb3="00000000" w:csb0="00000004" w:csb1="00000000"/>
  </w:font>
  <w:font w:name="EUAlbertina">
    <w:altName w:val="Times New Roman"/>
    <w:panose1 w:val="00000000000000000000"/>
    <w:charset w:val="CC"/>
    <w:family w:val="roman"/>
    <w:notTrueType/>
    <w:pitch w:val="default"/>
    <w:sig w:usb0="00000203" w:usb1="00000000" w:usb2="00000000" w:usb3="00000000" w:csb0="00000005" w:csb1="00000000"/>
  </w:font>
  <w:font w:name="DotumChe">
    <w:panose1 w:val="020B0609000101010101"/>
    <w:charset w:val="81"/>
    <w:family w:val="modern"/>
    <w:pitch w:val="fixed"/>
    <w:sig w:usb0="B00002AF" w:usb1="69D77CFB" w:usb2="00000030" w:usb3="00000000" w:csb0="0008009F" w:csb1="00000000"/>
  </w:font>
  <w:font w:name="TimesNewRomanPSMT">
    <w:altName w:val="Arial Unicode MS"/>
    <w:panose1 w:val="00000000000000000000"/>
    <w:charset w:val="80"/>
    <w:family w:val="auto"/>
    <w:notTrueType/>
    <w:pitch w:val="default"/>
    <w:sig w:usb0="00000203" w:usb1="08070000" w:usb2="00000010" w:usb3="00000000" w:csb0="00020005" w:csb1="00000000"/>
  </w:font>
  <w:font w:name="Malgun Gothic">
    <w:panose1 w:val="020B0503020000020004"/>
    <w:charset w:val="81"/>
    <w:family w:val="swiss"/>
    <w:pitch w:val="variable"/>
    <w:sig w:usb0="900002AF" w:usb1="09D77CFB" w:usb2="00000012" w:usb3="00000000" w:csb0="00080001" w:csb1="00000000"/>
  </w:font>
  <w:font w:name="Wingdings 2">
    <w:panose1 w:val="05020102010507070707"/>
    <w:charset w:val="02"/>
    <w:family w:val="roman"/>
    <w:pitch w:val="variable"/>
    <w:sig w:usb0="00000000" w:usb1="10000000" w:usb2="00000000" w:usb3="00000000" w:csb0="80000000" w:csb1="00000000"/>
  </w:font>
  <w:font w:name="TimesNewRoman">
    <w:altName w:val="Times New Roman"/>
    <w:panose1 w:val="00000000000000000000"/>
    <w:charset w:val="00"/>
    <w:family w:val="roman"/>
    <w:notTrueType/>
    <w:pitch w:val="default"/>
    <w:sig w:usb0="00000003" w:usb1="08070000" w:usb2="00000010" w:usb3="00000000" w:csb0="00020003" w:csb1="00000000"/>
  </w:font>
  <w:font w:name="TimesNewRoman,Bold">
    <w:altName w:val="Times New Roman"/>
    <w:panose1 w:val="00000000000000000000"/>
    <w:charset w:val="00"/>
    <w:family w:val="auto"/>
    <w:notTrueType/>
    <w:pitch w:val="default"/>
    <w:sig w:usb0="00000003" w:usb1="00000000" w:usb2="00000000" w:usb3="00000000" w:csb0="00000001" w:csb1="00000000"/>
  </w:font>
  <w:font w:name="OpalCYR">
    <w:panose1 w:val="00000000000000000000"/>
    <w:charset w:val="CC"/>
    <w:family w:val="auto"/>
    <w:notTrueType/>
    <w:pitch w:val="default"/>
    <w:sig w:usb0="00000201" w:usb1="00000000" w:usb2="00000000" w:usb3="00000000" w:csb0="00000004"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2815656"/>
      <w:docPartObj>
        <w:docPartGallery w:val="Page Numbers (Bottom of Page)"/>
        <w:docPartUnique/>
      </w:docPartObj>
    </w:sdtPr>
    <w:sdtContent>
      <w:p w:rsidR="00A449A3" w:rsidRDefault="00A449A3">
        <w:pPr>
          <w:pStyle w:val="Footer"/>
        </w:pPr>
        <w:r>
          <w:rPr>
            <w:rFonts w:asciiTheme="majorHAnsi" w:hAnsiTheme="majorHAnsi"/>
            <w:noProof/>
            <w:sz w:val="28"/>
            <w:szCs w:val="28"/>
            <w:lang w:val="bg-BG" w:eastAsia="bg-BG"/>
          </w:rPr>
          <mc:AlternateContent>
            <mc:Choice Requires="wps">
              <w:drawing>
                <wp:anchor distT="0" distB="0" distL="114300" distR="114300" simplePos="0" relativeHeight="251553280" behindDoc="0" locked="0" layoutInCell="1" allowOverlap="1" wp14:anchorId="16F7EA4E" wp14:editId="3FE46AAF">
                  <wp:simplePos x="0" y="0"/>
                  <wp:positionH relativeFrom="rightMargin">
                    <wp:posOffset>-421640</wp:posOffset>
                  </wp:positionH>
                  <wp:positionV relativeFrom="bottomMargin">
                    <wp:posOffset>200660</wp:posOffset>
                  </wp:positionV>
                  <wp:extent cx="512445" cy="441325"/>
                  <wp:effectExtent l="0" t="0" r="0" b="0"/>
                  <wp:wrapNone/>
                  <wp:docPr id="55" name="AutoShap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1600000">
                            <a:off x="0" y="0"/>
                            <a:ext cx="512445" cy="441325"/>
                          </a:xfrm>
                          <a:prstGeom prst="flowChartAlternateProcess">
                            <a:avLst/>
                          </a:prstGeom>
                          <a:noFill/>
                          <a:ln>
                            <a:noFill/>
                          </a:ln>
                          <a:extLst>
                            <a:ext uri="{909E8E84-426E-40DD-AFC4-6F175D3DCCD1}">
                              <a14:hiddenFill xmlns:a14="http://schemas.microsoft.com/office/drawing/2010/main">
                                <a:solidFill>
                                  <a:schemeClr val="accent1">
                                    <a:lumMod val="100000"/>
                                    <a:lumOff val="0"/>
                                  </a:schemeClr>
                                </a:solidFill>
                              </a14:hiddenFill>
                            </a:ext>
                            <a:ext uri="{91240B29-F687-4F45-9708-019B960494DF}">
                              <a14:hiddenLine xmlns:a14="http://schemas.microsoft.com/office/drawing/2010/main" w="9525">
                                <a:solidFill>
                                  <a:schemeClr val="tx1">
                                    <a:lumMod val="55000"/>
                                    <a:lumOff val="45000"/>
                                  </a:schemeClr>
                                </a:solidFill>
                                <a:miter lim="800000"/>
                                <a:headEnd/>
                                <a:tailEnd/>
                              </a14:hiddenLine>
                            </a:ext>
                          </a:extLst>
                        </wps:spPr>
                        <wps:txbx>
                          <w:txbxContent>
                            <w:p w:rsidR="00A449A3" w:rsidRPr="00FD60F7" w:rsidRDefault="00A449A3" w:rsidP="008B6896">
                              <w:pPr>
                                <w:pStyle w:val="Footer"/>
                                <w:pBdr>
                                  <w:top w:val="single" w:sz="12" w:space="1" w:color="0070C0"/>
                                  <w:bottom w:val="single" w:sz="48" w:space="1" w:color="0070C0"/>
                                </w:pBdr>
                                <w:jc w:val="center"/>
                                <w:rPr>
                                  <w:rFonts w:ascii="Verdana" w:hAnsi="Verdana"/>
                                  <w:b/>
                                  <w:sz w:val="20"/>
                                </w:rPr>
                              </w:pPr>
                              <w:r w:rsidRPr="00FD60F7">
                                <w:rPr>
                                  <w:rFonts w:ascii="Verdana" w:hAnsi="Verdana"/>
                                  <w:b/>
                                  <w:sz w:val="20"/>
                                </w:rPr>
                                <w:fldChar w:fldCharType="begin"/>
                              </w:r>
                              <w:r w:rsidRPr="00FD60F7">
                                <w:rPr>
                                  <w:rFonts w:ascii="Verdana" w:hAnsi="Verdana"/>
                                  <w:b/>
                                  <w:sz w:val="20"/>
                                </w:rPr>
                                <w:instrText xml:space="preserve"> PAGE    \* MERGEFORMAT </w:instrText>
                              </w:r>
                              <w:r w:rsidRPr="00FD60F7">
                                <w:rPr>
                                  <w:rFonts w:ascii="Verdana" w:hAnsi="Verdana"/>
                                  <w:b/>
                                  <w:sz w:val="20"/>
                                </w:rPr>
                                <w:fldChar w:fldCharType="separate"/>
                              </w:r>
                              <w:r w:rsidR="001361E0">
                                <w:rPr>
                                  <w:rFonts w:ascii="Verdana" w:hAnsi="Verdana"/>
                                  <w:b/>
                                  <w:noProof/>
                                  <w:sz w:val="20"/>
                                </w:rPr>
                                <w:t>2</w:t>
                              </w:r>
                              <w:r w:rsidRPr="00FD60F7">
                                <w:rPr>
                                  <w:rFonts w:ascii="Verdana" w:hAnsi="Verdana"/>
                                  <w:b/>
                                  <w:sz w:val="20"/>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6F7EA4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28" o:spid="_x0000_s1026" type="#_x0000_t176" style="position:absolute;margin-left:-33.2pt;margin-top:15.8pt;width:40.35pt;height:34.75pt;z-index:25155328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" filled="f" fillcolor="#4f81bd [3204]" stroked="f" strokecolor="#737373 [1789]">
                  <v:textbox>
                    <w:txbxContent>
                      <w:p w:rsidR="00A449A3" w:rsidRPr="00FD60F7" w:rsidRDefault="00A449A3" w:rsidP="008B6896">
                        <w:pPr>
                          <w:pStyle w:val="Footer"/>
                          <w:pBdr>
                            <w:top w:val="single" w:sz="12" w:space="1" w:color="0070C0"/>
                            <w:bottom w:val="single" w:sz="48" w:space="1" w:color="0070C0"/>
                          </w:pBdr>
                          <w:jc w:val="center"/>
                          <w:rPr>
                            <w:rFonts w:ascii="Verdana" w:hAnsi="Verdana"/>
                            <w:b/>
                            <w:sz w:val="20"/>
                          </w:rPr>
                        </w:pPr>
                        <w:r w:rsidRPr="00FD60F7">
                          <w:rPr>
                            <w:rFonts w:ascii="Verdana" w:hAnsi="Verdana"/>
                            <w:b/>
                            <w:sz w:val="20"/>
                          </w:rPr>
                          <w:fldChar w:fldCharType="begin"/>
                        </w:r>
                        <w:r w:rsidRPr="00FD60F7">
                          <w:rPr>
                            <w:rFonts w:ascii="Verdana" w:hAnsi="Verdana"/>
                            <w:b/>
                            <w:sz w:val="20"/>
                          </w:rPr>
                          <w:instrText xml:space="preserve"> PAGE    \* MERGEFORMAT </w:instrText>
                        </w:r>
                        <w:r w:rsidRPr="00FD60F7">
                          <w:rPr>
                            <w:rFonts w:ascii="Verdana" w:hAnsi="Verdana"/>
                            <w:b/>
                            <w:sz w:val="20"/>
                          </w:rPr>
                          <w:fldChar w:fldCharType="separate"/>
                        </w:r>
                        <w:r w:rsidR="001361E0">
                          <w:rPr>
                            <w:rFonts w:ascii="Verdana" w:hAnsi="Verdana"/>
                            <w:b/>
                            <w:noProof/>
                            <w:sz w:val="20"/>
                          </w:rPr>
                          <w:t>2</w:t>
                        </w:r>
                        <w:r w:rsidRPr="00FD60F7">
                          <w:rPr>
                            <w:rFonts w:ascii="Verdana" w:hAnsi="Verdana"/>
                            <w:b/>
                            <w:sz w:val="20"/>
                          </w:rPr>
                          <w:fldChar w:fldCharType="end"/>
                        </w:r>
                      </w:p>
                    </w:txbxContent>
                  </v:textbox>
                  <w10:wrap anchorx="margin" anchory="margin"/>
                </v:shape>
              </w:pict>
            </mc:Fallback>
          </mc:AlternateConten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449A3" w:rsidRPr="00123DEA" w:rsidRDefault="00A449A3" w:rsidP="00123DEA">
    <w:pPr>
      <w:pStyle w:val="Footer"/>
      <w:tabs>
        <w:tab w:val="clear" w:pos="4703"/>
        <w:tab w:val="clear" w:pos="9406"/>
        <w:tab w:val="center" w:pos="0"/>
        <w:tab w:val="right" w:pos="9072"/>
      </w:tabs>
      <w:spacing w:after="0"/>
      <w:rPr>
        <w:rFonts w:ascii="Verdana" w:hAnsi="Verdana"/>
        <w:noProof/>
        <w:sz w:val="16"/>
        <w:szCs w:val="16"/>
      </w:rPr>
    </w:pPr>
  </w:p>
  <w:p w:rsidR="00A449A3" w:rsidRDefault="00A449A3" w:rsidP="00123DEA">
    <w:pPr>
      <w:pStyle w:val="Footer"/>
      <w:tabs>
        <w:tab w:val="clear" w:pos="4703"/>
        <w:tab w:val="clear" w:pos="9406"/>
        <w:tab w:val="left" w:pos="0"/>
        <w:tab w:val="right" w:pos="9072"/>
      </w:tabs>
      <w:rPr>
        <w:noProof/>
      </w:rPr>
    </w:pPr>
    <w:r w:rsidRPr="00FD60F7">
      <w:rPr>
        <w:noProof/>
        <w:lang w:val="bg-BG" w:eastAsia="bg-BG"/>
      </w:rPr>
      <w:drawing>
        <wp:inline distT="0" distB="0" distL="0" distR="0" wp14:anchorId="38DD85D4" wp14:editId="2563F015">
          <wp:extent cx="843280" cy="431165"/>
          <wp:effectExtent l="0" t="0" r="0"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43280" cy="431165"/>
                  </a:xfrm>
                  <a:prstGeom prst="rect">
                    <a:avLst/>
                  </a:prstGeom>
                  <a:solidFill>
                    <a:srgbClr val="FFFFFF"/>
                  </a:solidFill>
                  <a:ln w="9525">
                    <a:noFill/>
                    <a:miter lim="800000"/>
                    <a:headEnd/>
                    <a:tailEnd/>
                  </a:ln>
                </pic:spPr>
              </pic:pic>
            </a:graphicData>
          </a:graphic>
        </wp:inline>
      </w:drawing>
    </w:r>
    <w:r>
      <w:rPr>
        <w:noProof/>
        <w:lang w:val="bg-BG" w:eastAsia="bg-BG"/>
      </w:rPr>
      <mc:AlternateContent>
        <mc:Choice Requires="wps">
          <w:drawing>
            <wp:anchor distT="0" distB="0" distL="114300" distR="114300" simplePos="0" relativeHeight="251680256" behindDoc="0" locked="0" layoutInCell="1" allowOverlap="1" wp14:anchorId="05FE15D9" wp14:editId="7F98CC7E">
              <wp:simplePos x="0" y="0"/>
              <wp:positionH relativeFrom="rightMargin">
                <wp:posOffset>-420370</wp:posOffset>
              </wp:positionH>
              <wp:positionV relativeFrom="bottomMargin">
                <wp:posOffset>184150</wp:posOffset>
              </wp:positionV>
              <wp:extent cx="512445" cy="441325"/>
              <wp:effectExtent l="0" t="0" r="0" b="0"/>
              <wp:wrapNone/>
              <wp:docPr id="54"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1600000">
                        <a:off x="0" y="0"/>
                        <a:ext cx="512445" cy="441325"/>
                      </a:xfrm>
                      <a:prstGeom prst="flowChartAlternateProcess">
                        <a:avLst/>
                      </a:prstGeom>
                      <a:noFill/>
                      <a:ln>
                        <a:noFill/>
                      </a:ln>
                      <a:extLst>
                        <a:ext uri="{909E8E84-426E-40DD-AFC4-6F175D3DCCD1}">
                          <a14:hiddenFill xmlns:a14="http://schemas.microsoft.com/office/drawing/2010/main">
                            <a:solidFill>
                              <a:schemeClr val="accent1">
                                <a:lumMod val="100000"/>
                                <a:lumOff val="0"/>
                              </a:schemeClr>
                            </a:solidFill>
                          </a14:hiddenFill>
                        </a:ext>
                        <a:ext uri="{91240B29-F687-4F45-9708-019B960494DF}">
                          <a14:hiddenLine xmlns:a14="http://schemas.microsoft.com/office/drawing/2010/main" w="9525">
                            <a:solidFill>
                              <a:schemeClr val="tx1">
                                <a:lumMod val="55000"/>
                                <a:lumOff val="45000"/>
                              </a:schemeClr>
                            </a:solidFill>
                            <a:miter lim="800000"/>
                            <a:headEnd/>
                            <a:tailEnd/>
                          </a14:hiddenLine>
                        </a:ext>
                      </a:extLst>
                    </wps:spPr>
                    <wps:txbx>
                      <w:txbxContent>
                        <w:p w:rsidR="00A449A3" w:rsidRPr="00FD60F7" w:rsidRDefault="00A449A3" w:rsidP="00FD60F7">
                          <w:pPr>
                            <w:pStyle w:val="Footer"/>
                            <w:pBdr>
                              <w:top w:val="single" w:sz="12" w:space="1" w:color="0070C0"/>
                              <w:bottom w:val="single" w:sz="48" w:space="1" w:color="0070C0"/>
                            </w:pBdr>
                            <w:jc w:val="center"/>
                            <w:rPr>
                              <w:rFonts w:ascii="Verdana" w:hAnsi="Verdana"/>
                              <w:b/>
                              <w:sz w:val="20"/>
                            </w:rPr>
                          </w:pPr>
                          <w:r w:rsidRPr="00FD60F7">
                            <w:rPr>
                              <w:rFonts w:ascii="Verdana" w:hAnsi="Verdana"/>
                              <w:b/>
                              <w:sz w:val="20"/>
                            </w:rPr>
                            <w:fldChar w:fldCharType="begin"/>
                          </w:r>
                          <w:r w:rsidRPr="00FD60F7">
                            <w:rPr>
                              <w:rFonts w:ascii="Verdana" w:hAnsi="Verdana"/>
                              <w:b/>
                              <w:sz w:val="20"/>
                            </w:rPr>
                            <w:instrText xml:space="preserve"> PAGE    \* MERGEFORMAT </w:instrText>
                          </w:r>
                          <w:r w:rsidRPr="00FD60F7">
                            <w:rPr>
                              <w:rFonts w:ascii="Verdana" w:hAnsi="Verdana"/>
                              <w:b/>
                              <w:sz w:val="20"/>
                            </w:rPr>
                            <w:fldChar w:fldCharType="separate"/>
                          </w:r>
                          <w:r w:rsidR="001361E0">
                            <w:rPr>
                              <w:rFonts w:ascii="Verdana" w:hAnsi="Verdana"/>
                              <w:b/>
                              <w:noProof/>
                              <w:sz w:val="20"/>
                            </w:rPr>
                            <w:t>120</w:t>
                          </w:r>
                          <w:r w:rsidRPr="00FD60F7">
                            <w:rPr>
                              <w:rFonts w:ascii="Verdana" w:hAnsi="Verdana"/>
                              <w:b/>
                              <w:sz w:val="20"/>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5FE15D9"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29" o:spid="_x0000_s1027" type="#_x0000_t176" style="position:absolute;margin-left:-33.1pt;margin-top:14.5pt;width:40.35pt;height:34.75pt;z-index:25168025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" filled="f" fillcolor="#4f81bd [3204]" stroked="f" strokecolor="#737373 [1789]">
              <v:textbox>
                <w:txbxContent>
                  <w:p w:rsidR="00A449A3" w:rsidRPr="00FD60F7" w:rsidRDefault="00A449A3" w:rsidP="00FD60F7">
                    <w:pPr>
                      <w:pStyle w:val="Footer"/>
                      <w:pBdr>
                        <w:top w:val="single" w:sz="12" w:space="1" w:color="0070C0"/>
                        <w:bottom w:val="single" w:sz="48" w:space="1" w:color="0070C0"/>
                      </w:pBdr>
                      <w:jc w:val="center"/>
                      <w:rPr>
                        <w:rFonts w:ascii="Verdana" w:hAnsi="Verdana"/>
                        <w:b/>
                        <w:sz w:val="20"/>
                      </w:rPr>
                    </w:pPr>
                    <w:r w:rsidRPr="00FD60F7">
                      <w:rPr>
                        <w:rFonts w:ascii="Verdana" w:hAnsi="Verdana"/>
                        <w:b/>
                        <w:sz w:val="20"/>
                      </w:rPr>
                      <w:fldChar w:fldCharType="begin"/>
                    </w:r>
                    <w:r w:rsidRPr="00FD60F7">
                      <w:rPr>
                        <w:rFonts w:ascii="Verdana" w:hAnsi="Verdana"/>
                        <w:b/>
                        <w:sz w:val="20"/>
                      </w:rPr>
                      <w:instrText xml:space="preserve"> PAGE    \* MERGEFORMAT </w:instrText>
                    </w:r>
                    <w:r w:rsidRPr="00FD60F7">
                      <w:rPr>
                        <w:rFonts w:ascii="Verdana" w:hAnsi="Verdana"/>
                        <w:b/>
                        <w:sz w:val="20"/>
                      </w:rPr>
                      <w:fldChar w:fldCharType="separate"/>
                    </w:r>
                    <w:r w:rsidR="001361E0">
                      <w:rPr>
                        <w:rFonts w:ascii="Verdana" w:hAnsi="Verdana"/>
                        <w:b/>
                        <w:noProof/>
                        <w:sz w:val="20"/>
                      </w:rPr>
                      <w:t>120</w:t>
                    </w:r>
                    <w:r w:rsidRPr="00FD60F7">
                      <w:rPr>
                        <w:rFonts w:ascii="Verdana" w:hAnsi="Verdana"/>
                        <w:b/>
                        <w:sz w:val="20"/>
                      </w:rPr>
                      <w:fldChar w:fldCharType="end"/>
                    </w:r>
                  </w:p>
                </w:txbxContent>
              </v:textbox>
              <w10:wrap anchorx="margin" anchory="margin"/>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449A3" w:rsidRPr="00123DEA" w:rsidRDefault="00A449A3" w:rsidP="00123DEA">
    <w:pPr>
      <w:pStyle w:val="Footer"/>
      <w:tabs>
        <w:tab w:val="clear" w:pos="4703"/>
        <w:tab w:val="clear" w:pos="9406"/>
        <w:tab w:val="center" w:pos="0"/>
        <w:tab w:val="right" w:pos="9072"/>
      </w:tabs>
      <w:spacing w:after="0"/>
      <w:rPr>
        <w:rFonts w:ascii="Verdana" w:hAnsi="Verdana"/>
        <w:noProof/>
        <w:sz w:val="16"/>
        <w:szCs w:val="16"/>
      </w:rPr>
    </w:pPr>
  </w:p>
  <w:p w:rsidR="00A449A3" w:rsidRDefault="00A449A3" w:rsidP="00123DEA">
    <w:pPr>
      <w:pStyle w:val="Footer"/>
      <w:tabs>
        <w:tab w:val="clear" w:pos="4703"/>
        <w:tab w:val="clear" w:pos="9406"/>
        <w:tab w:val="left" w:pos="0"/>
        <w:tab w:val="right" w:pos="9072"/>
      </w:tabs>
      <w:rPr>
        <w:noProof/>
      </w:rPr>
    </w:pPr>
    <w:r w:rsidRPr="00FD60F7">
      <w:rPr>
        <w:noProof/>
        <w:lang w:val="bg-BG" w:eastAsia="bg-BG"/>
      </w:rPr>
      <w:drawing>
        <wp:inline distT="0" distB="0" distL="0" distR="0" wp14:anchorId="15DA6399" wp14:editId="762BAD2F">
          <wp:extent cx="843280" cy="431165"/>
          <wp:effectExtent l="0" t="0" r="0" b="0"/>
          <wp:docPr id="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43280" cy="431165"/>
                  </a:xfrm>
                  <a:prstGeom prst="rect">
                    <a:avLst/>
                  </a:prstGeom>
                  <a:solidFill>
                    <a:srgbClr val="FFFFFF"/>
                  </a:solidFill>
                  <a:ln w="9525">
                    <a:noFill/>
                    <a:miter lim="800000"/>
                    <a:headEnd/>
                    <a:tailEnd/>
                  </a:ln>
                </pic:spPr>
              </pic:pic>
            </a:graphicData>
          </a:graphic>
        </wp:inline>
      </w:drawing>
    </w:r>
    <w:r>
      <w:rPr>
        <w:noProof/>
        <w:lang w:val="bg-BG" w:eastAsia="bg-BG"/>
      </w:rPr>
      <mc:AlternateContent>
        <mc:Choice Requires="wps">
          <w:drawing>
            <wp:anchor distT="0" distB="0" distL="114300" distR="114300" simplePos="0" relativeHeight="251757056" behindDoc="0" locked="0" layoutInCell="1" allowOverlap="1" wp14:anchorId="049FE4A8" wp14:editId="0513A8D2">
              <wp:simplePos x="0" y="0"/>
              <wp:positionH relativeFrom="rightMargin">
                <wp:posOffset>-420370</wp:posOffset>
              </wp:positionH>
              <wp:positionV relativeFrom="bottomMargin">
                <wp:posOffset>184150</wp:posOffset>
              </wp:positionV>
              <wp:extent cx="512445" cy="441325"/>
              <wp:effectExtent l="0" t="0" r="0" b="0"/>
              <wp:wrapNone/>
              <wp:docPr id="53"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1600000">
                        <a:off x="0" y="0"/>
                        <a:ext cx="512445" cy="441325"/>
                      </a:xfrm>
                      <a:prstGeom prst="flowChartAlternateProcess">
                        <a:avLst/>
                      </a:prstGeom>
                      <a:noFill/>
                      <a:ln>
                        <a:noFill/>
                      </a:ln>
                      <a:extLst>
                        <a:ext uri="{909E8E84-426E-40DD-AFC4-6F175D3DCCD1}">
                          <a14:hiddenFill xmlns:a14="http://schemas.microsoft.com/office/drawing/2010/main">
                            <a:solidFill>
                              <a:schemeClr val="accent1">
                                <a:lumMod val="100000"/>
                                <a:lumOff val="0"/>
                              </a:schemeClr>
                            </a:solidFill>
                          </a14:hiddenFill>
                        </a:ext>
                        <a:ext uri="{91240B29-F687-4F45-9708-019B960494DF}">
                          <a14:hiddenLine xmlns:a14="http://schemas.microsoft.com/office/drawing/2010/main" w="9525">
                            <a:solidFill>
                              <a:schemeClr val="tx1">
                                <a:lumMod val="55000"/>
                                <a:lumOff val="45000"/>
                              </a:schemeClr>
                            </a:solidFill>
                            <a:miter lim="800000"/>
                            <a:headEnd/>
                            <a:tailEnd/>
                          </a14:hiddenLine>
                        </a:ext>
                      </a:extLst>
                    </wps:spPr>
                    <wps:txbx>
                      <w:txbxContent>
                        <w:p w:rsidR="00A449A3" w:rsidRPr="00FD60F7" w:rsidRDefault="00A449A3" w:rsidP="00FD60F7">
                          <w:pPr>
                            <w:pStyle w:val="Footer"/>
                            <w:pBdr>
                              <w:top w:val="single" w:sz="12" w:space="1" w:color="0070C0"/>
                              <w:bottom w:val="single" w:sz="48" w:space="1" w:color="0070C0"/>
                            </w:pBdr>
                            <w:jc w:val="center"/>
                            <w:rPr>
                              <w:rFonts w:ascii="Verdana" w:hAnsi="Verdana"/>
                              <w:b/>
                              <w:sz w:val="20"/>
                            </w:rPr>
                          </w:pPr>
                          <w:r w:rsidRPr="00FD60F7">
                            <w:rPr>
                              <w:rFonts w:ascii="Verdana" w:hAnsi="Verdana"/>
                              <w:b/>
                              <w:sz w:val="20"/>
                            </w:rPr>
                            <w:fldChar w:fldCharType="begin"/>
                          </w:r>
                          <w:r w:rsidRPr="00FD60F7">
                            <w:rPr>
                              <w:rFonts w:ascii="Verdana" w:hAnsi="Verdana"/>
                              <w:b/>
                              <w:sz w:val="20"/>
                            </w:rPr>
                            <w:instrText xml:space="preserve"> PAGE    \* MERGEFORMAT </w:instrText>
                          </w:r>
                          <w:r w:rsidRPr="00FD60F7">
                            <w:rPr>
                              <w:rFonts w:ascii="Verdana" w:hAnsi="Verdana"/>
                              <w:b/>
                              <w:sz w:val="20"/>
                            </w:rPr>
                            <w:fldChar w:fldCharType="separate"/>
                          </w:r>
                          <w:r w:rsidR="001361E0">
                            <w:rPr>
                              <w:rFonts w:ascii="Verdana" w:hAnsi="Verdana"/>
                              <w:b/>
                              <w:noProof/>
                              <w:sz w:val="20"/>
                            </w:rPr>
                            <w:t>152</w:t>
                          </w:r>
                          <w:r w:rsidRPr="00FD60F7">
                            <w:rPr>
                              <w:rFonts w:ascii="Verdana" w:hAnsi="Verdana"/>
                              <w:b/>
                              <w:sz w:val="20"/>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49FE4A8"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1028" type="#_x0000_t176" style="position:absolute;margin-left:-33.1pt;margin-top:14.5pt;width:40.35pt;height:34.75pt;z-index:25175705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" filled="f" fillcolor="#4f81bd [3204]" stroked="f" strokecolor="#737373 [1789]">
              <v:textbox>
                <w:txbxContent>
                  <w:p w:rsidR="00A449A3" w:rsidRPr="00FD60F7" w:rsidRDefault="00A449A3" w:rsidP="00FD60F7">
                    <w:pPr>
                      <w:pStyle w:val="Footer"/>
                      <w:pBdr>
                        <w:top w:val="single" w:sz="12" w:space="1" w:color="0070C0"/>
                        <w:bottom w:val="single" w:sz="48" w:space="1" w:color="0070C0"/>
                      </w:pBdr>
                      <w:jc w:val="center"/>
                      <w:rPr>
                        <w:rFonts w:ascii="Verdana" w:hAnsi="Verdana"/>
                        <w:b/>
                        <w:sz w:val="20"/>
                      </w:rPr>
                    </w:pPr>
                    <w:r w:rsidRPr="00FD60F7">
                      <w:rPr>
                        <w:rFonts w:ascii="Verdana" w:hAnsi="Verdana"/>
                        <w:b/>
                        <w:sz w:val="20"/>
                      </w:rPr>
                      <w:fldChar w:fldCharType="begin"/>
                    </w:r>
                    <w:r w:rsidRPr="00FD60F7">
                      <w:rPr>
                        <w:rFonts w:ascii="Verdana" w:hAnsi="Verdana"/>
                        <w:b/>
                        <w:sz w:val="20"/>
                      </w:rPr>
                      <w:instrText xml:space="preserve"> PAGE    \* MERGEFORMAT </w:instrText>
                    </w:r>
                    <w:r w:rsidRPr="00FD60F7">
                      <w:rPr>
                        <w:rFonts w:ascii="Verdana" w:hAnsi="Verdana"/>
                        <w:b/>
                        <w:sz w:val="20"/>
                      </w:rPr>
                      <w:fldChar w:fldCharType="separate"/>
                    </w:r>
                    <w:r w:rsidR="001361E0">
                      <w:rPr>
                        <w:rFonts w:ascii="Verdana" w:hAnsi="Verdana"/>
                        <w:b/>
                        <w:noProof/>
                        <w:sz w:val="20"/>
                      </w:rPr>
                      <w:t>152</w:t>
                    </w:r>
                    <w:r w:rsidRPr="00FD60F7">
                      <w:rPr>
                        <w:rFonts w:ascii="Verdana" w:hAnsi="Verdana"/>
                        <w:b/>
                        <w:sz w:val="20"/>
                      </w:rPr>
                      <w:fldChar w:fldCharType="end"/>
                    </w:r>
                  </w:p>
                </w:txbxContent>
              </v:textbox>
              <w10:wrap anchorx="margin" anchory="margin"/>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449A3" w:rsidRPr="00123DEA" w:rsidRDefault="00A449A3" w:rsidP="00123DEA">
    <w:pPr>
      <w:pStyle w:val="Footer"/>
      <w:tabs>
        <w:tab w:val="clear" w:pos="4703"/>
        <w:tab w:val="clear" w:pos="9406"/>
        <w:tab w:val="center" w:pos="0"/>
        <w:tab w:val="right" w:pos="9072"/>
      </w:tabs>
      <w:spacing w:after="0"/>
      <w:rPr>
        <w:rFonts w:ascii="Verdana" w:hAnsi="Verdana"/>
        <w:noProof/>
        <w:sz w:val="16"/>
        <w:szCs w:val="16"/>
      </w:rPr>
    </w:pPr>
  </w:p>
  <w:p w:rsidR="00A449A3" w:rsidRDefault="00A449A3" w:rsidP="00123DEA">
    <w:pPr>
      <w:pStyle w:val="Footer"/>
      <w:tabs>
        <w:tab w:val="clear" w:pos="4703"/>
        <w:tab w:val="clear" w:pos="9406"/>
        <w:tab w:val="left" w:pos="0"/>
        <w:tab w:val="right" w:pos="9072"/>
      </w:tabs>
      <w:rPr>
        <w:noProof/>
      </w:rPr>
    </w:pPr>
    <w:r w:rsidRPr="00FD60F7">
      <w:rPr>
        <w:noProof/>
        <w:lang w:val="bg-BG" w:eastAsia="bg-BG"/>
      </w:rPr>
      <w:drawing>
        <wp:inline distT="0" distB="0" distL="0" distR="0" wp14:anchorId="47C47411" wp14:editId="56A59E2B">
          <wp:extent cx="843280" cy="431165"/>
          <wp:effectExtent l="0" t="0" r="0" b="0"/>
          <wp:docPr id="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43280" cy="431165"/>
                  </a:xfrm>
                  <a:prstGeom prst="rect">
                    <a:avLst/>
                  </a:prstGeom>
                  <a:solidFill>
                    <a:srgbClr val="FFFFFF"/>
                  </a:solidFill>
                  <a:ln w="9525">
                    <a:noFill/>
                    <a:miter lim="800000"/>
                    <a:headEnd/>
                    <a:tailEnd/>
                  </a:ln>
                </pic:spPr>
              </pic:pic>
            </a:graphicData>
          </a:graphic>
        </wp:inline>
      </w:drawing>
    </w:r>
    <w:r>
      <w:rPr>
        <w:noProof/>
        <w:lang w:val="bg-BG" w:eastAsia="bg-BG"/>
      </w:rPr>
      <mc:AlternateContent>
        <mc:Choice Requires="wps">
          <w:drawing>
            <wp:anchor distT="0" distB="0" distL="114300" distR="114300" simplePos="0" relativeHeight="251764224" behindDoc="0" locked="0" layoutInCell="1" allowOverlap="1" wp14:anchorId="2AB1CA57" wp14:editId="01AC229B">
              <wp:simplePos x="0" y="0"/>
              <wp:positionH relativeFrom="rightMargin">
                <wp:posOffset>-420370</wp:posOffset>
              </wp:positionH>
              <wp:positionV relativeFrom="bottomMargin">
                <wp:posOffset>184150</wp:posOffset>
              </wp:positionV>
              <wp:extent cx="512445" cy="441325"/>
              <wp:effectExtent l="0" t="0" r="0" b="0"/>
              <wp:wrapNone/>
              <wp:docPr id="28"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1600000">
                        <a:off x="0" y="0"/>
                        <a:ext cx="512445" cy="441325"/>
                      </a:xfrm>
                      <a:prstGeom prst="flowChartAlternateProcess">
                        <a:avLst/>
                      </a:prstGeom>
                      <a:noFill/>
                      <a:ln>
                        <a:noFill/>
                      </a:ln>
                      <a:extLst>
                        <a:ext uri="{909E8E84-426E-40DD-AFC4-6F175D3DCCD1}">
                          <a14:hiddenFill xmlns:a14="http://schemas.microsoft.com/office/drawing/2010/main">
                            <a:solidFill>
                              <a:schemeClr val="accent1">
                                <a:lumMod val="100000"/>
                                <a:lumOff val="0"/>
                              </a:schemeClr>
                            </a:solidFill>
                          </a14:hiddenFill>
                        </a:ext>
                        <a:ext uri="{91240B29-F687-4F45-9708-019B960494DF}">
                          <a14:hiddenLine xmlns:a14="http://schemas.microsoft.com/office/drawing/2010/main" w="9525">
                            <a:solidFill>
                              <a:schemeClr val="tx1">
                                <a:lumMod val="55000"/>
                                <a:lumOff val="45000"/>
                              </a:schemeClr>
                            </a:solidFill>
                            <a:miter lim="800000"/>
                            <a:headEnd/>
                            <a:tailEnd/>
                          </a14:hiddenLine>
                        </a:ext>
                      </a:extLst>
                    </wps:spPr>
                    <wps:txbx>
                      <w:txbxContent>
                        <w:p w:rsidR="00A449A3" w:rsidRPr="00FD60F7" w:rsidRDefault="00A449A3" w:rsidP="00FD60F7">
                          <w:pPr>
                            <w:pStyle w:val="Footer"/>
                            <w:pBdr>
                              <w:top w:val="single" w:sz="12" w:space="1" w:color="0070C0"/>
                              <w:bottom w:val="single" w:sz="48" w:space="1" w:color="0070C0"/>
                            </w:pBdr>
                            <w:jc w:val="center"/>
                            <w:rPr>
                              <w:rFonts w:ascii="Verdana" w:hAnsi="Verdana"/>
                              <w:b/>
                              <w:sz w:val="20"/>
                            </w:rPr>
                          </w:pPr>
                          <w:r w:rsidRPr="00FD60F7">
                            <w:rPr>
                              <w:rFonts w:ascii="Verdana" w:hAnsi="Verdana"/>
                              <w:b/>
                              <w:sz w:val="20"/>
                            </w:rPr>
                            <w:fldChar w:fldCharType="begin"/>
                          </w:r>
                          <w:r w:rsidRPr="00FD60F7">
                            <w:rPr>
                              <w:rFonts w:ascii="Verdana" w:hAnsi="Verdana"/>
                              <w:b/>
                              <w:sz w:val="20"/>
                            </w:rPr>
                            <w:instrText xml:space="preserve"> PAGE    \* MERGEFORMAT </w:instrText>
                          </w:r>
                          <w:r w:rsidRPr="00FD60F7">
                            <w:rPr>
                              <w:rFonts w:ascii="Verdana" w:hAnsi="Verdana"/>
                              <w:b/>
                              <w:sz w:val="20"/>
                            </w:rPr>
                            <w:fldChar w:fldCharType="separate"/>
                          </w:r>
                          <w:r w:rsidR="001361E0">
                            <w:rPr>
                              <w:rFonts w:ascii="Verdana" w:hAnsi="Verdana"/>
                              <w:b/>
                              <w:noProof/>
                              <w:sz w:val="20"/>
                            </w:rPr>
                            <w:t>222</w:t>
                          </w:r>
                          <w:r w:rsidRPr="00FD60F7">
                            <w:rPr>
                              <w:rFonts w:ascii="Verdana" w:hAnsi="Verdana"/>
                              <w:b/>
                              <w:sz w:val="20"/>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AB1CA57"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1029" type="#_x0000_t176" style="position:absolute;margin-left:-33.1pt;margin-top:14.5pt;width:40.35pt;height:34.75pt;z-index:25176422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" filled="f" fillcolor="#4f81bd [3204]" stroked="f" strokecolor="#737373 [1789]">
              <v:textbox>
                <w:txbxContent>
                  <w:p w:rsidR="00A449A3" w:rsidRPr="00FD60F7" w:rsidRDefault="00A449A3" w:rsidP="00FD60F7">
                    <w:pPr>
                      <w:pStyle w:val="Footer"/>
                      <w:pBdr>
                        <w:top w:val="single" w:sz="12" w:space="1" w:color="0070C0"/>
                        <w:bottom w:val="single" w:sz="48" w:space="1" w:color="0070C0"/>
                      </w:pBdr>
                      <w:jc w:val="center"/>
                      <w:rPr>
                        <w:rFonts w:ascii="Verdana" w:hAnsi="Verdana"/>
                        <w:b/>
                        <w:sz w:val="20"/>
                      </w:rPr>
                    </w:pPr>
                    <w:r w:rsidRPr="00FD60F7">
                      <w:rPr>
                        <w:rFonts w:ascii="Verdana" w:hAnsi="Verdana"/>
                        <w:b/>
                        <w:sz w:val="20"/>
                      </w:rPr>
                      <w:fldChar w:fldCharType="begin"/>
                    </w:r>
                    <w:r w:rsidRPr="00FD60F7">
                      <w:rPr>
                        <w:rFonts w:ascii="Verdana" w:hAnsi="Verdana"/>
                        <w:b/>
                        <w:sz w:val="20"/>
                      </w:rPr>
                      <w:instrText xml:space="preserve"> PAGE    \* MERGEFORMAT </w:instrText>
                    </w:r>
                    <w:r w:rsidRPr="00FD60F7">
                      <w:rPr>
                        <w:rFonts w:ascii="Verdana" w:hAnsi="Verdana"/>
                        <w:b/>
                        <w:sz w:val="20"/>
                      </w:rPr>
                      <w:fldChar w:fldCharType="separate"/>
                    </w:r>
                    <w:r w:rsidR="001361E0">
                      <w:rPr>
                        <w:rFonts w:ascii="Verdana" w:hAnsi="Verdana"/>
                        <w:b/>
                        <w:noProof/>
                        <w:sz w:val="20"/>
                      </w:rPr>
                      <w:t>222</w:t>
                    </w:r>
                    <w:r w:rsidRPr="00FD60F7">
                      <w:rPr>
                        <w:rFonts w:ascii="Verdana" w:hAnsi="Verdana"/>
                        <w:b/>
                        <w:sz w:val="20"/>
                      </w:rPr>
                      <w:fldChar w:fldCharType="end"/>
                    </w:r>
                  </w:p>
                </w:txbxContent>
              </v:textbox>
              <w10:wrap anchorx="margin" anchory="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449A3" w:rsidRDefault="00A449A3" w:rsidP="007069A4">
      <w:pPr>
        <w:spacing w:after="0" w:line="240" w:lineRule="auto"/>
      </w:pPr>
      <w:r>
        <w:separator/>
      </w:r>
    </w:p>
  </w:footnote>
  <w:footnote w:type="continuationSeparator" w:id="0">
    <w:p w:rsidR="00A449A3" w:rsidRDefault="00A449A3" w:rsidP="007069A4">
      <w:pPr>
        <w:spacing w:after="0" w:line="240" w:lineRule="auto"/>
      </w:pPr>
      <w:r>
        <w:continuationSeparator/>
      </w:r>
    </w:p>
  </w:footnote>
  <w:footnote w:id="1">
    <w:p w:rsidR="00A449A3" w:rsidRPr="00735453" w:rsidRDefault="00A449A3" w:rsidP="00ED77E9">
      <w:pPr>
        <w:pStyle w:val="FootnoteText"/>
        <w:rPr>
          <w:lang w:val="bg-BG"/>
        </w:rPr>
      </w:pPr>
      <w:r>
        <w:rPr>
          <w:rStyle w:val="FootnoteReference"/>
        </w:rPr>
        <w:footnoteRef/>
      </w:r>
      <w:r>
        <w:t xml:space="preserve"> </w:t>
      </w:r>
      <w:r>
        <w:rPr>
          <w:lang w:val="bg-BG"/>
        </w:rPr>
        <w:t>К</w:t>
      </w:r>
      <w:r w:rsidRPr="00735453">
        <w:rPr>
          <w:rFonts w:ascii="Verdana" w:hAnsi="Verdana"/>
          <w:sz w:val="16"/>
          <w:szCs w:val="16"/>
          <w:lang w:val="bg-BG"/>
        </w:rPr>
        <w:t>ъм Тематична цел 1 трябва да бъдат отчетени и заделените средства по Оперативна програма „Иновации и конкурентоспособност“</w:t>
      </w:r>
    </w:p>
  </w:footnote>
  <w:footnote w:id="2">
    <w:p w:rsidR="00A449A3" w:rsidRPr="00694632" w:rsidRDefault="00A449A3" w:rsidP="00ED77E9">
      <w:pPr>
        <w:pStyle w:val="FootnoteText"/>
        <w:jc w:val="both"/>
        <w:rPr>
          <w:lang w:val="bg-BG"/>
        </w:rPr>
      </w:pPr>
      <w:r w:rsidRPr="00694632">
        <w:rPr>
          <w:rStyle w:val="FootnoteReference"/>
          <w:rFonts w:ascii="Verdana" w:hAnsi="Verdana"/>
          <w:sz w:val="16"/>
          <w:szCs w:val="16"/>
        </w:rPr>
        <w:footnoteRef/>
      </w:r>
      <w:r w:rsidRPr="00694632">
        <w:rPr>
          <w:rFonts w:ascii="Verdana" w:hAnsi="Verdana"/>
          <w:sz w:val="16"/>
          <w:szCs w:val="16"/>
        </w:rPr>
        <w:t xml:space="preserve"> </w:t>
      </w:r>
      <w:r w:rsidRPr="00694632">
        <w:rPr>
          <w:rFonts w:ascii="Verdana" w:hAnsi="Verdana"/>
          <w:sz w:val="16"/>
          <w:szCs w:val="16"/>
          <w:lang w:val="bg-BG"/>
        </w:rPr>
        <w:t>С изключение на тези по ЕЗФРСР и ЕФМДР, за които все още няма финансово разпределение в абсолютни стойности.</w:t>
      </w:r>
    </w:p>
  </w:footnote>
  <w:footnote w:id="3">
    <w:p w:rsidR="00A449A3" w:rsidRPr="007070F0" w:rsidRDefault="00A449A3" w:rsidP="00A0386E">
      <w:pPr>
        <w:pStyle w:val="FootnoteText"/>
        <w:jc w:val="both"/>
        <w:rPr>
          <w:rFonts w:ascii="Verdana" w:hAnsi="Verdana"/>
          <w:sz w:val="18"/>
          <w:szCs w:val="18"/>
          <w:lang w:val="bg-BG"/>
        </w:rPr>
      </w:pPr>
      <w:r w:rsidRPr="007070F0">
        <w:rPr>
          <w:rStyle w:val="FootnoteReference"/>
          <w:rFonts w:ascii="Verdana" w:hAnsi="Verdana"/>
          <w:sz w:val="18"/>
          <w:szCs w:val="18"/>
        </w:rPr>
        <w:footnoteRef/>
      </w:r>
      <w:r w:rsidRPr="007070F0">
        <w:rPr>
          <w:rFonts w:ascii="Verdana" w:hAnsi="Verdana"/>
          <w:sz w:val="18"/>
          <w:szCs w:val="18"/>
          <w:lang w:eastAsia="en-US"/>
        </w:rPr>
        <w:t>Програма в областта на цифровите технологии за Европа, Съюз за иновации, Младежта в движение, Европа за ефективно използване на ресурсите, Индустриална политика за ерата на глобализацията, Програма за нови умения и работни места, Европейска платформа срещу бедността</w:t>
      </w:r>
    </w:p>
  </w:footnote>
  <w:footnote w:id="4">
    <w:p w:rsidR="00A449A3" w:rsidRPr="003B078D" w:rsidRDefault="00A449A3" w:rsidP="003B078D">
      <w:pPr>
        <w:autoSpaceDE w:val="0"/>
        <w:autoSpaceDN w:val="0"/>
        <w:adjustRightInd w:val="0"/>
        <w:spacing w:after="120" w:line="240" w:lineRule="auto"/>
        <w:jc w:val="both"/>
        <w:rPr>
          <w:rFonts w:ascii="Verdana" w:hAnsi="Verdana"/>
          <w:sz w:val="16"/>
          <w:szCs w:val="16"/>
          <w:lang w:val="bg-BG"/>
        </w:rPr>
      </w:pPr>
      <w:r w:rsidRPr="003B078D">
        <w:rPr>
          <w:rStyle w:val="FootnoteReference"/>
          <w:rFonts w:ascii="Verdana" w:hAnsi="Verdana"/>
          <w:sz w:val="16"/>
          <w:szCs w:val="16"/>
        </w:rPr>
        <w:footnoteRef/>
      </w:r>
      <w:r w:rsidRPr="003B078D">
        <w:rPr>
          <w:rFonts w:ascii="Verdana" w:hAnsi="Verdana"/>
          <w:sz w:val="16"/>
          <w:szCs w:val="16"/>
          <w:lang w:val="bg-BG"/>
        </w:rPr>
        <w:t>Регламент (</w:t>
      </w:r>
      <w:r w:rsidRPr="003B078D">
        <w:rPr>
          <w:rFonts w:ascii="Verdana" w:hAnsi="Verdana"/>
          <w:sz w:val="16"/>
          <w:szCs w:val="16"/>
        </w:rPr>
        <w:t>EC</w:t>
      </w:r>
      <w:r w:rsidRPr="003B078D">
        <w:rPr>
          <w:rFonts w:ascii="Verdana" w:hAnsi="Verdana"/>
          <w:sz w:val="16"/>
          <w:szCs w:val="16"/>
          <w:lang w:val="bg-BG"/>
        </w:rPr>
        <w:t xml:space="preserve">) № </w:t>
      </w:r>
      <w:r w:rsidRPr="003B078D">
        <w:rPr>
          <w:rFonts w:ascii="Verdana" w:hAnsi="Verdana" w:cs="TimesNewRoman,Bold"/>
          <w:bCs/>
          <w:sz w:val="16"/>
          <w:szCs w:val="16"/>
          <w:lang w:val="bg-BG" w:eastAsia="bg-BG"/>
        </w:rPr>
        <w:t>1303/2013 на Европейския парламент и на Съвета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обхванати от общата стратегическа рамка, и за определяне на общи разпоредби за Европейския фонд за регионално развитие, Европейския социален фонд и Кохезионния фонд и за отмяна на Регламент (ЕО) № 1083/2006 на Съвета от декември 2013 г.</w:t>
      </w:r>
    </w:p>
  </w:footnote>
  <w:footnote w:id="5">
    <w:p w:rsidR="00A449A3" w:rsidRPr="00296A0C" w:rsidRDefault="00A449A3" w:rsidP="003B078D">
      <w:pPr>
        <w:autoSpaceDE w:val="0"/>
        <w:autoSpaceDN w:val="0"/>
        <w:adjustRightInd w:val="0"/>
        <w:spacing w:after="120" w:line="240" w:lineRule="auto"/>
        <w:jc w:val="both"/>
        <w:rPr>
          <w:lang w:val="bg-BG"/>
        </w:rPr>
      </w:pPr>
      <w:r w:rsidRPr="003B078D">
        <w:rPr>
          <w:rStyle w:val="FootnoteReference"/>
          <w:rFonts w:ascii="Verdana" w:hAnsi="Verdana"/>
          <w:sz w:val="16"/>
          <w:szCs w:val="16"/>
        </w:rPr>
        <w:footnoteRef/>
      </w:r>
      <w:r w:rsidRPr="003B078D">
        <w:rPr>
          <w:rFonts w:ascii="Verdana" w:hAnsi="Verdana"/>
          <w:sz w:val="16"/>
          <w:szCs w:val="16"/>
          <w:lang w:val="bg-BG"/>
        </w:rPr>
        <w:t>Регламент (</w:t>
      </w:r>
      <w:r w:rsidRPr="003B078D">
        <w:rPr>
          <w:rFonts w:ascii="Verdana" w:hAnsi="Verdana"/>
          <w:sz w:val="16"/>
          <w:szCs w:val="16"/>
        </w:rPr>
        <w:t>EC</w:t>
      </w:r>
      <w:r w:rsidRPr="003B078D">
        <w:rPr>
          <w:rFonts w:ascii="Verdana" w:hAnsi="Verdana"/>
          <w:sz w:val="16"/>
          <w:szCs w:val="16"/>
          <w:lang w:val="bg-BG"/>
        </w:rPr>
        <w:t xml:space="preserve">) № 1304/2013 </w:t>
      </w:r>
      <w:r w:rsidRPr="003B078D">
        <w:rPr>
          <w:rFonts w:ascii="Verdana" w:hAnsi="Verdana" w:cs="TimesNewRoman,Bold"/>
          <w:bCs/>
          <w:sz w:val="16"/>
          <w:szCs w:val="16"/>
          <w:lang w:val="bg-BG" w:eastAsia="bg-BG"/>
        </w:rPr>
        <w:t xml:space="preserve">на Европейския парламент и на Съвета </w:t>
      </w:r>
      <w:r w:rsidRPr="003B078D">
        <w:rPr>
          <w:rFonts w:ascii="Verdana" w:hAnsi="Verdana"/>
          <w:sz w:val="16"/>
          <w:szCs w:val="16"/>
          <w:lang w:val="bg-BG"/>
        </w:rPr>
        <w:t>относно Европейския социален фонд и за отмяна на Регламент (ЕО) № 1081/2006 на Съвета от декември 2013 г.</w:t>
      </w:r>
    </w:p>
  </w:footnote>
  <w:footnote w:id="6">
    <w:p w:rsidR="00A449A3" w:rsidRPr="001962B4" w:rsidRDefault="00A449A3">
      <w:pPr>
        <w:pStyle w:val="FootnoteText"/>
        <w:rPr>
          <w:lang w:val="bg-BG"/>
        </w:rPr>
      </w:pPr>
      <w:r>
        <w:rPr>
          <w:rStyle w:val="FootnoteReference"/>
        </w:rPr>
        <w:footnoteRef/>
      </w:r>
      <w:r w:rsidRPr="001962B4">
        <w:t xml:space="preserve">Насоки за предварителна оценка в програмен период 2014-2020 г., ЕФРР, КФ и ЕСФ, ГД „Регионална и градска политика“ и ГД „Заетост, </w:t>
      </w:r>
      <w:r w:rsidRPr="001962B4">
        <w:t>социални въпроси и приобщаване</w:t>
      </w:r>
      <w:r>
        <w:t>“</w:t>
      </w:r>
      <w:r w:rsidRPr="001962B4">
        <w:t>.</w:t>
      </w:r>
    </w:p>
  </w:footnote>
  <w:footnote w:id="7">
    <w:p w:rsidR="00A449A3" w:rsidRPr="00DB76C6" w:rsidRDefault="00A449A3" w:rsidP="00E7363C">
      <w:pPr>
        <w:pStyle w:val="FootnoteText"/>
        <w:rPr>
          <w:lang w:val="en-US"/>
        </w:rPr>
      </w:pPr>
      <w:r>
        <w:rPr>
          <w:rStyle w:val="FootnoteReference"/>
        </w:rPr>
        <w:footnoteRef/>
      </w:r>
      <w:r>
        <w:t xml:space="preserve"> </w:t>
      </w:r>
      <w:r>
        <w:rPr>
          <w:lang w:val="bg-BG"/>
        </w:rPr>
        <w:t>Период на програмиране 2014-2020 Насоки за мониторинг и оценка, ЕФРР и КФ и Насоки за мониторинг и оценка на ЕСФ</w:t>
      </w:r>
    </w:p>
  </w:footnote>
  <w:footnote w:id="8">
    <w:p w:rsidR="00A449A3" w:rsidRDefault="00A449A3" w:rsidP="00AB594A">
      <w:pPr>
        <w:pStyle w:val="Default"/>
        <w:rPr>
          <w:rFonts w:asciiTheme="minorHAnsi" w:eastAsia="MS Mincho" w:hAnsiTheme="minorHAnsi"/>
          <w:bCs/>
          <w:sz w:val="16"/>
          <w:szCs w:val="16"/>
          <w:lang w:val="bg-BG" w:eastAsia="ja-JP"/>
        </w:rPr>
      </w:pPr>
      <w:r>
        <w:rPr>
          <w:rStyle w:val="FootnoteReference"/>
        </w:rPr>
        <w:footnoteRef/>
      </w:r>
      <w:r w:rsidRPr="00A0758E">
        <w:rPr>
          <w:rFonts w:asciiTheme="minorHAnsi" w:hAnsiTheme="minorHAnsi"/>
          <w:bCs/>
          <w:sz w:val="16"/>
          <w:szCs w:val="16"/>
          <w:lang w:eastAsia="bg-BG"/>
        </w:rPr>
        <w:t>Key indicators for Candidate</w:t>
      </w:r>
      <w:r>
        <w:rPr>
          <w:rFonts w:asciiTheme="minorHAnsi" w:hAnsiTheme="minorHAnsi"/>
          <w:bCs/>
          <w:sz w:val="16"/>
          <w:szCs w:val="16"/>
          <w:lang w:val="bg-BG" w:eastAsia="bg-BG"/>
        </w:rPr>
        <w:t xml:space="preserve"> </w:t>
      </w:r>
      <w:r w:rsidRPr="00A0758E">
        <w:rPr>
          <w:rFonts w:asciiTheme="minorHAnsi" w:hAnsiTheme="minorHAnsi"/>
          <w:bCs/>
          <w:sz w:val="16"/>
          <w:szCs w:val="16"/>
          <w:lang w:eastAsia="bg-BG"/>
        </w:rPr>
        <w:t>Countries to Effectively</w:t>
      </w:r>
      <w:r>
        <w:rPr>
          <w:rFonts w:asciiTheme="minorHAnsi" w:hAnsiTheme="minorHAnsi"/>
          <w:bCs/>
          <w:sz w:val="16"/>
          <w:szCs w:val="16"/>
          <w:lang w:val="bg-BG" w:eastAsia="bg-BG"/>
        </w:rPr>
        <w:t xml:space="preserve"> </w:t>
      </w:r>
      <w:r w:rsidRPr="00A0758E">
        <w:rPr>
          <w:rFonts w:asciiTheme="minorHAnsi" w:hAnsiTheme="minorHAnsi"/>
          <w:bCs/>
          <w:sz w:val="16"/>
          <w:szCs w:val="16"/>
          <w:lang w:eastAsia="bg-BG"/>
        </w:rPr>
        <w:t>Manage the Structural Funds</w:t>
      </w:r>
      <w:r>
        <w:rPr>
          <w:rFonts w:asciiTheme="minorHAnsi" w:hAnsiTheme="minorHAnsi"/>
          <w:bCs/>
          <w:sz w:val="16"/>
          <w:szCs w:val="16"/>
          <w:lang w:eastAsia="bg-BG"/>
        </w:rPr>
        <w:t>, NEI, 2002</w:t>
      </w:r>
    </w:p>
    <w:p w:rsidR="00A449A3" w:rsidRPr="00E874F8" w:rsidRDefault="00A449A3" w:rsidP="00AB594A">
      <w:pPr>
        <w:pStyle w:val="Default"/>
        <w:rPr>
          <w:rFonts w:asciiTheme="minorHAnsi" w:hAnsiTheme="minorHAnsi"/>
          <w:bCs/>
          <w:sz w:val="16"/>
          <w:szCs w:val="16"/>
          <w:lang w:eastAsia="bg-BG"/>
        </w:rPr>
      </w:pPr>
      <w:r w:rsidRPr="00E874F8">
        <w:rPr>
          <w:rFonts w:asciiTheme="minorHAnsi" w:hAnsiTheme="minorHAnsi"/>
          <w:bCs/>
          <w:sz w:val="16"/>
          <w:szCs w:val="16"/>
          <w:lang w:eastAsia="bg-BG"/>
        </w:rPr>
        <w:t xml:space="preserve">EU-8 Administrative Capacity in the New Member States: The Limits of Innovation?, </w:t>
      </w:r>
      <w:r w:rsidRPr="00E874F8">
        <w:rPr>
          <w:rFonts w:asciiTheme="minorHAnsi" w:hAnsiTheme="minorHAnsi" w:hint="eastAsia"/>
          <w:bCs/>
          <w:sz w:val="16"/>
          <w:szCs w:val="16"/>
          <w:lang w:eastAsia="bg-BG"/>
        </w:rPr>
        <w:t>WB, 2006</w:t>
      </w:r>
    </w:p>
    <w:p w:rsidR="00A449A3" w:rsidRPr="00E874F8" w:rsidRDefault="00A449A3" w:rsidP="00AB594A">
      <w:pPr>
        <w:pStyle w:val="FootnoteText"/>
      </w:pPr>
    </w:p>
  </w:footnote>
  <w:footnote w:id="9">
    <w:p w:rsidR="00A449A3" w:rsidRPr="003377CF" w:rsidRDefault="00A449A3" w:rsidP="0026362F">
      <w:pPr>
        <w:pStyle w:val="FootnoteText"/>
        <w:rPr>
          <w:lang w:val="bg-BG"/>
        </w:rPr>
      </w:pPr>
      <w:r>
        <w:rPr>
          <w:rStyle w:val="FootnoteReference"/>
        </w:rPr>
        <w:footnoteRef/>
      </w:r>
      <w:r w:rsidRPr="003C0BEC">
        <w:rPr>
          <w:rFonts w:ascii="Verdana" w:hAnsi="Verdana"/>
          <w:sz w:val="16"/>
          <w:szCs w:val="16"/>
          <w:lang w:val="bg-BG"/>
        </w:rPr>
        <w:t>Разпределението е направено на базата на списък със служители</w:t>
      </w:r>
      <w:r>
        <w:rPr>
          <w:rFonts w:ascii="Verdana" w:hAnsi="Verdana"/>
          <w:sz w:val="16"/>
          <w:szCs w:val="16"/>
          <w:lang w:val="bg-BG"/>
        </w:rPr>
        <w:t xml:space="preserve"> от сайта на </w:t>
      </w:r>
      <w:r w:rsidRPr="003C0BEC">
        <w:rPr>
          <w:rFonts w:ascii="Verdana" w:hAnsi="Verdana"/>
          <w:bCs/>
          <w:color w:val="000000"/>
          <w:sz w:val="16"/>
          <w:szCs w:val="16"/>
        </w:rPr>
        <w:t>ГД</w:t>
      </w:r>
      <w:r>
        <w:rPr>
          <w:rFonts w:ascii="Verdana" w:hAnsi="Verdana"/>
          <w:bCs/>
          <w:color w:val="000000"/>
          <w:sz w:val="16"/>
          <w:szCs w:val="16"/>
          <w:lang w:val="bg-BG"/>
        </w:rPr>
        <w:t>СФМОП</w:t>
      </w:r>
    </w:p>
  </w:footnote>
  <w:footnote w:id="10">
    <w:p w:rsidR="00A449A3" w:rsidRPr="00AA7107" w:rsidRDefault="00A449A3" w:rsidP="00342903">
      <w:pPr>
        <w:pStyle w:val="FootnoteText"/>
        <w:jc w:val="both"/>
        <w:rPr>
          <w:rFonts w:ascii="Verdana" w:hAnsi="Verdana"/>
          <w:sz w:val="14"/>
          <w:szCs w:val="14"/>
        </w:rPr>
      </w:pPr>
      <w:r w:rsidRPr="00AA7107">
        <w:rPr>
          <w:rStyle w:val="FootnoteReference"/>
          <w:rFonts w:ascii="Verdana" w:hAnsi="Verdana"/>
          <w:sz w:val="14"/>
          <w:szCs w:val="14"/>
        </w:rPr>
        <w:footnoteRef/>
      </w:r>
      <w:r w:rsidRPr="00AA7107">
        <w:rPr>
          <w:rFonts w:ascii="Verdana" w:hAnsi="Verdana"/>
          <w:bCs/>
          <w:color w:val="000000"/>
          <w:sz w:val="14"/>
          <w:szCs w:val="14"/>
          <w:lang w:val="bg-BG"/>
        </w:rPr>
        <w:t>Проекта на Споразумение за партньорство на Република България, очертаващо помощта от Европейските структурни инвестиционни фондове за периода 2014 – 2020</w:t>
      </w:r>
    </w:p>
  </w:footnote>
  <w:footnote w:id="11">
    <w:p w:rsidR="00A449A3" w:rsidRPr="00D66BF8" w:rsidRDefault="00A449A3" w:rsidP="00342903">
      <w:pPr>
        <w:pStyle w:val="FootnoteText"/>
        <w:rPr>
          <w:rFonts w:asciiTheme="minorHAnsi" w:hAnsiTheme="minorHAnsi"/>
          <w:sz w:val="16"/>
          <w:szCs w:val="16"/>
        </w:rPr>
      </w:pPr>
      <w:r>
        <w:rPr>
          <w:rStyle w:val="FootnoteReference"/>
        </w:rPr>
        <w:footnoteRef/>
      </w:r>
      <w:r w:rsidRPr="00D66BF8">
        <w:rPr>
          <w:rFonts w:asciiTheme="minorHAnsi" w:hAnsiTheme="minorHAnsi"/>
          <w:bCs/>
          <w:color w:val="000000"/>
          <w:sz w:val="16"/>
          <w:szCs w:val="16"/>
          <w:lang w:val="bg-BG"/>
        </w:rPr>
        <w:t>Проекта на Споразумение за партньорство на Република България, очертаващо помощта от Европейските структурни и</w:t>
      </w:r>
      <w:r>
        <w:rPr>
          <w:rFonts w:asciiTheme="minorHAnsi" w:hAnsiTheme="minorHAnsi"/>
          <w:bCs/>
          <w:color w:val="000000"/>
          <w:sz w:val="16"/>
          <w:szCs w:val="16"/>
          <w:lang w:val="bg-BG"/>
        </w:rPr>
        <w:t xml:space="preserve"> </w:t>
      </w:r>
      <w:r w:rsidRPr="00D66BF8">
        <w:rPr>
          <w:rFonts w:asciiTheme="minorHAnsi" w:hAnsiTheme="minorHAnsi"/>
          <w:bCs/>
          <w:color w:val="000000"/>
          <w:sz w:val="16"/>
          <w:szCs w:val="16"/>
          <w:lang w:val="bg-BG"/>
        </w:rPr>
        <w:t>инвестиционни фондове за периода 2014 – 2020</w:t>
      </w:r>
    </w:p>
  </w:footnote>
  <w:footnote w:id="12">
    <w:p w:rsidR="00A449A3" w:rsidRPr="00190D1B" w:rsidRDefault="00A449A3" w:rsidP="00A22EA5">
      <w:pPr>
        <w:spacing w:before="120" w:after="120"/>
        <w:jc w:val="both"/>
        <w:rPr>
          <w:rFonts w:ascii="Verdana" w:eastAsia="Malgun Gothic" w:hAnsi="Verdana"/>
          <w:bCs/>
          <w:color w:val="000000"/>
          <w:sz w:val="20"/>
          <w:szCs w:val="20"/>
          <w:lang w:val="bg-BG" w:eastAsia="ko-KR"/>
        </w:rPr>
      </w:pPr>
      <w:r>
        <w:rPr>
          <w:rStyle w:val="FootnoteReference"/>
        </w:rPr>
        <w:footnoteRef/>
      </w:r>
      <w:r>
        <w:t xml:space="preserve"> </w:t>
      </w:r>
      <w:r w:rsidRPr="00A22EA5">
        <w:rPr>
          <w:rFonts w:ascii="Verdana" w:eastAsia="Malgun Gothic" w:hAnsi="Verdana"/>
          <w:bCs/>
          <w:color w:val="000000"/>
          <w:sz w:val="16"/>
          <w:szCs w:val="16"/>
          <w:lang w:val="bg-BG" w:eastAsia="ko-KR"/>
        </w:rPr>
        <w:t>Анализът на рисковете е изготвен на базата на методологията, разработена по проект “Оценка на риска при управлението на Оперативна програма „Административен капацитет” (ОПАК) и оценка на риска на проекти по ОПАК в процес на изпълнение”, извършвана от ЕКОРИС СИЮ за Министерството на финансите</w:t>
      </w:r>
      <w:r w:rsidRPr="00190D1B">
        <w:rPr>
          <w:rFonts w:ascii="Verdana" w:eastAsia="Malgun Gothic" w:hAnsi="Verdana"/>
          <w:bCs/>
          <w:color w:val="000000"/>
          <w:sz w:val="20"/>
          <w:szCs w:val="20"/>
          <w:lang w:val="bg-BG" w:eastAsia="ko-KR"/>
        </w:rPr>
        <w:t>.</w:t>
      </w:r>
    </w:p>
    <w:p w:rsidR="00A449A3" w:rsidRPr="00A22EA5" w:rsidRDefault="00A449A3">
      <w:pPr>
        <w:pStyle w:val="FootnoteText"/>
        <w:rPr>
          <w:lang w:val="bg-BG"/>
        </w:rPr>
      </w:pPr>
    </w:p>
  </w:footnote>
  <w:footnote w:id="13">
    <w:p w:rsidR="00A449A3" w:rsidRDefault="00A449A3" w:rsidP="0026362F">
      <w:pPr>
        <w:pStyle w:val="FootnoteText"/>
      </w:pPr>
      <w:r>
        <w:rPr>
          <w:rStyle w:val="FootnoteReference"/>
        </w:rPr>
        <w:footnoteRef/>
      </w:r>
      <w:r w:rsidRPr="00BA34AB">
        <w:rPr>
          <w:sz w:val="16"/>
          <w:szCs w:val="16"/>
          <w:lang w:val="bg-BG"/>
        </w:rPr>
        <w:t xml:space="preserve">ЕС </w:t>
      </w:r>
      <w:r w:rsidRPr="00BA34AB">
        <w:rPr>
          <w:sz w:val="16"/>
          <w:szCs w:val="16"/>
        </w:rPr>
        <w:t>Working Paper No 5. on Indicative Guidelines on Evaluation Methods</w:t>
      </w:r>
    </w:p>
  </w:footnote>
  <w:footnote w:id="14">
    <w:p w:rsidR="00A449A3" w:rsidRPr="00F54E78" w:rsidRDefault="00A449A3" w:rsidP="0026362F">
      <w:pPr>
        <w:pStyle w:val="FootnoteText"/>
        <w:rPr>
          <w:rFonts w:ascii="Verdana" w:eastAsiaTheme="minorEastAsia" w:hAnsi="Verdana"/>
          <w:sz w:val="16"/>
          <w:szCs w:val="16"/>
          <w:lang w:val="bg-BG" w:eastAsia="ja-JP"/>
        </w:rPr>
      </w:pPr>
      <w:r w:rsidRPr="00F54E78">
        <w:rPr>
          <w:rStyle w:val="FootnoteReference"/>
          <w:rFonts w:ascii="Verdana" w:hAnsi="Verdana"/>
          <w:sz w:val="16"/>
          <w:szCs w:val="16"/>
        </w:rPr>
        <w:footnoteRef/>
      </w:r>
      <w:proofErr w:type="spellStart"/>
      <w:r w:rsidRPr="00F54E78">
        <w:rPr>
          <w:rFonts w:ascii="Verdana" w:eastAsiaTheme="minorEastAsia" w:hAnsi="Verdana"/>
          <w:sz w:val="16"/>
          <w:szCs w:val="16"/>
          <w:lang w:val="bg-BG" w:eastAsia="ja-JP"/>
        </w:rPr>
        <w:t>Programming</w:t>
      </w:r>
      <w:proofErr w:type="spellEnd"/>
      <w:r w:rsidRPr="00F54E78">
        <w:rPr>
          <w:rFonts w:ascii="Verdana" w:eastAsiaTheme="minorEastAsia" w:hAnsi="Verdana"/>
          <w:sz w:val="16"/>
          <w:szCs w:val="16"/>
          <w:lang w:val="bg-BG" w:eastAsia="ja-JP"/>
        </w:rPr>
        <w:t xml:space="preserve"> </w:t>
      </w:r>
      <w:proofErr w:type="spellStart"/>
      <w:r w:rsidRPr="00F54E78">
        <w:rPr>
          <w:rFonts w:ascii="Verdana" w:eastAsiaTheme="minorEastAsia" w:hAnsi="Verdana"/>
          <w:sz w:val="16"/>
          <w:szCs w:val="16"/>
          <w:lang w:val="bg-BG" w:eastAsia="ja-JP"/>
        </w:rPr>
        <w:t>Period</w:t>
      </w:r>
      <w:proofErr w:type="spellEnd"/>
      <w:r w:rsidRPr="00F54E78">
        <w:rPr>
          <w:rFonts w:ascii="Verdana" w:eastAsiaTheme="minorEastAsia" w:hAnsi="Verdana"/>
          <w:sz w:val="16"/>
          <w:szCs w:val="16"/>
          <w:lang w:val="bg-BG" w:eastAsia="ja-JP"/>
        </w:rPr>
        <w:t xml:space="preserve"> 2014-2020, „</w:t>
      </w:r>
      <w:proofErr w:type="spellStart"/>
      <w:r w:rsidRPr="00F54E78">
        <w:rPr>
          <w:rFonts w:ascii="Verdana" w:eastAsiaTheme="minorEastAsia" w:hAnsi="Verdana"/>
          <w:sz w:val="16"/>
          <w:szCs w:val="16"/>
          <w:lang w:val="bg-BG" w:eastAsia="ja-JP"/>
        </w:rPr>
        <w:t>Monitoring</w:t>
      </w:r>
      <w:proofErr w:type="spellEnd"/>
      <w:r w:rsidRPr="00F54E78">
        <w:rPr>
          <w:rFonts w:ascii="Verdana" w:eastAsiaTheme="minorEastAsia" w:hAnsi="Verdana"/>
          <w:sz w:val="16"/>
          <w:szCs w:val="16"/>
          <w:lang w:val="bg-BG" w:eastAsia="ja-JP"/>
        </w:rPr>
        <w:t xml:space="preserve"> </w:t>
      </w:r>
      <w:proofErr w:type="spellStart"/>
      <w:r w:rsidRPr="00F54E78">
        <w:rPr>
          <w:rFonts w:ascii="Verdana" w:eastAsiaTheme="minorEastAsia" w:hAnsi="Verdana"/>
          <w:sz w:val="16"/>
          <w:szCs w:val="16"/>
          <w:lang w:val="bg-BG" w:eastAsia="ja-JP"/>
        </w:rPr>
        <w:t>and</w:t>
      </w:r>
      <w:proofErr w:type="spellEnd"/>
      <w:r w:rsidRPr="00F54E78">
        <w:rPr>
          <w:rFonts w:ascii="Verdana" w:eastAsiaTheme="minorEastAsia" w:hAnsi="Verdana"/>
          <w:sz w:val="16"/>
          <w:szCs w:val="16"/>
          <w:lang w:val="bg-BG" w:eastAsia="ja-JP"/>
        </w:rPr>
        <w:t xml:space="preserve"> </w:t>
      </w:r>
      <w:proofErr w:type="spellStart"/>
      <w:r w:rsidRPr="00F54E78">
        <w:rPr>
          <w:rFonts w:ascii="Verdana" w:eastAsiaTheme="minorEastAsia" w:hAnsi="Verdana"/>
          <w:sz w:val="16"/>
          <w:szCs w:val="16"/>
          <w:lang w:val="bg-BG" w:eastAsia="ja-JP"/>
        </w:rPr>
        <w:t>Evaluation</w:t>
      </w:r>
      <w:proofErr w:type="spellEnd"/>
      <w:r w:rsidRPr="00F54E78">
        <w:rPr>
          <w:rFonts w:ascii="Verdana" w:eastAsiaTheme="minorEastAsia" w:hAnsi="Verdana"/>
          <w:sz w:val="16"/>
          <w:szCs w:val="16"/>
          <w:lang w:val="bg-BG" w:eastAsia="ja-JP"/>
        </w:rPr>
        <w:t xml:space="preserve"> </w:t>
      </w:r>
      <w:proofErr w:type="spellStart"/>
      <w:r w:rsidRPr="00F54E78">
        <w:rPr>
          <w:rFonts w:ascii="Verdana" w:eastAsiaTheme="minorEastAsia" w:hAnsi="Verdana"/>
          <w:sz w:val="16"/>
          <w:szCs w:val="16"/>
          <w:lang w:val="bg-BG" w:eastAsia="ja-JP"/>
        </w:rPr>
        <w:t>of</w:t>
      </w:r>
      <w:proofErr w:type="spellEnd"/>
      <w:r w:rsidRPr="00F54E78">
        <w:rPr>
          <w:rFonts w:ascii="Verdana" w:eastAsiaTheme="minorEastAsia" w:hAnsi="Verdana"/>
          <w:sz w:val="16"/>
          <w:szCs w:val="16"/>
          <w:lang w:val="bg-BG" w:eastAsia="ja-JP"/>
        </w:rPr>
        <w:t xml:space="preserve"> </w:t>
      </w:r>
      <w:proofErr w:type="spellStart"/>
      <w:r w:rsidRPr="00F54E78">
        <w:rPr>
          <w:rFonts w:ascii="Verdana" w:eastAsiaTheme="minorEastAsia" w:hAnsi="Verdana"/>
          <w:sz w:val="16"/>
          <w:szCs w:val="16"/>
          <w:lang w:val="bg-BG" w:eastAsia="ja-JP"/>
        </w:rPr>
        <w:t>European</w:t>
      </w:r>
      <w:proofErr w:type="spellEnd"/>
      <w:r w:rsidRPr="00F54E78">
        <w:rPr>
          <w:rFonts w:ascii="Verdana" w:eastAsiaTheme="minorEastAsia" w:hAnsi="Verdana"/>
          <w:sz w:val="16"/>
          <w:szCs w:val="16"/>
          <w:lang w:val="bg-BG" w:eastAsia="ja-JP"/>
        </w:rPr>
        <w:t xml:space="preserve"> </w:t>
      </w:r>
      <w:proofErr w:type="spellStart"/>
      <w:r w:rsidRPr="00F54E78">
        <w:rPr>
          <w:rFonts w:ascii="Verdana" w:eastAsiaTheme="minorEastAsia" w:hAnsi="Verdana"/>
          <w:sz w:val="16"/>
          <w:szCs w:val="16"/>
          <w:lang w:val="bg-BG" w:eastAsia="ja-JP"/>
        </w:rPr>
        <w:t>Cohesion</w:t>
      </w:r>
      <w:proofErr w:type="spellEnd"/>
      <w:r w:rsidRPr="00F54E78">
        <w:rPr>
          <w:rFonts w:ascii="Verdana" w:eastAsiaTheme="minorEastAsia" w:hAnsi="Verdana"/>
          <w:sz w:val="16"/>
          <w:szCs w:val="16"/>
          <w:lang w:val="bg-BG" w:eastAsia="ja-JP"/>
        </w:rPr>
        <w:t xml:space="preserve"> </w:t>
      </w:r>
      <w:proofErr w:type="spellStart"/>
      <w:r w:rsidRPr="00F54E78">
        <w:rPr>
          <w:rFonts w:ascii="Verdana" w:eastAsiaTheme="minorEastAsia" w:hAnsi="Verdana"/>
          <w:sz w:val="16"/>
          <w:szCs w:val="16"/>
          <w:lang w:val="bg-BG" w:eastAsia="ja-JP"/>
        </w:rPr>
        <w:t>Policy</w:t>
      </w:r>
      <w:proofErr w:type="spellEnd"/>
      <w:r w:rsidRPr="00F54E78">
        <w:rPr>
          <w:rFonts w:ascii="Verdana" w:eastAsiaTheme="minorEastAsia" w:hAnsi="Verdana"/>
          <w:sz w:val="16"/>
          <w:szCs w:val="16"/>
          <w:lang w:val="bg-BG" w:eastAsia="ja-JP"/>
        </w:rPr>
        <w:t xml:space="preserve">, </w:t>
      </w:r>
      <w:proofErr w:type="spellStart"/>
      <w:r w:rsidRPr="00F54E78">
        <w:rPr>
          <w:rFonts w:ascii="Verdana" w:eastAsiaTheme="minorEastAsia" w:hAnsi="Verdana"/>
          <w:sz w:val="16"/>
          <w:szCs w:val="16"/>
          <w:lang w:val="bg-BG" w:eastAsia="ja-JP"/>
        </w:rPr>
        <w:t>European</w:t>
      </w:r>
      <w:proofErr w:type="spellEnd"/>
      <w:r w:rsidRPr="00F54E78">
        <w:rPr>
          <w:rFonts w:ascii="Verdana" w:eastAsiaTheme="minorEastAsia" w:hAnsi="Verdana"/>
          <w:sz w:val="16"/>
          <w:szCs w:val="16"/>
          <w:lang w:val="bg-BG" w:eastAsia="ja-JP"/>
        </w:rPr>
        <w:t xml:space="preserve"> </w:t>
      </w:r>
      <w:proofErr w:type="spellStart"/>
      <w:r w:rsidRPr="00F54E78">
        <w:rPr>
          <w:rFonts w:ascii="Verdana" w:eastAsiaTheme="minorEastAsia" w:hAnsi="Verdana"/>
          <w:sz w:val="16"/>
          <w:szCs w:val="16"/>
          <w:lang w:val="bg-BG" w:eastAsia="ja-JP"/>
        </w:rPr>
        <w:t>Social</w:t>
      </w:r>
      <w:proofErr w:type="spellEnd"/>
      <w:r w:rsidRPr="00F54E78">
        <w:rPr>
          <w:rFonts w:ascii="Verdana" w:eastAsiaTheme="minorEastAsia" w:hAnsi="Verdana"/>
          <w:sz w:val="16"/>
          <w:szCs w:val="16"/>
          <w:lang w:val="bg-BG" w:eastAsia="ja-JP"/>
        </w:rPr>
        <w:t xml:space="preserve"> </w:t>
      </w:r>
      <w:proofErr w:type="spellStart"/>
      <w:r w:rsidRPr="00F54E78">
        <w:rPr>
          <w:rFonts w:ascii="Verdana" w:eastAsiaTheme="minorEastAsia" w:hAnsi="Verdana"/>
          <w:sz w:val="16"/>
          <w:szCs w:val="16"/>
          <w:lang w:val="bg-BG" w:eastAsia="ja-JP"/>
        </w:rPr>
        <w:t>Fund</w:t>
      </w:r>
      <w:proofErr w:type="spellEnd"/>
      <w:r w:rsidRPr="00F54E78">
        <w:rPr>
          <w:rFonts w:ascii="Verdana" w:eastAsiaTheme="minorEastAsia" w:hAnsi="Verdana"/>
          <w:sz w:val="16"/>
          <w:szCs w:val="16"/>
          <w:lang w:val="bg-BG" w:eastAsia="ja-JP"/>
        </w:rPr>
        <w:t xml:space="preserve">“, </w:t>
      </w:r>
      <w:proofErr w:type="spellStart"/>
      <w:r w:rsidRPr="00F54E78">
        <w:rPr>
          <w:rFonts w:ascii="Verdana" w:eastAsiaTheme="minorEastAsia" w:hAnsi="Verdana"/>
          <w:sz w:val="16"/>
          <w:szCs w:val="16"/>
          <w:lang w:val="bg-BG" w:eastAsia="ja-JP"/>
        </w:rPr>
        <w:t>Guidence</w:t>
      </w:r>
      <w:proofErr w:type="spellEnd"/>
      <w:r w:rsidRPr="00F54E78">
        <w:rPr>
          <w:rFonts w:ascii="Verdana" w:eastAsiaTheme="minorEastAsia" w:hAnsi="Verdana"/>
          <w:sz w:val="16"/>
          <w:szCs w:val="16"/>
          <w:lang w:val="bg-BG" w:eastAsia="ja-JP"/>
        </w:rPr>
        <w:t xml:space="preserve"> </w:t>
      </w:r>
      <w:proofErr w:type="spellStart"/>
      <w:r w:rsidRPr="00F54E78">
        <w:rPr>
          <w:rFonts w:ascii="Verdana" w:eastAsiaTheme="minorEastAsia" w:hAnsi="Verdana"/>
          <w:sz w:val="16"/>
          <w:szCs w:val="16"/>
          <w:lang w:val="bg-BG" w:eastAsia="ja-JP"/>
        </w:rPr>
        <w:t>Document</w:t>
      </w:r>
      <w:proofErr w:type="spellEnd"/>
      <w:r w:rsidRPr="00F54E78">
        <w:rPr>
          <w:rFonts w:ascii="Verdana" w:eastAsiaTheme="minorEastAsia" w:hAnsi="Verdana"/>
          <w:sz w:val="16"/>
          <w:szCs w:val="16"/>
          <w:lang w:val="bg-BG" w:eastAsia="ja-JP"/>
        </w:rPr>
        <w:t xml:space="preserve"> </w:t>
      </w:r>
    </w:p>
  </w:footnote>
  <w:footnote w:id="15">
    <w:p w:rsidR="00A449A3" w:rsidRPr="00160084" w:rsidRDefault="00A449A3" w:rsidP="004C272D">
      <w:pPr>
        <w:pStyle w:val="FootnoteText"/>
        <w:rPr>
          <w:lang w:val="en-US"/>
        </w:rPr>
      </w:pPr>
      <w:r>
        <w:rPr>
          <w:rStyle w:val="FootnoteReference"/>
        </w:rPr>
        <w:footnoteRef/>
      </w:r>
      <w:r>
        <w:rPr>
          <w:lang w:val="bg-BG"/>
        </w:rPr>
        <w:t xml:space="preserve">Период на програмиране 2014-2020 Насоки за мониторинг и оценка, ЕФРР и КФ и Насоки за мониторинг и оценка на ЕСФ; </w:t>
      </w:r>
      <w:r>
        <w:rPr>
          <w:lang w:val="en-US"/>
        </w:rPr>
        <w:t>Draft Guidance document on evaluation Plans, EC, March 2014</w:t>
      </w:r>
    </w:p>
  </w:footnote>
  <w:footnote w:id="16">
    <w:p w:rsidR="00A449A3" w:rsidRPr="00153A87" w:rsidRDefault="00A449A3" w:rsidP="004C272D">
      <w:pPr>
        <w:pStyle w:val="FootnoteText"/>
        <w:rPr>
          <w:lang w:val="bg-BG"/>
        </w:rPr>
      </w:pPr>
      <w:r>
        <w:rPr>
          <w:rStyle w:val="FootnoteReference"/>
        </w:rPr>
        <w:footnoteRef/>
      </w:r>
      <w:r>
        <w:rPr>
          <w:lang w:val="bg-BG"/>
        </w:rPr>
        <w:t>Период на програмиране 2014-2020 Насоки за мониторинг и оценка, ЕФРР и КФ и Насоки за мониторинг и оценка на ЕСФ</w:t>
      </w:r>
    </w:p>
  </w:footnote>
  <w:footnote w:id="17">
    <w:p w:rsidR="00A449A3" w:rsidRPr="006A6137" w:rsidRDefault="00A449A3" w:rsidP="004C272D">
      <w:pPr>
        <w:pStyle w:val="FootnoteText"/>
        <w:rPr>
          <w:lang w:val="bg-BG"/>
        </w:rPr>
      </w:pPr>
      <w:r>
        <w:rPr>
          <w:rStyle w:val="FootnoteReference"/>
        </w:rPr>
        <w:footnoteRef/>
      </w:r>
      <w:r>
        <w:rPr>
          <w:lang w:val="bg-BG"/>
        </w:rPr>
        <w:t>Период на програмиране 2014-2020.  Насоки за мониторинг и оценка, ЕФРР и КФ</w:t>
      </w:r>
    </w:p>
  </w:footnote>
  <w:footnote w:id="18">
    <w:p w:rsidR="00A449A3" w:rsidRPr="00FC48BA" w:rsidRDefault="00A449A3" w:rsidP="004C272D">
      <w:pPr>
        <w:pStyle w:val="FootnoteText"/>
        <w:rPr>
          <w:lang w:val="bg-BG"/>
        </w:rPr>
      </w:pPr>
      <w:r>
        <w:rPr>
          <w:rStyle w:val="FootnoteReference"/>
        </w:rPr>
        <w:footnoteRef/>
      </w:r>
      <w:r w:rsidRPr="00FC48BA">
        <w:t>http://ec.europa.eu/regional_policy/sources/docgener/evaluation/guide/guide_evalsed.pdf</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9072"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8"/>
      <w:gridCol w:w="5812"/>
      <w:gridCol w:w="1842"/>
    </w:tblGrid>
    <w:tr w:rsidR="00A449A3" w:rsidRPr="00816557" w:rsidTr="005106CE">
      <w:tc>
        <w:tcPr>
          <w:tcW w:w="1418" w:type="dxa"/>
        </w:tcPr>
        <w:p w:rsidR="00A449A3" w:rsidRPr="005D52A8" w:rsidRDefault="00A449A3" w:rsidP="005106CE">
          <w:pPr>
            <w:rPr>
              <w:lang w:val="bg-BG"/>
            </w:rPr>
          </w:pPr>
          <w:r w:rsidRPr="00B77A3B">
            <w:rPr>
              <w:b/>
              <w:noProof/>
              <w:sz w:val="20"/>
              <w:szCs w:val="20"/>
              <w:lang w:val="bg-BG" w:eastAsia="bg-BG"/>
            </w:rPr>
            <w:drawing>
              <wp:anchor distT="0" distB="0" distL="114300" distR="114300" simplePos="0" relativeHeight="251551232" behindDoc="0" locked="0" layoutInCell="1" allowOverlap="1" wp14:anchorId="458772C6" wp14:editId="784AF2B0">
                <wp:simplePos x="0" y="0"/>
                <wp:positionH relativeFrom="column">
                  <wp:posOffset>-68581</wp:posOffset>
                </wp:positionH>
                <wp:positionV relativeFrom="paragraph">
                  <wp:posOffset>11927</wp:posOffset>
                </wp:positionV>
                <wp:extent cx="858741" cy="752323"/>
                <wp:effectExtent l="0" t="0" r="0" b="0"/>
                <wp:wrapNone/>
                <wp:docPr id="11" name="Picture 11" descr="EU_logo_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descr="EU_logo_small"/>
                        <pic:cNvPicPr>
                          <a:picLocks noChangeAspect="1" noChangeArrowheads="1"/>
                        </pic:cNvPicPr>
                      </pic:nvPicPr>
                      <pic:blipFill>
                        <a:blip r:embed="rId1">
                          <a:extLst>
                            <a:ext uri="{28A0092B-C50C-407E-A947-70E740481C1C}">
                              <a14:useLocalDpi xmlns:a14="http://schemas.microsoft.com/office/drawing/2010/main" val="0"/>
                            </a:ext>
                          </a:extLst>
                        </a:blip>
                        <a:srcRect l="10165" r="10165"/>
                        <a:stretch>
                          <a:fillRect/>
                        </a:stretch>
                      </pic:blipFill>
                      <pic:spPr bwMode="auto">
                        <a:xfrm>
                          <a:off x="0" y="0"/>
                          <a:ext cx="858915" cy="752475"/>
                        </a:xfrm>
                        <a:prstGeom prst="rect">
                          <a:avLst/>
                        </a:prstGeom>
                        <a:noFill/>
                        <a:ln>
                          <a:noFill/>
                        </a:ln>
                      </pic:spPr>
                    </pic:pic>
                  </a:graphicData>
                </a:graphic>
              </wp:anchor>
            </w:drawing>
          </w:r>
          <w:r>
            <w:rPr>
              <w:b/>
              <w:noProof/>
              <w:sz w:val="20"/>
              <w:szCs w:val="20"/>
            </w:rPr>
            <w:ptab w:relativeTo="margin" w:alignment="center" w:leader="none"/>
          </w:r>
        </w:p>
      </w:tc>
      <w:tc>
        <w:tcPr>
          <w:tcW w:w="5812" w:type="dxa"/>
          <w:vAlign w:val="center"/>
        </w:tcPr>
        <w:p w:rsidR="00A449A3" w:rsidRDefault="00A449A3" w:rsidP="00BD21AF">
          <w:pPr>
            <w:spacing w:after="0" w:line="360" w:lineRule="auto"/>
            <w:jc w:val="center"/>
            <w:rPr>
              <w:rFonts w:ascii="Verdana" w:hAnsi="Verdana"/>
              <w:sz w:val="16"/>
              <w:lang w:val="bg-BG"/>
            </w:rPr>
          </w:pPr>
        </w:p>
        <w:p w:rsidR="00A449A3" w:rsidRPr="00A52885" w:rsidRDefault="00A449A3" w:rsidP="00BD21AF">
          <w:pPr>
            <w:spacing w:after="0" w:line="360" w:lineRule="auto"/>
            <w:jc w:val="center"/>
            <w:rPr>
              <w:rFonts w:ascii="Verdana" w:hAnsi="Verdana"/>
              <w:sz w:val="16"/>
              <w:lang w:val="bg-BG"/>
            </w:rPr>
          </w:pPr>
          <w:r w:rsidRPr="00F85976">
            <w:rPr>
              <w:rFonts w:ascii="Verdana" w:hAnsi="Verdana"/>
              <w:sz w:val="16"/>
              <w:lang w:val="bg-BG"/>
            </w:rPr>
            <w:t>Предварителна оценка на Оперативна програма „</w:t>
          </w:r>
          <w:r>
            <w:rPr>
              <w:rFonts w:ascii="Verdana" w:hAnsi="Verdana"/>
              <w:sz w:val="16"/>
              <w:lang w:val="bg-BG"/>
            </w:rPr>
            <w:t>Наука и образование за интелигентен растеж</w:t>
          </w:r>
          <w:r w:rsidRPr="00F85976">
            <w:rPr>
              <w:rFonts w:ascii="Verdana" w:hAnsi="Verdana"/>
              <w:sz w:val="16"/>
              <w:lang w:val="bg-BG"/>
            </w:rPr>
            <w:t>” за периода 2014 – 2020</w:t>
          </w:r>
          <w:r>
            <w:rPr>
              <w:rFonts w:ascii="Verdana" w:hAnsi="Verdana"/>
              <w:sz w:val="16"/>
            </w:rPr>
            <w:t> </w:t>
          </w:r>
          <w:r w:rsidRPr="00F85976">
            <w:rPr>
              <w:rFonts w:ascii="Verdana" w:hAnsi="Verdana"/>
              <w:sz w:val="16"/>
              <w:lang w:val="bg-BG"/>
            </w:rPr>
            <w:t>г.</w:t>
          </w:r>
        </w:p>
      </w:tc>
      <w:tc>
        <w:tcPr>
          <w:tcW w:w="1842" w:type="dxa"/>
        </w:tcPr>
        <w:p w:rsidR="00A449A3" w:rsidRPr="005106CE" w:rsidRDefault="00A449A3" w:rsidP="005106CE">
          <w:pPr>
            <w:ind w:right="-28"/>
            <w:rPr>
              <w:lang w:val="bg-BG"/>
            </w:rPr>
          </w:pPr>
          <w:r w:rsidRPr="00B77A3B">
            <w:rPr>
              <w:b/>
              <w:noProof/>
              <w:sz w:val="20"/>
              <w:szCs w:val="20"/>
              <w:lang w:val="bg-BG" w:eastAsia="bg-BG"/>
            </w:rPr>
            <w:drawing>
              <wp:anchor distT="0" distB="0" distL="114300" distR="114300" simplePos="0" relativeHeight="251552256" behindDoc="0" locked="0" layoutInCell="1" allowOverlap="1" wp14:anchorId="6E4D4531" wp14:editId="2564615D">
                <wp:simplePos x="0" y="0"/>
                <wp:positionH relativeFrom="column">
                  <wp:posOffset>-304</wp:posOffset>
                </wp:positionH>
                <wp:positionV relativeFrom="paragraph">
                  <wp:posOffset>11430</wp:posOffset>
                </wp:positionV>
                <wp:extent cx="1031240" cy="756285"/>
                <wp:effectExtent l="0" t="0" r="0" b="0"/>
                <wp:wrapNone/>
                <wp:docPr id="12" name="Picture 12" descr="ESF_logo_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2" descr="ESF_logo_small"/>
                        <pic:cNvPicPr>
                          <a:picLocks noChangeAspect="1" noChangeArrowheads="1"/>
                        </pic:cNvPicPr>
                      </pic:nvPicPr>
                      <pic:blipFill>
                        <a:blip r:embed="rId2">
                          <a:extLst>
                            <a:ext uri="{28A0092B-C50C-407E-A947-70E740481C1C}">
                              <a14:useLocalDpi xmlns:a14="http://schemas.microsoft.com/office/drawing/2010/main" val="0"/>
                            </a:ext>
                          </a:extLst>
                        </a:blip>
                        <a:srcRect l="2745" r="3319"/>
                        <a:stretch>
                          <a:fillRect/>
                        </a:stretch>
                      </pic:blipFill>
                      <pic:spPr bwMode="auto">
                        <a:xfrm>
                          <a:off x="0" y="0"/>
                          <a:ext cx="1031240" cy="756285"/>
                        </a:xfrm>
                        <a:prstGeom prst="rect">
                          <a:avLst/>
                        </a:prstGeom>
                        <a:noFill/>
                        <a:ln>
                          <a:noFill/>
                        </a:ln>
                      </pic:spPr>
                    </pic:pic>
                  </a:graphicData>
                </a:graphic>
              </wp:anchor>
            </w:drawing>
          </w:r>
        </w:p>
      </w:tc>
    </w:tr>
  </w:tbl>
  <w:p w:rsidR="00A449A3" w:rsidRPr="005106CE" w:rsidRDefault="00A449A3">
    <w:pPr>
      <w:pStyle w:val="Header"/>
      <w:rPr>
        <w:sz w:val="2"/>
        <w:szCs w:val="2"/>
        <w:lang w:val="bg-BG"/>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1403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10631"/>
      <w:gridCol w:w="1842"/>
    </w:tblGrid>
    <w:tr w:rsidR="00A449A3" w:rsidRPr="00816557" w:rsidTr="00DC39BD">
      <w:trPr>
        <w:jc w:val="center"/>
      </w:trPr>
      <w:tc>
        <w:tcPr>
          <w:tcW w:w="1560" w:type="dxa"/>
        </w:tcPr>
        <w:p w:rsidR="00A449A3" w:rsidRPr="005D52A8" w:rsidRDefault="00A449A3" w:rsidP="00DC39BD">
          <w:pPr>
            <w:jc w:val="center"/>
            <w:rPr>
              <w:lang w:val="bg-BG"/>
            </w:rPr>
          </w:pPr>
          <w:r w:rsidRPr="00B77A3B">
            <w:rPr>
              <w:b/>
              <w:noProof/>
              <w:sz w:val="20"/>
              <w:szCs w:val="20"/>
              <w:lang w:val="bg-BG" w:eastAsia="bg-BG"/>
            </w:rPr>
            <w:drawing>
              <wp:anchor distT="0" distB="0" distL="114300" distR="114300" simplePos="0" relativeHeight="251630080" behindDoc="0" locked="0" layoutInCell="1" allowOverlap="1" wp14:anchorId="22AA5440" wp14:editId="7B6EE8A6">
                <wp:simplePos x="0" y="0"/>
                <wp:positionH relativeFrom="column">
                  <wp:posOffset>-68581</wp:posOffset>
                </wp:positionH>
                <wp:positionV relativeFrom="paragraph">
                  <wp:posOffset>11927</wp:posOffset>
                </wp:positionV>
                <wp:extent cx="858741" cy="752323"/>
                <wp:effectExtent l="0" t="0" r="0" b="0"/>
                <wp:wrapNone/>
                <wp:docPr id="15" name="Picture 15" descr="EU_logo_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descr="EU_logo_small"/>
                        <pic:cNvPicPr>
                          <a:picLocks noChangeAspect="1" noChangeArrowheads="1"/>
                        </pic:cNvPicPr>
                      </pic:nvPicPr>
                      <pic:blipFill>
                        <a:blip r:embed="rId1">
                          <a:extLst>
                            <a:ext uri="{28A0092B-C50C-407E-A947-70E740481C1C}">
                              <a14:useLocalDpi xmlns:a14="http://schemas.microsoft.com/office/drawing/2010/main" val="0"/>
                            </a:ext>
                          </a:extLst>
                        </a:blip>
                        <a:srcRect l="10165" r="10165"/>
                        <a:stretch>
                          <a:fillRect/>
                        </a:stretch>
                      </pic:blipFill>
                      <pic:spPr bwMode="auto">
                        <a:xfrm>
                          <a:off x="0" y="0"/>
                          <a:ext cx="858915" cy="752475"/>
                        </a:xfrm>
                        <a:prstGeom prst="rect">
                          <a:avLst/>
                        </a:prstGeom>
                        <a:noFill/>
                        <a:ln>
                          <a:noFill/>
                        </a:ln>
                      </pic:spPr>
                    </pic:pic>
                  </a:graphicData>
                </a:graphic>
              </wp:anchor>
            </w:drawing>
          </w:r>
          <w:r>
            <w:rPr>
              <w:b/>
              <w:noProof/>
              <w:sz w:val="20"/>
              <w:szCs w:val="20"/>
            </w:rPr>
            <w:ptab w:relativeTo="margin" w:alignment="center" w:leader="none"/>
          </w:r>
        </w:p>
      </w:tc>
      <w:tc>
        <w:tcPr>
          <w:tcW w:w="10631" w:type="dxa"/>
          <w:vAlign w:val="center"/>
        </w:tcPr>
        <w:p w:rsidR="00A449A3" w:rsidRPr="005D52A8" w:rsidRDefault="00A449A3" w:rsidP="008F44A3">
          <w:pPr>
            <w:spacing w:before="480" w:after="480"/>
            <w:jc w:val="center"/>
            <w:rPr>
              <w:rFonts w:ascii="Verdana" w:hAnsi="Verdana"/>
              <w:sz w:val="16"/>
              <w:lang w:val="bg-BG"/>
            </w:rPr>
          </w:pPr>
          <w:r w:rsidRPr="00F85976">
            <w:rPr>
              <w:rFonts w:ascii="Verdana" w:hAnsi="Verdana"/>
              <w:sz w:val="16"/>
              <w:lang w:val="bg-BG"/>
            </w:rPr>
            <w:t>Предварителна оценка на Оперативна програма „</w:t>
          </w:r>
          <w:r>
            <w:rPr>
              <w:rFonts w:ascii="Verdana" w:hAnsi="Verdana"/>
              <w:sz w:val="16"/>
              <w:lang w:val="bg-BG"/>
            </w:rPr>
            <w:t>Наука и образование за интелигентен растеж</w:t>
          </w:r>
          <w:r w:rsidRPr="00F85976">
            <w:rPr>
              <w:rFonts w:ascii="Verdana" w:hAnsi="Verdana"/>
              <w:sz w:val="16"/>
              <w:lang w:val="bg-BG"/>
            </w:rPr>
            <w:t>” 2014 – 2020</w:t>
          </w:r>
          <w:r>
            <w:rPr>
              <w:rFonts w:ascii="Verdana" w:hAnsi="Verdana"/>
              <w:sz w:val="16"/>
            </w:rPr>
            <w:t> </w:t>
          </w:r>
          <w:r w:rsidRPr="00F85976">
            <w:rPr>
              <w:rFonts w:ascii="Verdana" w:hAnsi="Verdana"/>
              <w:sz w:val="16"/>
              <w:lang w:val="bg-BG"/>
            </w:rPr>
            <w:t>г.</w:t>
          </w:r>
        </w:p>
      </w:tc>
      <w:tc>
        <w:tcPr>
          <w:tcW w:w="1842" w:type="dxa"/>
        </w:tcPr>
        <w:p w:rsidR="00A449A3" w:rsidRPr="005106CE" w:rsidRDefault="00A449A3" w:rsidP="005106CE">
          <w:pPr>
            <w:ind w:right="-28"/>
            <w:rPr>
              <w:lang w:val="bg-BG"/>
            </w:rPr>
          </w:pPr>
          <w:r w:rsidRPr="00B77A3B">
            <w:rPr>
              <w:b/>
              <w:noProof/>
              <w:sz w:val="20"/>
              <w:szCs w:val="20"/>
              <w:lang w:val="bg-BG" w:eastAsia="bg-BG"/>
            </w:rPr>
            <w:drawing>
              <wp:anchor distT="0" distB="0" distL="114300" distR="114300" simplePos="0" relativeHeight="251655680" behindDoc="0" locked="0" layoutInCell="1" allowOverlap="1" wp14:anchorId="68E01A7E" wp14:editId="78654D14">
                <wp:simplePos x="0" y="0"/>
                <wp:positionH relativeFrom="column">
                  <wp:posOffset>-304</wp:posOffset>
                </wp:positionH>
                <wp:positionV relativeFrom="paragraph">
                  <wp:posOffset>11430</wp:posOffset>
                </wp:positionV>
                <wp:extent cx="1031240" cy="756285"/>
                <wp:effectExtent l="0" t="0" r="0" b="0"/>
                <wp:wrapNone/>
                <wp:docPr id="16" name="Picture 16" descr="ESF_logo_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2" descr="ESF_logo_small"/>
                        <pic:cNvPicPr>
                          <a:picLocks noChangeAspect="1" noChangeArrowheads="1"/>
                        </pic:cNvPicPr>
                      </pic:nvPicPr>
                      <pic:blipFill>
                        <a:blip r:embed="rId2">
                          <a:extLst>
                            <a:ext uri="{28A0092B-C50C-407E-A947-70E740481C1C}">
                              <a14:useLocalDpi xmlns:a14="http://schemas.microsoft.com/office/drawing/2010/main" val="0"/>
                            </a:ext>
                          </a:extLst>
                        </a:blip>
                        <a:srcRect l="2745" r="3319"/>
                        <a:stretch>
                          <a:fillRect/>
                        </a:stretch>
                      </pic:blipFill>
                      <pic:spPr bwMode="auto">
                        <a:xfrm>
                          <a:off x="0" y="0"/>
                          <a:ext cx="1031240" cy="756285"/>
                        </a:xfrm>
                        <a:prstGeom prst="rect">
                          <a:avLst/>
                        </a:prstGeom>
                        <a:noFill/>
                        <a:ln>
                          <a:noFill/>
                        </a:ln>
                      </pic:spPr>
                    </pic:pic>
                  </a:graphicData>
                </a:graphic>
              </wp:anchor>
            </w:drawing>
          </w:r>
        </w:p>
      </w:tc>
    </w:tr>
  </w:tbl>
  <w:p w:rsidR="00A449A3" w:rsidRPr="00DC39BD" w:rsidRDefault="00A449A3">
    <w:pPr>
      <w:pStyle w:val="Header"/>
      <w:rPr>
        <w:sz w:val="2"/>
        <w:szCs w:val="2"/>
        <w:lang w:val="bg-BG"/>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9072"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8"/>
      <w:gridCol w:w="5812"/>
      <w:gridCol w:w="1842"/>
    </w:tblGrid>
    <w:tr w:rsidR="00A449A3" w:rsidRPr="00816557" w:rsidTr="00900355">
      <w:trPr>
        <w:trHeight w:val="810"/>
      </w:trPr>
      <w:tc>
        <w:tcPr>
          <w:tcW w:w="1418" w:type="dxa"/>
        </w:tcPr>
        <w:p w:rsidR="00A449A3" w:rsidRPr="005D52A8" w:rsidRDefault="00A449A3" w:rsidP="005106CE">
          <w:pPr>
            <w:rPr>
              <w:lang w:val="bg-BG"/>
            </w:rPr>
          </w:pPr>
          <w:r w:rsidRPr="00B77A3B">
            <w:rPr>
              <w:b/>
              <w:noProof/>
              <w:sz w:val="20"/>
              <w:szCs w:val="20"/>
              <w:lang w:val="bg-BG" w:eastAsia="bg-BG"/>
            </w:rPr>
            <w:drawing>
              <wp:anchor distT="0" distB="0" distL="114300" distR="114300" simplePos="0" relativeHeight="251578880" behindDoc="0" locked="0" layoutInCell="1" allowOverlap="1" wp14:anchorId="614AFB63" wp14:editId="149B0060">
                <wp:simplePos x="0" y="0"/>
                <wp:positionH relativeFrom="column">
                  <wp:posOffset>-68581</wp:posOffset>
                </wp:positionH>
                <wp:positionV relativeFrom="paragraph">
                  <wp:posOffset>11927</wp:posOffset>
                </wp:positionV>
                <wp:extent cx="858741" cy="752323"/>
                <wp:effectExtent l="0" t="0" r="0" b="0"/>
                <wp:wrapNone/>
                <wp:docPr id="3" name="Picture 3" descr="EU_logo_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descr="EU_logo_small"/>
                        <pic:cNvPicPr>
                          <a:picLocks noChangeAspect="1" noChangeArrowheads="1"/>
                        </pic:cNvPicPr>
                      </pic:nvPicPr>
                      <pic:blipFill>
                        <a:blip r:embed="rId1">
                          <a:extLst>
                            <a:ext uri="{28A0092B-C50C-407E-A947-70E740481C1C}">
                              <a14:useLocalDpi xmlns:a14="http://schemas.microsoft.com/office/drawing/2010/main" val="0"/>
                            </a:ext>
                          </a:extLst>
                        </a:blip>
                        <a:srcRect l="10165" r="10165"/>
                        <a:stretch>
                          <a:fillRect/>
                        </a:stretch>
                      </pic:blipFill>
                      <pic:spPr bwMode="auto">
                        <a:xfrm>
                          <a:off x="0" y="0"/>
                          <a:ext cx="858915" cy="752475"/>
                        </a:xfrm>
                        <a:prstGeom prst="rect">
                          <a:avLst/>
                        </a:prstGeom>
                        <a:noFill/>
                        <a:ln>
                          <a:noFill/>
                        </a:ln>
                      </pic:spPr>
                    </pic:pic>
                  </a:graphicData>
                </a:graphic>
              </wp:anchor>
            </w:drawing>
          </w:r>
          <w:r>
            <w:rPr>
              <w:b/>
              <w:noProof/>
              <w:sz w:val="20"/>
              <w:szCs w:val="20"/>
            </w:rPr>
            <w:ptab w:relativeTo="margin" w:alignment="center" w:leader="none"/>
          </w:r>
        </w:p>
      </w:tc>
      <w:tc>
        <w:tcPr>
          <w:tcW w:w="5812" w:type="dxa"/>
          <w:vAlign w:val="center"/>
        </w:tcPr>
        <w:p w:rsidR="00A449A3" w:rsidRDefault="00A449A3" w:rsidP="00900355">
          <w:pPr>
            <w:spacing w:before="100" w:beforeAutospacing="1" w:after="100" w:afterAutospacing="1" w:line="360" w:lineRule="auto"/>
            <w:contextualSpacing/>
            <w:jc w:val="center"/>
            <w:rPr>
              <w:rFonts w:ascii="Verdana" w:hAnsi="Verdana"/>
              <w:sz w:val="16"/>
              <w:lang w:val="bg-BG"/>
            </w:rPr>
          </w:pPr>
        </w:p>
        <w:p w:rsidR="00A449A3" w:rsidRDefault="00A449A3" w:rsidP="00900355">
          <w:pPr>
            <w:spacing w:before="100" w:beforeAutospacing="1" w:after="100" w:afterAutospacing="1" w:line="360" w:lineRule="auto"/>
            <w:contextualSpacing/>
            <w:jc w:val="center"/>
            <w:rPr>
              <w:rFonts w:ascii="Verdana" w:hAnsi="Verdana"/>
              <w:sz w:val="16"/>
              <w:lang w:val="bg-BG"/>
            </w:rPr>
          </w:pPr>
          <w:r w:rsidRPr="00F85976">
            <w:rPr>
              <w:rFonts w:ascii="Verdana" w:hAnsi="Verdana"/>
              <w:sz w:val="16"/>
              <w:lang w:val="bg-BG"/>
            </w:rPr>
            <w:t xml:space="preserve">Предварителна оценка на Оперативна програма </w:t>
          </w:r>
        </w:p>
        <w:p w:rsidR="00A449A3" w:rsidRPr="005D52A8" w:rsidRDefault="00A449A3" w:rsidP="00BD21AF">
          <w:pPr>
            <w:spacing w:before="100" w:beforeAutospacing="1" w:after="100" w:afterAutospacing="1" w:line="360" w:lineRule="auto"/>
            <w:contextualSpacing/>
            <w:jc w:val="center"/>
            <w:rPr>
              <w:rFonts w:ascii="Verdana" w:hAnsi="Verdana"/>
              <w:sz w:val="16"/>
              <w:lang w:val="bg-BG"/>
            </w:rPr>
          </w:pPr>
          <w:r w:rsidRPr="00F85976">
            <w:rPr>
              <w:rFonts w:ascii="Verdana" w:hAnsi="Verdana"/>
              <w:sz w:val="16"/>
              <w:lang w:val="bg-BG"/>
            </w:rPr>
            <w:t>„</w:t>
          </w:r>
          <w:r>
            <w:rPr>
              <w:rFonts w:ascii="Verdana" w:hAnsi="Verdana"/>
              <w:sz w:val="16"/>
              <w:lang w:val="bg-BG"/>
            </w:rPr>
            <w:t>Наука и образование за интелигентен растеж</w:t>
          </w:r>
          <w:r w:rsidRPr="00F85976">
            <w:rPr>
              <w:rFonts w:ascii="Verdana" w:hAnsi="Verdana"/>
              <w:sz w:val="16"/>
              <w:lang w:val="bg-BG"/>
            </w:rPr>
            <w:t>” 2014–2020</w:t>
          </w:r>
          <w:r>
            <w:rPr>
              <w:rFonts w:ascii="Verdana" w:hAnsi="Verdana"/>
              <w:sz w:val="16"/>
            </w:rPr>
            <w:t> </w:t>
          </w:r>
          <w:r w:rsidRPr="00F85976">
            <w:rPr>
              <w:rFonts w:ascii="Verdana" w:hAnsi="Verdana"/>
              <w:sz w:val="16"/>
              <w:lang w:val="bg-BG"/>
            </w:rPr>
            <w:t>г.</w:t>
          </w:r>
        </w:p>
      </w:tc>
      <w:tc>
        <w:tcPr>
          <w:tcW w:w="1842" w:type="dxa"/>
        </w:tcPr>
        <w:p w:rsidR="00A449A3" w:rsidRPr="005106CE" w:rsidRDefault="00A449A3" w:rsidP="005106CE">
          <w:pPr>
            <w:ind w:right="-28"/>
            <w:rPr>
              <w:lang w:val="bg-BG"/>
            </w:rPr>
          </w:pPr>
          <w:r w:rsidRPr="00B77A3B">
            <w:rPr>
              <w:b/>
              <w:noProof/>
              <w:sz w:val="20"/>
              <w:szCs w:val="20"/>
              <w:lang w:val="bg-BG" w:eastAsia="bg-BG"/>
            </w:rPr>
            <w:drawing>
              <wp:anchor distT="0" distB="0" distL="114300" distR="114300" simplePos="0" relativeHeight="251604480" behindDoc="0" locked="0" layoutInCell="1" allowOverlap="1" wp14:anchorId="196A1C93" wp14:editId="16D6E1A3">
                <wp:simplePos x="0" y="0"/>
                <wp:positionH relativeFrom="column">
                  <wp:posOffset>-304</wp:posOffset>
                </wp:positionH>
                <wp:positionV relativeFrom="paragraph">
                  <wp:posOffset>11430</wp:posOffset>
                </wp:positionV>
                <wp:extent cx="1031240" cy="756285"/>
                <wp:effectExtent l="0" t="0" r="0" b="0"/>
                <wp:wrapNone/>
                <wp:docPr id="5" name="Picture 5" descr="ESF_logo_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2" descr="ESF_logo_small"/>
                        <pic:cNvPicPr>
                          <a:picLocks noChangeAspect="1" noChangeArrowheads="1"/>
                        </pic:cNvPicPr>
                      </pic:nvPicPr>
                      <pic:blipFill>
                        <a:blip r:embed="rId2">
                          <a:extLst>
                            <a:ext uri="{28A0092B-C50C-407E-A947-70E740481C1C}">
                              <a14:useLocalDpi xmlns:a14="http://schemas.microsoft.com/office/drawing/2010/main" val="0"/>
                            </a:ext>
                          </a:extLst>
                        </a:blip>
                        <a:srcRect l="2745" r="3319"/>
                        <a:stretch>
                          <a:fillRect/>
                        </a:stretch>
                      </pic:blipFill>
                      <pic:spPr bwMode="auto">
                        <a:xfrm>
                          <a:off x="0" y="0"/>
                          <a:ext cx="1031240" cy="756285"/>
                        </a:xfrm>
                        <a:prstGeom prst="rect">
                          <a:avLst/>
                        </a:prstGeom>
                        <a:noFill/>
                        <a:ln>
                          <a:noFill/>
                        </a:ln>
                      </pic:spPr>
                    </pic:pic>
                  </a:graphicData>
                </a:graphic>
              </wp:anchor>
            </w:drawing>
          </w:r>
        </w:p>
      </w:tc>
    </w:tr>
  </w:tbl>
  <w:p w:rsidR="00A449A3" w:rsidRPr="005106CE" w:rsidRDefault="00A449A3">
    <w:pPr>
      <w:pStyle w:val="Header"/>
      <w:rPr>
        <w:sz w:val="2"/>
        <w:szCs w:val="2"/>
        <w:lang w:val="bg-BG"/>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14350"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8"/>
      <w:gridCol w:w="11090"/>
      <w:gridCol w:w="1842"/>
    </w:tblGrid>
    <w:tr w:rsidR="00A449A3" w:rsidRPr="00816557" w:rsidTr="00117C6C">
      <w:trPr>
        <w:trHeight w:val="810"/>
      </w:trPr>
      <w:tc>
        <w:tcPr>
          <w:tcW w:w="1418" w:type="dxa"/>
        </w:tcPr>
        <w:p w:rsidR="00A449A3" w:rsidRPr="005D52A8" w:rsidRDefault="00A449A3" w:rsidP="005106CE">
          <w:pPr>
            <w:rPr>
              <w:lang w:val="bg-BG"/>
            </w:rPr>
          </w:pPr>
          <w:r w:rsidRPr="00B77A3B">
            <w:rPr>
              <w:b/>
              <w:noProof/>
              <w:sz w:val="20"/>
              <w:szCs w:val="20"/>
              <w:lang w:val="bg-BG" w:eastAsia="bg-BG"/>
            </w:rPr>
            <w:drawing>
              <wp:anchor distT="0" distB="0" distL="114300" distR="114300" simplePos="0" relativeHeight="251705856" behindDoc="0" locked="0" layoutInCell="1" allowOverlap="1" wp14:anchorId="4C9AE076" wp14:editId="6CA1FC2F">
                <wp:simplePos x="0" y="0"/>
                <wp:positionH relativeFrom="column">
                  <wp:posOffset>-68581</wp:posOffset>
                </wp:positionH>
                <wp:positionV relativeFrom="paragraph">
                  <wp:posOffset>11927</wp:posOffset>
                </wp:positionV>
                <wp:extent cx="858741" cy="752323"/>
                <wp:effectExtent l="0" t="0" r="0" b="0"/>
                <wp:wrapNone/>
                <wp:docPr id="10" name="Picture 10" descr="EU_logo_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descr="EU_logo_small"/>
                        <pic:cNvPicPr>
                          <a:picLocks noChangeAspect="1" noChangeArrowheads="1"/>
                        </pic:cNvPicPr>
                      </pic:nvPicPr>
                      <pic:blipFill>
                        <a:blip r:embed="rId1">
                          <a:extLst>
                            <a:ext uri="{28A0092B-C50C-407E-A947-70E740481C1C}">
                              <a14:useLocalDpi xmlns:a14="http://schemas.microsoft.com/office/drawing/2010/main" val="0"/>
                            </a:ext>
                          </a:extLst>
                        </a:blip>
                        <a:srcRect l="10165" r="10165"/>
                        <a:stretch>
                          <a:fillRect/>
                        </a:stretch>
                      </pic:blipFill>
                      <pic:spPr bwMode="auto">
                        <a:xfrm>
                          <a:off x="0" y="0"/>
                          <a:ext cx="858915" cy="752475"/>
                        </a:xfrm>
                        <a:prstGeom prst="rect">
                          <a:avLst/>
                        </a:prstGeom>
                        <a:noFill/>
                        <a:ln>
                          <a:noFill/>
                        </a:ln>
                      </pic:spPr>
                    </pic:pic>
                  </a:graphicData>
                </a:graphic>
              </wp:anchor>
            </w:drawing>
          </w:r>
          <w:r>
            <w:rPr>
              <w:b/>
              <w:noProof/>
              <w:sz w:val="20"/>
              <w:szCs w:val="20"/>
            </w:rPr>
            <w:ptab w:relativeTo="margin" w:alignment="center" w:leader="none"/>
          </w:r>
        </w:p>
      </w:tc>
      <w:tc>
        <w:tcPr>
          <w:tcW w:w="11090" w:type="dxa"/>
          <w:vAlign w:val="center"/>
        </w:tcPr>
        <w:p w:rsidR="00A449A3" w:rsidRDefault="00A449A3" w:rsidP="00900355">
          <w:pPr>
            <w:spacing w:before="100" w:beforeAutospacing="1" w:after="100" w:afterAutospacing="1" w:line="360" w:lineRule="auto"/>
            <w:contextualSpacing/>
            <w:jc w:val="center"/>
            <w:rPr>
              <w:rFonts w:ascii="Verdana" w:hAnsi="Verdana"/>
              <w:sz w:val="16"/>
              <w:lang w:val="bg-BG"/>
            </w:rPr>
          </w:pPr>
        </w:p>
        <w:p w:rsidR="00A449A3" w:rsidRDefault="00A449A3" w:rsidP="00900355">
          <w:pPr>
            <w:spacing w:before="100" w:beforeAutospacing="1" w:after="100" w:afterAutospacing="1" w:line="360" w:lineRule="auto"/>
            <w:contextualSpacing/>
            <w:jc w:val="center"/>
            <w:rPr>
              <w:rFonts w:ascii="Verdana" w:hAnsi="Verdana"/>
              <w:sz w:val="16"/>
              <w:lang w:val="bg-BG"/>
            </w:rPr>
          </w:pPr>
          <w:r w:rsidRPr="00F85976">
            <w:rPr>
              <w:rFonts w:ascii="Verdana" w:hAnsi="Verdana"/>
              <w:sz w:val="16"/>
              <w:lang w:val="bg-BG"/>
            </w:rPr>
            <w:t xml:space="preserve">Предварителна оценка на Оперативна програма </w:t>
          </w:r>
        </w:p>
        <w:p w:rsidR="00A449A3" w:rsidRPr="005D52A8" w:rsidRDefault="00A449A3" w:rsidP="00BD21AF">
          <w:pPr>
            <w:spacing w:before="100" w:beforeAutospacing="1" w:after="100" w:afterAutospacing="1" w:line="360" w:lineRule="auto"/>
            <w:contextualSpacing/>
            <w:jc w:val="center"/>
            <w:rPr>
              <w:rFonts w:ascii="Verdana" w:hAnsi="Verdana"/>
              <w:sz w:val="16"/>
              <w:lang w:val="bg-BG"/>
            </w:rPr>
          </w:pPr>
          <w:r w:rsidRPr="00F85976">
            <w:rPr>
              <w:rFonts w:ascii="Verdana" w:hAnsi="Verdana"/>
              <w:sz w:val="16"/>
              <w:lang w:val="bg-BG"/>
            </w:rPr>
            <w:t>„</w:t>
          </w:r>
          <w:r>
            <w:rPr>
              <w:rFonts w:ascii="Verdana" w:hAnsi="Verdana"/>
              <w:sz w:val="16"/>
              <w:lang w:val="bg-BG"/>
            </w:rPr>
            <w:t>Наука и образование за интелигентен растеж</w:t>
          </w:r>
          <w:r w:rsidRPr="00F85976">
            <w:rPr>
              <w:rFonts w:ascii="Verdana" w:hAnsi="Verdana"/>
              <w:sz w:val="16"/>
              <w:lang w:val="bg-BG"/>
            </w:rPr>
            <w:t>” 2014–2020</w:t>
          </w:r>
          <w:r>
            <w:rPr>
              <w:rFonts w:ascii="Verdana" w:hAnsi="Verdana"/>
              <w:sz w:val="16"/>
            </w:rPr>
            <w:t> </w:t>
          </w:r>
          <w:r w:rsidRPr="00F85976">
            <w:rPr>
              <w:rFonts w:ascii="Verdana" w:hAnsi="Verdana"/>
              <w:sz w:val="16"/>
              <w:lang w:val="bg-BG"/>
            </w:rPr>
            <w:t>г.</w:t>
          </w:r>
        </w:p>
      </w:tc>
      <w:tc>
        <w:tcPr>
          <w:tcW w:w="1842" w:type="dxa"/>
        </w:tcPr>
        <w:p w:rsidR="00A449A3" w:rsidRPr="005106CE" w:rsidRDefault="00A449A3" w:rsidP="005106CE">
          <w:pPr>
            <w:ind w:right="-28"/>
            <w:rPr>
              <w:lang w:val="bg-BG"/>
            </w:rPr>
          </w:pPr>
          <w:r w:rsidRPr="00B77A3B">
            <w:rPr>
              <w:b/>
              <w:noProof/>
              <w:sz w:val="20"/>
              <w:szCs w:val="20"/>
              <w:lang w:val="bg-BG" w:eastAsia="bg-BG"/>
            </w:rPr>
            <w:drawing>
              <wp:anchor distT="0" distB="0" distL="114300" distR="114300" simplePos="0" relativeHeight="251731456" behindDoc="0" locked="0" layoutInCell="1" allowOverlap="1" wp14:anchorId="1D5497CE" wp14:editId="51506FB5">
                <wp:simplePos x="0" y="0"/>
                <wp:positionH relativeFrom="column">
                  <wp:posOffset>-304</wp:posOffset>
                </wp:positionH>
                <wp:positionV relativeFrom="paragraph">
                  <wp:posOffset>11430</wp:posOffset>
                </wp:positionV>
                <wp:extent cx="1031240" cy="756285"/>
                <wp:effectExtent l="0" t="0" r="0" b="0"/>
                <wp:wrapNone/>
                <wp:docPr id="13" name="Picture 13" descr="ESF_logo_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2" descr="ESF_logo_small"/>
                        <pic:cNvPicPr>
                          <a:picLocks noChangeAspect="1" noChangeArrowheads="1"/>
                        </pic:cNvPicPr>
                      </pic:nvPicPr>
                      <pic:blipFill>
                        <a:blip r:embed="rId2">
                          <a:extLst>
                            <a:ext uri="{28A0092B-C50C-407E-A947-70E740481C1C}">
                              <a14:useLocalDpi xmlns:a14="http://schemas.microsoft.com/office/drawing/2010/main" val="0"/>
                            </a:ext>
                          </a:extLst>
                        </a:blip>
                        <a:srcRect l="2745" r="3319"/>
                        <a:stretch>
                          <a:fillRect/>
                        </a:stretch>
                      </pic:blipFill>
                      <pic:spPr bwMode="auto">
                        <a:xfrm>
                          <a:off x="0" y="0"/>
                          <a:ext cx="1031240" cy="756285"/>
                        </a:xfrm>
                        <a:prstGeom prst="rect">
                          <a:avLst/>
                        </a:prstGeom>
                        <a:noFill/>
                        <a:ln>
                          <a:noFill/>
                        </a:ln>
                      </pic:spPr>
                    </pic:pic>
                  </a:graphicData>
                </a:graphic>
              </wp:anchor>
            </w:drawing>
          </w:r>
        </w:p>
      </w:tc>
    </w:tr>
  </w:tbl>
  <w:p w:rsidR="00A449A3" w:rsidRPr="005106CE" w:rsidRDefault="00A449A3">
    <w:pPr>
      <w:pStyle w:val="Header"/>
      <w:rPr>
        <w:sz w:val="2"/>
        <w:szCs w:val="2"/>
        <w:lang w:val="bg-BG"/>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9072"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8"/>
      <w:gridCol w:w="5812"/>
      <w:gridCol w:w="1842"/>
    </w:tblGrid>
    <w:tr w:rsidR="00A449A3" w:rsidRPr="00816557" w:rsidTr="00900355">
      <w:trPr>
        <w:trHeight w:val="810"/>
      </w:trPr>
      <w:tc>
        <w:tcPr>
          <w:tcW w:w="1418" w:type="dxa"/>
        </w:tcPr>
        <w:p w:rsidR="00A449A3" w:rsidRPr="005D52A8" w:rsidRDefault="00A449A3" w:rsidP="005106CE">
          <w:pPr>
            <w:rPr>
              <w:lang w:val="bg-BG"/>
            </w:rPr>
          </w:pPr>
          <w:r w:rsidRPr="00B77A3B">
            <w:rPr>
              <w:b/>
              <w:noProof/>
              <w:sz w:val="20"/>
              <w:szCs w:val="20"/>
              <w:lang w:val="bg-BG" w:eastAsia="bg-BG"/>
            </w:rPr>
            <w:drawing>
              <wp:anchor distT="0" distB="0" distL="114300" distR="114300" simplePos="0" relativeHeight="251762176" behindDoc="0" locked="0" layoutInCell="1" allowOverlap="1" wp14:anchorId="4249D5FC" wp14:editId="25A30774">
                <wp:simplePos x="0" y="0"/>
                <wp:positionH relativeFrom="column">
                  <wp:posOffset>-68581</wp:posOffset>
                </wp:positionH>
                <wp:positionV relativeFrom="paragraph">
                  <wp:posOffset>11927</wp:posOffset>
                </wp:positionV>
                <wp:extent cx="858741" cy="752323"/>
                <wp:effectExtent l="0" t="0" r="0" b="0"/>
                <wp:wrapNone/>
                <wp:docPr id="25" name="Picture 25" descr="EU_logo_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descr="EU_logo_small"/>
                        <pic:cNvPicPr>
                          <a:picLocks noChangeAspect="1" noChangeArrowheads="1"/>
                        </pic:cNvPicPr>
                      </pic:nvPicPr>
                      <pic:blipFill>
                        <a:blip r:embed="rId1">
                          <a:extLst>
                            <a:ext uri="{28A0092B-C50C-407E-A947-70E740481C1C}">
                              <a14:useLocalDpi xmlns:a14="http://schemas.microsoft.com/office/drawing/2010/main" val="0"/>
                            </a:ext>
                          </a:extLst>
                        </a:blip>
                        <a:srcRect l="10165" r="10165"/>
                        <a:stretch>
                          <a:fillRect/>
                        </a:stretch>
                      </pic:blipFill>
                      <pic:spPr bwMode="auto">
                        <a:xfrm>
                          <a:off x="0" y="0"/>
                          <a:ext cx="858915" cy="752475"/>
                        </a:xfrm>
                        <a:prstGeom prst="rect">
                          <a:avLst/>
                        </a:prstGeom>
                        <a:noFill/>
                        <a:ln>
                          <a:noFill/>
                        </a:ln>
                      </pic:spPr>
                    </pic:pic>
                  </a:graphicData>
                </a:graphic>
              </wp:anchor>
            </w:drawing>
          </w:r>
          <w:r>
            <w:rPr>
              <w:b/>
              <w:noProof/>
              <w:sz w:val="20"/>
              <w:szCs w:val="20"/>
            </w:rPr>
            <w:ptab w:relativeTo="margin" w:alignment="center" w:leader="none"/>
          </w:r>
        </w:p>
      </w:tc>
      <w:tc>
        <w:tcPr>
          <w:tcW w:w="5812" w:type="dxa"/>
          <w:vAlign w:val="center"/>
        </w:tcPr>
        <w:p w:rsidR="00A449A3" w:rsidRDefault="00A449A3" w:rsidP="00900355">
          <w:pPr>
            <w:spacing w:before="100" w:beforeAutospacing="1" w:after="100" w:afterAutospacing="1" w:line="360" w:lineRule="auto"/>
            <w:contextualSpacing/>
            <w:jc w:val="center"/>
            <w:rPr>
              <w:rFonts w:ascii="Verdana" w:hAnsi="Verdana"/>
              <w:sz w:val="16"/>
              <w:lang w:val="bg-BG"/>
            </w:rPr>
          </w:pPr>
        </w:p>
        <w:p w:rsidR="00A449A3" w:rsidRDefault="00A449A3" w:rsidP="00900355">
          <w:pPr>
            <w:spacing w:before="100" w:beforeAutospacing="1" w:after="100" w:afterAutospacing="1" w:line="360" w:lineRule="auto"/>
            <w:contextualSpacing/>
            <w:jc w:val="center"/>
            <w:rPr>
              <w:rFonts w:ascii="Verdana" w:hAnsi="Verdana"/>
              <w:sz w:val="16"/>
              <w:lang w:val="bg-BG"/>
            </w:rPr>
          </w:pPr>
          <w:r w:rsidRPr="00F85976">
            <w:rPr>
              <w:rFonts w:ascii="Verdana" w:hAnsi="Verdana"/>
              <w:sz w:val="16"/>
              <w:lang w:val="bg-BG"/>
            </w:rPr>
            <w:t xml:space="preserve">Предварителна оценка на Оперативна програма </w:t>
          </w:r>
        </w:p>
        <w:p w:rsidR="00A449A3" w:rsidRPr="005D52A8" w:rsidRDefault="00A449A3" w:rsidP="00BD21AF">
          <w:pPr>
            <w:spacing w:before="100" w:beforeAutospacing="1" w:after="100" w:afterAutospacing="1" w:line="360" w:lineRule="auto"/>
            <w:contextualSpacing/>
            <w:jc w:val="center"/>
            <w:rPr>
              <w:rFonts w:ascii="Verdana" w:hAnsi="Verdana"/>
              <w:sz w:val="16"/>
              <w:lang w:val="bg-BG"/>
            </w:rPr>
          </w:pPr>
          <w:r w:rsidRPr="00F85976">
            <w:rPr>
              <w:rFonts w:ascii="Verdana" w:hAnsi="Verdana"/>
              <w:sz w:val="16"/>
              <w:lang w:val="bg-BG"/>
            </w:rPr>
            <w:t>„</w:t>
          </w:r>
          <w:r>
            <w:rPr>
              <w:rFonts w:ascii="Verdana" w:hAnsi="Verdana"/>
              <w:sz w:val="16"/>
              <w:lang w:val="bg-BG"/>
            </w:rPr>
            <w:t>Наука и образование за интелигентен растеж</w:t>
          </w:r>
          <w:r w:rsidRPr="00F85976">
            <w:rPr>
              <w:rFonts w:ascii="Verdana" w:hAnsi="Verdana"/>
              <w:sz w:val="16"/>
              <w:lang w:val="bg-BG"/>
            </w:rPr>
            <w:t>” 2014–2020</w:t>
          </w:r>
          <w:r>
            <w:rPr>
              <w:rFonts w:ascii="Verdana" w:hAnsi="Verdana"/>
              <w:sz w:val="16"/>
            </w:rPr>
            <w:t> </w:t>
          </w:r>
          <w:r w:rsidRPr="00F85976">
            <w:rPr>
              <w:rFonts w:ascii="Verdana" w:hAnsi="Verdana"/>
              <w:sz w:val="16"/>
              <w:lang w:val="bg-BG"/>
            </w:rPr>
            <w:t>г.</w:t>
          </w:r>
        </w:p>
      </w:tc>
      <w:tc>
        <w:tcPr>
          <w:tcW w:w="1842" w:type="dxa"/>
        </w:tcPr>
        <w:p w:rsidR="00A449A3" w:rsidRPr="005106CE" w:rsidRDefault="00A449A3" w:rsidP="005106CE">
          <w:pPr>
            <w:ind w:right="-28"/>
            <w:rPr>
              <w:lang w:val="bg-BG"/>
            </w:rPr>
          </w:pPr>
          <w:r w:rsidRPr="00B77A3B">
            <w:rPr>
              <w:b/>
              <w:noProof/>
              <w:sz w:val="20"/>
              <w:szCs w:val="20"/>
              <w:lang w:val="bg-BG" w:eastAsia="bg-BG"/>
            </w:rPr>
            <w:drawing>
              <wp:anchor distT="0" distB="0" distL="114300" distR="114300" simplePos="0" relativeHeight="251763200" behindDoc="0" locked="0" layoutInCell="1" allowOverlap="1" wp14:anchorId="7A61BDFC" wp14:editId="12C26C61">
                <wp:simplePos x="0" y="0"/>
                <wp:positionH relativeFrom="column">
                  <wp:posOffset>-304</wp:posOffset>
                </wp:positionH>
                <wp:positionV relativeFrom="paragraph">
                  <wp:posOffset>11430</wp:posOffset>
                </wp:positionV>
                <wp:extent cx="1031240" cy="756285"/>
                <wp:effectExtent l="0" t="0" r="0" b="0"/>
                <wp:wrapNone/>
                <wp:docPr id="27" name="Picture 27" descr="ESF_logo_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2" descr="ESF_logo_small"/>
                        <pic:cNvPicPr>
                          <a:picLocks noChangeAspect="1" noChangeArrowheads="1"/>
                        </pic:cNvPicPr>
                      </pic:nvPicPr>
                      <pic:blipFill>
                        <a:blip r:embed="rId2">
                          <a:extLst>
                            <a:ext uri="{28A0092B-C50C-407E-A947-70E740481C1C}">
                              <a14:useLocalDpi xmlns:a14="http://schemas.microsoft.com/office/drawing/2010/main" val="0"/>
                            </a:ext>
                          </a:extLst>
                        </a:blip>
                        <a:srcRect l="2745" r="3319"/>
                        <a:stretch>
                          <a:fillRect/>
                        </a:stretch>
                      </pic:blipFill>
                      <pic:spPr bwMode="auto">
                        <a:xfrm>
                          <a:off x="0" y="0"/>
                          <a:ext cx="1031240" cy="756285"/>
                        </a:xfrm>
                        <a:prstGeom prst="rect">
                          <a:avLst/>
                        </a:prstGeom>
                        <a:noFill/>
                        <a:ln>
                          <a:noFill/>
                        </a:ln>
                      </pic:spPr>
                    </pic:pic>
                  </a:graphicData>
                </a:graphic>
              </wp:anchor>
            </w:drawing>
          </w:r>
        </w:p>
      </w:tc>
    </w:tr>
  </w:tbl>
  <w:p w:rsidR="00A449A3" w:rsidRPr="005106CE" w:rsidRDefault="00A449A3">
    <w:pPr>
      <w:pStyle w:val="Header"/>
      <w:rPr>
        <w:sz w:val="2"/>
        <w:szCs w:val="2"/>
        <w:lang w:val="bg-BG"/>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3"/>
    <w:multiLevelType w:val="singleLevel"/>
    <w:tmpl w:val="B03A2460"/>
    <w:lvl w:ilvl="0">
      <w:start w:val="1"/>
      <w:numFmt w:val="bullet"/>
      <w:pStyle w:val="ListDash"/>
      <w:lvlText w:val=""/>
      <w:lvlJc w:val="left"/>
      <w:pPr>
        <w:tabs>
          <w:tab w:val="num" w:pos="643"/>
        </w:tabs>
        <w:ind w:left="643" w:hanging="360"/>
      </w:pPr>
      <w:rPr>
        <w:rFonts w:ascii="Symbol" w:hAnsi="Symbol" w:hint="default"/>
      </w:rPr>
    </w:lvl>
  </w:abstractNum>
  <w:abstractNum w:abstractNumId="1">
    <w:nsid w:val="01E01209"/>
    <w:multiLevelType w:val="hybridMultilevel"/>
    <w:tmpl w:val="FE00F892"/>
    <w:lvl w:ilvl="0" w:tplc="C20AB612">
      <w:start w:val="1"/>
      <w:numFmt w:val="bullet"/>
      <w:pStyle w:val="wygbullets"/>
      <w:lvlText w:val=""/>
      <w:lvlJc w:val="left"/>
      <w:pPr>
        <w:tabs>
          <w:tab w:val="num" w:pos="360"/>
        </w:tabs>
        <w:ind w:left="360" w:hanging="360"/>
      </w:pPr>
      <w:rPr>
        <w:rFonts w:ascii="Symbol" w:hAnsi="Symbol" w:hint="default"/>
      </w:rPr>
    </w:lvl>
    <w:lvl w:ilvl="1" w:tplc="08090003">
      <w:start w:val="1"/>
      <w:numFmt w:val="bullet"/>
      <w:lvlText w:val="o"/>
      <w:lvlJc w:val="left"/>
      <w:pPr>
        <w:tabs>
          <w:tab w:val="num" w:pos="360"/>
        </w:tabs>
        <w:ind w:left="360" w:hanging="360"/>
      </w:pPr>
      <w:rPr>
        <w:rFonts w:ascii="Courier New" w:hAnsi="Courier New" w:hint="default"/>
      </w:rPr>
    </w:lvl>
    <w:lvl w:ilvl="2" w:tplc="08090005">
      <w:start w:val="1"/>
      <w:numFmt w:val="bullet"/>
      <w:lvlText w:val=""/>
      <w:lvlJc w:val="left"/>
      <w:pPr>
        <w:tabs>
          <w:tab w:val="num" w:pos="1080"/>
        </w:tabs>
        <w:ind w:left="1080" w:hanging="360"/>
      </w:pPr>
      <w:rPr>
        <w:rFonts w:ascii="Wingdings" w:hAnsi="Wingdings" w:hint="default"/>
      </w:rPr>
    </w:lvl>
    <w:lvl w:ilvl="3" w:tplc="08090001" w:tentative="1">
      <w:start w:val="1"/>
      <w:numFmt w:val="bullet"/>
      <w:lvlText w:val=""/>
      <w:lvlJc w:val="left"/>
      <w:pPr>
        <w:tabs>
          <w:tab w:val="num" w:pos="1800"/>
        </w:tabs>
        <w:ind w:left="1800" w:hanging="360"/>
      </w:pPr>
      <w:rPr>
        <w:rFonts w:ascii="Symbol" w:hAnsi="Symbol" w:hint="default"/>
      </w:rPr>
    </w:lvl>
    <w:lvl w:ilvl="4" w:tplc="08090003" w:tentative="1">
      <w:start w:val="1"/>
      <w:numFmt w:val="bullet"/>
      <w:lvlText w:val="o"/>
      <w:lvlJc w:val="left"/>
      <w:pPr>
        <w:tabs>
          <w:tab w:val="num" w:pos="2520"/>
        </w:tabs>
        <w:ind w:left="2520" w:hanging="360"/>
      </w:pPr>
      <w:rPr>
        <w:rFonts w:ascii="Courier New" w:hAnsi="Courier New" w:hint="default"/>
      </w:rPr>
    </w:lvl>
    <w:lvl w:ilvl="5" w:tplc="08090005" w:tentative="1">
      <w:start w:val="1"/>
      <w:numFmt w:val="bullet"/>
      <w:lvlText w:val=""/>
      <w:lvlJc w:val="left"/>
      <w:pPr>
        <w:tabs>
          <w:tab w:val="num" w:pos="3240"/>
        </w:tabs>
        <w:ind w:left="3240" w:hanging="360"/>
      </w:pPr>
      <w:rPr>
        <w:rFonts w:ascii="Wingdings" w:hAnsi="Wingdings" w:hint="default"/>
      </w:rPr>
    </w:lvl>
    <w:lvl w:ilvl="6" w:tplc="08090001" w:tentative="1">
      <w:start w:val="1"/>
      <w:numFmt w:val="bullet"/>
      <w:lvlText w:val=""/>
      <w:lvlJc w:val="left"/>
      <w:pPr>
        <w:tabs>
          <w:tab w:val="num" w:pos="3960"/>
        </w:tabs>
        <w:ind w:left="3960" w:hanging="360"/>
      </w:pPr>
      <w:rPr>
        <w:rFonts w:ascii="Symbol" w:hAnsi="Symbol" w:hint="default"/>
      </w:rPr>
    </w:lvl>
    <w:lvl w:ilvl="7" w:tplc="08090003" w:tentative="1">
      <w:start w:val="1"/>
      <w:numFmt w:val="bullet"/>
      <w:lvlText w:val="o"/>
      <w:lvlJc w:val="left"/>
      <w:pPr>
        <w:tabs>
          <w:tab w:val="num" w:pos="4680"/>
        </w:tabs>
        <w:ind w:left="4680" w:hanging="360"/>
      </w:pPr>
      <w:rPr>
        <w:rFonts w:ascii="Courier New" w:hAnsi="Courier New" w:hint="default"/>
      </w:rPr>
    </w:lvl>
    <w:lvl w:ilvl="8" w:tplc="08090005" w:tentative="1">
      <w:start w:val="1"/>
      <w:numFmt w:val="bullet"/>
      <w:lvlText w:val=""/>
      <w:lvlJc w:val="left"/>
      <w:pPr>
        <w:tabs>
          <w:tab w:val="num" w:pos="5400"/>
        </w:tabs>
        <w:ind w:left="5400" w:hanging="360"/>
      </w:pPr>
      <w:rPr>
        <w:rFonts w:ascii="Wingdings" w:hAnsi="Wingdings" w:hint="default"/>
      </w:rPr>
    </w:lvl>
  </w:abstractNum>
  <w:abstractNum w:abstractNumId="2">
    <w:nsid w:val="02356708"/>
    <w:multiLevelType w:val="hybridMultilevel"/>
    <w:tmpl w:val="B6BCDA9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
    <w:nsid w:val="03C43012"/>
    <w:multiLevelType w:val="hybridMultilevel"/>
    <w:tmpl w:val="C226A62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
    <w:nsid w:val="04613936"/>
    <w:multiLevelType w:val="multilevel"/>
    <w:tmpl w:val="6EB473C0"/>
    <w:lvl w:ilvl="0">
      <w:start w:val="1"/>
      <w:numFmt w:val="decimal"/>
      <w:lvlText w:val="%1."/>
      <w:lvlJc w:val="left"/>
      <w:pPr>
        <w:ind w:left="720" w:hanging="360"/>
      </w:pPr>
      <w:rPr>
        <w:rFonts w:cs="Times New Roman" w:hint="default"/>
      </w:rPr>
    </w:lvl>
    <w:lvl w:ilvl="1">
      <w:start w:val="1"/>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1800" w:hanging="1440"/>
      </w:pPr>
      <w:rPr>
        <w:rFonts w:cs="Times New Roman" w:hint="default"/>
      </w:rPr>
    </w:lvl>
  </w:abstractNum>
  <w:abstractNum w:abstractNumId="5">
    <w:nsid w:val="04A859C1"/>
    <w:multiLevelType w:val="hybridMultilevel"/>
    <w:tmpl w:val="DDD84F5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
    <w:nsid w:val="04B96156"/>
    <w:multiLevelType w:val="hybridMultilevel"/>
    <w:tmpl w:val="C7AEE2D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
    <w:nsid w:val="0506782A"/>
    <w:multiLevelType w:val="hybridMultilevel"/>
    <w:tmpl w:val="884EB476"/>
    <w:lvl w:ilvl="0" w:tplc="4FB67476">
      <w:start w:val="2"/>
      <w:numFmt w:val="bullet"/>
      <w:lvlText w:val="-"/>
      <w:lvlJc w:val="left"/>
      <w:pPr>
        <w:ind w:left="720" w:hanging="360"/>
      </w:pPr>
      <w:rPr>
        <w:rFonts w:ascii="Times New Roman" w:eastAsia="SimSun" w:hAnsi="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
    <w:nsid w:val="06D37CBC"/>
    <w:multiLevelType w:val="hybridMultilevel"/>
    <w:tmpl w:val="3A542DDC"/>
    <w:lvl w:ilvl="0" w:tplc="04020001">
      <w:start w:val="1"/>
      <w:numFmt w:val="bullet"/>
      <w:lvlText w:val=""/>
      <w:lvlJc w:val="left"/>
      <w:pPr>
        <w:ind w:left="720" w:hanging="360"/>
      </w:pPr>
      <w:rPr>
        <w:rFonts w:ascii="Symbol" w:hAnsi="Symbol" w:cs="Symbol"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cs="Wingdings" w:hint="default"/>
      </w:rPr>
    </w:lvl>
    <w:lvl w:ilvl="3" w:tplc="04020001">
      <w:start w:val="1"/>
      <w:numFmt w:val="bullet"/>
      <w:lvlText w:val=""/>
      <w:lvlJc w:val="left"/>
      <w:pPr>
        <w:ind w:left="2880" w:hanging="360"/>
      </w:pPr>
      <w:rPr>
        <w:rFonts w:ascii="Symbol" w:hAnsi="Symbol" w:cs="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cs="Wingdings" w:hint="default"/>
      </w:rPr>
    </w:lvl>
    <w:lvl w:ilvl="6" w:tplc="04020001">
      <w:start w:val="1"/>
      <w:numFmt w:val="bullet"/>
      <w:lvlText w:val=""/>
      <w:lvlJc w:val="left"/>
      <w:pPr>
        <w:ind w:left="5040" w:hanging="360"/>
      </w:pPr>
      <w:rPr>
        <w:rFonts w:ascii="Symbol" w:hAnsi="Symbol" w:cs="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cs="Wingdings" w:hint="default"/>
      </w:rPr>
    </w:lvl>
  </w:abstractNum>
  <w:abstractNum w:abstractNumId="9">
    <w:nsid w:val="070C76E5"/>
    <w:multiLevelType w:val="hybridMultilevel"/>
    <w:tmpl w:val="F482D2C2"/>
    <w:name w:val="WW8Num172"/>
    <w:lvl w:ilvl="0" w:tplc="688644E8">
      <w:start w:val="1"/>
      <w:numFmt w:val="bullet"/>
      <w:lvlText w:val=""/>
      <w:lvlJc w:val="left"/>
      <w:pPr>
        <w:tabs>
          <w:tab w:val="num" w:pos="720"/>
        </w:tabs>
        <w:ind w:left="720" w:hanging="360"/>
      </w:pPr>
      <w:rPr>
        <w:rFonts w:ascii="Wingdings" w:hAnsi="Wingdings" w:hint="default"/>
      </w:rPr>
    </w:lvl>
    <w:lvl w:ilvl="1" w:tplc="04020003" w:tentative="1">
      <w:start w:val="1"/>
      <w:numFmt w:val="bullet"/>
      <w:lvlText w:val="o"/>
      <w:lvlJc w:val="left"/>
      <w:pPr>
        <w:tabs>
          <w:tab w:val="num" w:pos="1728"/>
        </w:tabs>
        <w:ind w:left="1728" w:hanging="360"/>
      </w:pPr>
      <w:rPr>
        <w:rFonts w:ascii="Courier New" w:hAnsi="Courier New" w:cs="Courier New" w:hint="default"/>
      </w:rPr>
    </w:lvl>
    <w:lvl w:ilvl="2" w:tplc="04020005" w:tentative="1">
      <w:start w:val="1"/>
      <w:numFmt w:val="bullet"/>
      <w:lvlText w:val=""/>
      <w:lvlJc w:val="left"/>
      <w:pPr>
        <w:tabs>
          <w:tab w:val="num" w:pos="2448"/>
        </w:tabs>
        <w:ind w:left="2448" w:hanging="360"/>
      </w:pPr>
      <w:rPr>
        <w:rFonts w:ascii="Wingdings" w:hAnsi="Wingdings" w:hint="default"/>
      </w:rPr>
    </w:lvl>
    <w:lvl w:ilvl="3" w:tplc="04020001" w:tentative="1">
      <w:start w:val="1"/>
      <w:numFmt w:val="bullet"/>
      <w:lvlText w:val=""/>
      <w:lvlJc w:val="left"/>
      <w:pPr>
        <w:tabs>
          <w:tab w:val="num" w:pos="3168"/>
        </w:tabs>
        <w:ind w:left="3168" w:hanging="360"/>
      </w:pPr>
      <w:rPr>
        <w:rFonts w:ascii="Symbol" w:hAnsi="Symbol" w:hint="default"/>
      </w:rPr>
    </w:lvl>
    <w:lvl w:ilvl="4" w:tplc="04020003" w:tentative="1">
      <w:start w:val="1"/>
      <w:numFmt w:val="bullet"/>
      <w:lvlText w:val="o"/>
      <w:lvlJc w:val="left"/>
      <w:pPr>
        <w:tabs>
          <w:tab w:val="num" w:pos="3888"/>
        </w:tabs>
        <w:ind w:left="3888" w:hanging="360"/>
      </w:pPr>
      <w:rPr>
        <w:rFonts w:ascii="Courier New" w:hAnsi="Courier New" w:cs="Courier New" w:hint="default"/>
      </w:rPr>
    </w:lvl>
    <w:lvl w:ilvl="5" w:tplc="04020005" w:tentative="1">
      <w:start w:val="1"/>
      <w:numFmt w:val="bullet"/>
      <w:lvlText w:val=""/>
      <w:lvlJc w:val="left"/>
      <w:pPr>
        <w:tabs>
          <w:tab w:val="num" w:pos="4608"/>
        </w:tabs>
        <w:ind w:left="4608" w:hanging="360"/>
      </w:pPr>
      <w:rPr>
        <w:rFonts w:ascii="Wingdings" w:hAnsi="Wingdings" w:hint="default"/>
      </w:rPr>
    </w:lvl>
    <w:lvl w:ilvl="6" w:tplc="04020001" w:tentative="1">
      <w:start w:val="1"/>
      <w:numFmt w:val="bullet"/>
      <w:lvlText w:val=""/>
      <w:lvlJc w:val="left"/>
      <w:pPr>
        <w:tabs>
          <w:tab w:val="num" w:pos="5328"/>
        </w:tabs>
        <w:ind w:left="5328" w:hanging="360"/>
      </w:pPr>
      <w:rPr>
        <w:rFonts w:ascii="Symbol" w:hAnsi="Symbol" w:hint="default"/>
      </w:rPr>
    </w:lvl>
    <w:lvl w:ilvl="7" w:tplc="04020003" w:tentative="1">
      <w:start w:val="1"/>
      <w:numFmt w:val="bullet"/>
      <w:lvlText w:val="o"/>
      <w:lvlJc w:val="left"/>
      <w:pPr>
        <w:tabs>
          <w:tab w:val="num" w:pos="6048"/>
        </w:tabs>
        <w:ind w:left="6048" w:hanging="360"/>
      </w:pPr>
      <w:rPr>
        <w:rFonts w:ascii="Courier New" w:hAnsi="Courier New" w:cs="Courier New" w:hint="default"/>
      </w:rPr>
    </w:lvl>
    <w:lvl w:ilvl="8" w:tplc="04020005" w:tentative="1">
      <w:start w:val="1"/>
      <w:numFmt w:val="bullet"/>
      <w:lvlText w:val=""/>
      <w:lvlJc w:val="left"/>
      <w:pPr>
        <w:tabs>
          <w:tab w:val="num" w:pos="6768"/>
        </w:tabs>
        <w:ind w:left="6768" w:hanging="360"/>
      </w:pPr>
      <w:rPr>
        <w:rFonts w:ascii="Wingdings" w:hAnsi="Wingdings" w:hint="default"/>
      </w:rPr>
    </w:lvl>
  </w:abstractNum>
  <w:abstractNum w:abstractNumId="10">
    <w:nsid w:val="07382EF7"/>
    <w:multiLevelType w:val="hybridMultilevel"/>
    <w:tmpl w:val="CBEA7EB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1">
    <w:nsid w:val="0798705A"/>
    <w:multiLevelType w:val="hybridMultilevel"/>
    <w:tmpl w:val="F9361338"/>
    <w:lvl w:ilvl="0" w:tplc="9DAC4E78">
      <w:start w:val="1"/>
      <w:numFmt w:val="bullet"/>
      <w:lvlText w:val="◦"/>
      <w:lvlJc w:val="left"/>
      <w:pPr>
        <w:ind w:left="720" w:hanging="360"/>
      </w:pPr>
      <w:rPr>
        <w:rFonts w:ascii="Courier New" w:hAnsi="Courier New" w:hint="default"/>
        <w:color w:val="507396"/>
        <w:sz w:val="28"/>
        <w:u w:color="0070C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2">
    <w:nsid w:val="085E240D"/>
    <w:multiLevelType w:val="hybridMultilevel"/>
    <w:tmpl w:val="A22CE50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3">
    <w:nsid w:val="0D3908AB"/>
    <w:multiLevelType w:val="hybridMultilevel"/>
    <w:tmpl w:val="4EAEE9D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4">
    <w:nsid w:val="15BA309A"/>
    <w:multiLevelType w:val="hybridMultilevel"/>
    <w:tmpl w:val="89F0456A"/>
    <w:lvl w:ilvl="0" w:tplc="99327A66">
      <w:start w:val="1"/>
      <w:numFmt w:val="bullet"/>
      <w:lvlText w:val=""/>
      <w:lvlJc w:val="left"/>
      <w:pPr>
        <w:ind w:left="720" w:hanging="360"/>
      </w:pPr>
      <w:rPr>
        <w:rFonts w:ascii="Symbol" w:hAnsi="Symbol" w:hint="default"/>
        <w:color w:val="auto"/>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5">
    <w:nsid w:val="16142460"/>
    <w:multiLevelType w:val="hybridMultilevel"/>
    <w:tmpl w:val="83283A96"/>
    <w:lvl w:ilvl="0" w:tplc="04020001">
      <w:start w:val="1"/>
      <w:numFmt w:val="bullet"/>
      <w:lvlText w:val=""/>
      <w:lvlJc w:val="left"/>
      <w:pPr>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16">
    <w:nsid w:val="1D155F1E"/>
    <w:multiLevelType w:val="hybridMultilevel"/>
    <w:tmpl w:val="A364C79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7">
    <w:nsid w:val="209B06EA"/>
    <w:multiLevelType w:val="hybridMultilevel"/>
    <w:tmpl w:val="F7C877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15C0DD5"/>
    <w:multiLevelType w:val="hybridMultilevel"/>
    <w:tmpl w:val="A0CAD0E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9">
    <w:nsid w:val="227359D2"/>
    <w:multiLevelType w:val="hybridMultilevel"/>
    <w:tmpl w:val="D7567BAE"/>
    <w:lvl w:ilvl="0" w:tplc="68342B68">
      <w:start w:val="1"/>
      <w:numFmt w:val="decimal"/>
      <w:lvlText w:val="3.%1."/>
      <w:lvlJc w:val="left"/>
      <w:pPr>
        <w:ind w:left="630" w:hanging="360"/>
      </w:pPr>
      <w:rPr>
        <w:rFonts w:hint="default"/>
        <w:b w:val="0"/>
      </w:rPr>
    </w:lvl>
    <w:lvl w:ilvl="1" w:tplc="A1023E16">
      <w:start w:val="1"/>
      <w:numFmt w:val="decimal"/>
      <w:lvlText w:val="1.%2."/>
      <w:lvlJc w:val="left"/>
      <w:pPr>
        <w:ind w:left="1350" w:hanging="360"/>
      </w:pPr>
      <w:rPr>
        <w:rFonts w:hint="default"/>
        <w:b w:val="0"/>
      </w:r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20">
    <w:nsid w:val="25BD6E8C"/>
    <w:multiLevelType w:val="hybridMultilevel"/>
    <w:tmpl w:val="6E90F8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63E52B0"/>
    <w:multiLevelType w:val="multilevel"/>
    <w:tmpl w:val="198EE176"/>
    <w:lvl w:ilvl="0">
      <w:start w:val="4"/>
      <w:numFmt w:val="decimal"/>
      <w:lvlText w:val="%1"/>
      <w:lvlJc w:val="left"/>
      <w:pPr>
        <w:ind w:left="360" w:hanging="360"/>
      </w:pPr>
      <w:rPr>
        <w:rFonts w:hint="default"/>
        <w:b/>
      </w:rPr>
    </w:lvl>
    <w:lvl w:ilvl="1">
      <w:start w:val="1"/>
      <w:numFmt w:val="decimal"/>
      <w:lvlText w:val="%1.%2"/>
      <w:lvlJc w:val="left"/>
      <w:pPr>
        <w:ind w:left="502" w:hanging="360"/>
      </w:pPr>
      <w:rPr>
        <w:rFonts w:hint="default"/>
        <w:b w:val="0"/>
      </w:rPr>
    </w:lvl>
    <w:lvl w:ilvl="2">
      <w:start w:val="1"/>
      <w:numFmt w:val="decimal"/>
      <w:lvlText w:val="%1.%2.%3"/>
      <w:lvlJc w:val="left"/>
      <w:pPr>
        <w:ind w:left="1004"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288" w:hanging="72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1932" w:hanging="108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576" w:hanging="1440"/>
      </w:pPr>
      <w:rPr>
        <w:rFonts w:hint="default"/>
        <w:b/>
      </w:rPr>
    </w:lvl>
  </w:abstractNum>
  <w:abstractNum w:abstractNumId="22">
    <w:nsid w:val="272913F4"/>
    <w:multiLevelType w:val="hybridMultilevel"/>
    <w:tmpl w:val="4448FABE"/>
    <w:lvl w:ilvl="0" w:tplc="C69E348C">
      <w:start w:val="1"/>
      <w:numFmt w:val="bullet"/>
      <w:lvlText w:val=""/>
      <w:lvlJc w:val="left"/>
      <w:pPr>
        <w:tabs>
          <w:tab w:val="num" w:pos="1428"/>
        </w:tabs>
        <w:ind w:left="1428" w:hanging="360"/>
      </w:pPr>
      <w:rPr>
        <w:rFonts w:ascii="Wingdings" w:hAnsi="Wingdings" w:hint="default"/>
        <w:sz w:val="20"/>
      </w:rPr>
    </w:lvl>
    <w:lvl w:ilvl="1" w:tplc="FFFFFFFF">
      <w:start w:val="1"/>
      <w:numFmt w:val="bullet"/>
      <w:lvlText w:val="o"/>
      <w:lvlJc w:val="left"/>
      <w:pPr>
        <w:tabs>
          <w:tab w:val="num" w:pos="2148"/>
        </w:tabs>
        <w:ind w:left="2148" w:hanging="360"/>
      </w:pPr>
      <w:rPr>
        <w:rFonts w:ascii="Courier New" w:hAnsi="Courier New" w:cs="Times New Roman" w:hint="default"/>
      </w:rPr>
    </w:lvl>
    <w:lvl w:ilvl="2" w:tplc="FFFFFFFF">
      <w:start w:val="1"/>
      <w:numFmt w:val="bullet"/>
      <w:lvlText w:val=""/>
      <w:lvlJc w:val="left"/>
      <w:pPr>
        <w:tabs>
          <w:tab w:val="num" w:pos="2868"/>
        </w:tabs>
        <w:ind w:left="2868" w:hanging="360"/>
      </w:pPr>
      <w:rPr>
        <w:rFonts w:ascii="Wingdings" w:hAnsi="Wingdings" w:hint="default"/>
      </w:rPr>
    </w:lvl>
    <w:lvl w:ilvl="3" w:tplc="FFFFFFFF">
      <w:start w:val="1"/>
      <w:numFmt w:val="bullet"/>
      <w:lvlText w:val=""/>
      <w:lvlJc w:val="left"/>
      <w:pPr>
        <w:tabs>
          <w:tab w:val="num" w:pos="3588"/>
        </w:tabs>
        <w:ind w:left="3588" w:hanging="360"/>
      </w:pPr>
      <w:rPr>
        <w:rFonts w:ascii="Symbol" w:hAnsi="Symbol" w:hint="default"/>
      </w:rPr>
    </w:lvl>
    <w:lvl w:ilvl="4" w:tplc="FFFFFFFF">
      <w:start w:val="1"/>
      <w:numFmt w:val="bullet"/>
      <w:lvlText w:val="o"/>
      <w:lvlJc w:val="left"/>
      <w:pPr>
        <w:tabs>
          <w:tab w:val="num" w:pos="4308"/>
        </w:tabs>
        <w:ind w:left="4308" w:hanging="360"/>
      </w:pPr>
      <w:rPr>
        <w:rFonts w:ascii="Courier New" w:hAnsi="Courier New" w:cs="Times New Roman" w:hint="default"/>
      </w:rPr>
    </w:lvl>
    <w:lvl w:ilvl="5" w:tplc="FFFFFFFF">
      <w:start w:val="1"/>
      <w:numFmt w:val="bullet"/>
      <w:lvlText w:val=""/>
      <w:lvlJc w:val="left"/>
      <w:pPr>
        <w:tabs>
          <w:tab w:val="num" w:pos="5028"/>
        </w:tabs>
        <w:ind w:left="5028" w:hanging="360"/>
      </w:pPr>
      <w:rPr>
        <w:rFonts w:ascii="Wingdings" w:hAnsi="Wingdings" w:hint="default"/>
      </w:rPr>
    </w:lvl>
    <w:lvl w:ilvl="6" w:tplc="FFFFFFFF">
      <w:start w:val="1"/>
      <w:numFmt w:val="bullet"/>
      <w:lvlText w:val=""/>
      <w:lvlJc w:val="left"/>
      <w:pPr>
        <w:tabs>
          <w:tab w:val="num" w:pos="5748"/>
        </w:tabs>
        <w:ind w:left="5748" w:hanging="360"/>
      </w:pPr>
      <w:rPr>
        <w:rFonts w:ascii="Symbol" w:hAnsi="Symbol" w:hint="default"/>
      </w:rPr>
    </w:lvl>
    <w:lvl w:ilvl="7" w:tplc="FFFFFFFF">
      <w:start w:val="1"/>
      <w:numFmt w:val="bullet"/>
      <w:lvlText w:val="o"/>
      <w:lvlJc w:val="left"/>
      <w:pPr>
        <w:tabs>
          <w:tab w:val="num" w:pos="6468"/>
        </w:tabs>
        <w:ind w:left="6468" w:hanging="360"/>
      </w:pPr>
      <w:rPr>
        <w:rFonts w:ascii="Courier New" w:hAnsi="Courier New" w:cs="Times New Roman" w:hint="default"/>
      </w:rPr>
    </w:lvl>
    <w:lvl w:ilvl="8" w:tplc="FFFFFFFF">
      <w:start w:val="1"/>
      <w:numFmt w:val="bullet"/>
      <w:lvlText w:val=""/>
      <w:lvlJc w:val="left"/>
      <w:pPr>
        <w:tabs>
          <w:tab w:val="num" w:pos="7188"/>
        </w:tabs>
        <w:ind w:left="7188" w:hanging="360"/>
      </w:pPr>
      <w:rPr>
        <w:rFonts w:ascii="Wingdings" w:hAnsi="Wingdings" w:hint="default"/>
      </w:rPr>
    </w:lvl>
  </w:abstractNum>
  <w:abstractNum w:abstractNumId="23">
    <w:nsid w:val="27AD465C"/>
    <w:multiLevelType w:val="hybridMultilevel"/>
    <w:tmpl w:val="EB3CDDC6"/>
    <w:lvl w:ilvl="0" w:tplc="A48AAD36">
      <w:start w:val="1"/>
      <w:numFmt w:val="decimal"/>
      <w:lvlText w:val="1.%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28020443"/>
    <w:multiLevelType w:val="hybridMultilevel"/>
    <w:tmpl w:val="80804470"/>
    <w:lvl w:ilvl="0" w:tplc="CA244DF4">
      <w:start w:val="1"/>
      <w:numFmt w:val="decimal"/>
      <w:lvlText w:val="2.%1."/>
      <w:lvlJc w:val="left"/>
      <w:pPr>
        <w:ind w:left="862" w:hanging="360"/>
      </w:pPr>
      <w:rPr>
        <w:rFonts w:hint="default"/>
        <w:b w:val="0"/>
      </w:r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25">
    <w:nsid w:val="28753DD9"/>
    <w:multiLevelType w:val="hybridMultilevel"/>
    <w:tmpl w:val="D82CBFF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6">
    <w:nsid w:val="291A1593"/>
    <w:multiLevelType w:val="hybridMultilevel"/>
    <w:tmpl w:val="BF8610A8"/>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7">
    <w:nsid w:val="2A900165"/>
    <w:multiLevelType w:val="hybridMultilevel"/>
    <w:tmpl w:val="3E5E0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2CB730E5"/>
    <w:multiLevelType w:val="hybridMultilevel"/>
    <w:tmpl w:val="1ED6508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9">
    <w:nsid w:val="2D6114C4"/>
    <w:multiLevelType w:val="hybridMultilevel"/>
    <w:tmpl w:val="D15A10C0"/>
    <w:lvl w:ilvl="0" w:tplc="0402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0">
    <w:nsid w:val="2E953E9F"/>
    <w:multiLevelType w:val="hybridMultilevel"/>
    <w:tmpl w:val="16701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2F6F6677"/>
    <w:multiLevelType w:val="hybridMultilevel"/>
    <w:tmpl w:val="5C660D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31AD7DFD"/>
    <w:multiLevelType w:val="hybridMultilevel"/>
    <w:tmpl w:val="59F687C0"/>
    <w:lvl w:ilvl="0" w:tplc="ACEEBD82">
      <w:start w:val="1"/>
      <w:numFmt w:val="decimal"/>
      <w:lvlText w:val="2.%1."/>
      <w:lvlJc w:val="left"/>
      <w:pPr>
        <w:ind w:left="630" w:hanging="360"/>
      </w:pPr>
      <w:rPr>
        <w:rFonts w:hint="default"/>
        <w:b w:val="0"/>
      </w:rPr>
    </w:lvl>
    <w:lvl w:ilvl="1" w:tplc="A1023E16">
      <w:start w:val="1"/>
      <w:numFmt w:val="decimal"/>
      <w:lvlText w:val="1.%2."/>
      <w:lvlJc w:val="left"/>
      <w:pPr>
        <w:ind w:left="1350" w:hanging="360"/>
      </w:pPr>
      <w:rPr>
        <w:rFonts w:hint="default"/>
        <w:b w:val="0"/>
      </w:r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33">
    <w:nsid w:val="34920DBB"/>
    <w:multiLevelType w:val="hybridMultilevel"/>
    <w:tmpl w:val="BEFE9610"/>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4">
    <w:nsid w:val="351A557F"/>
    <w:multiLevelType w:val="hybridMultilevel"/>
    <w:tmpl w:val="A182949C"/>
    <w:lvl w:ilvl="0" w:tplc="5C84BE92">
      <w:start w:val="1"/>
      <w:numFmt w:val="decimal"/>
      <w:lvlText w:val="1.%1."/>
      <w:lvlJc w:val="left"/>
      <w:pPr>
        <w:ind w:left="862" w:hanging="360"/>
      </w:pPr>
      <w:rPr>
        <w:rFonts w:hint="default"/>
        <w:b/>
      </w:rPr>
    </w:lvl>
    <w:lvl w:ilvl="1" w:tplc="91F04504">
      <w:start w:val="1"/>
      <w:numFmt w:val="decimal"/>
      <w:lvlText w:val="1.%2."/>
      <w:lvlJc w:val="left"/>
      <w:pPr>
        <w:ind w:left="1582" w:hanging="360"/>
      </w:pPr>
      <w:rPr>
        <w:rFonts w:hint="default"/>
        <w:b w:val="0"/>
      </w:r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35">
    <w:nsid w:val="360C2F60"/>
    <w:multiLevelType w:val="hybridMultilevel"/>
    <w:tmpl w:val="75A2532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6">
    <w:nsid w:val="36B04ED4"/>
    <w:multiLevelType w:val="hybridMultilevel"/>
    <w:tmpl w:val="A4BE821A"/>
    <w:lvl w:ilvl="0" w:tplc="04090001">
      <w:start w:val="1"/>
      <w:numFmt w:val="bullet"/>
      <w:lvlText w:val=""/>
      <w:lvlJc w:val="left"/>
      <w:pPr>
        <w:ind w:left="788" w:hanging="360"/>
      </w:pPr>
      <w:rPr>
        <w:rFonts w:ascii="Symbol" w:hAnsi="Symbol" w:hint="default"/>
      </w:rPr>
    </w:lvl>
    <w:lvl w:ilvl="1" w:tplc="04090003" w:tentative="1">
      <w:start w:val="1"/>
      <w:numFmt w:val="bullet"/>
      <w:lvlText w:val="o"/>
      <w:lvlJc w:val="left"/>
      <w:pPr>
        <w:ind w:left="1508" w:hanging="360"/>
      </w:pPr>
      <w:rPr>
        <w:rFonts w:ascii="Courier New" w:hAnsi="Courier New" w:cs="Courier New" w:hint="default"/>
      </w:rPr>
    </w:lvl>
    <w:lvl w:ilvl="2" w:tplc="04090005" w:tentative="1">
      <w:start w:val="1"/>
      <w:numFmt w:val="bullet"/>
      <w:lvlText w:val=""/>
      <w:lvlJc w:val="left"/>
      <w:pPr>
        <w:ind w:left="2228" w:hanging="360"/>
      </w:pPr>
      <w:rPr>
        <w:rFonts w:ascii="Wingdings" w:hAnsi="Wingdings" w:hint="default"/>
      </w:rPr>
    </w:lvl>
    <w:lvl w:ilvl="3" w:tplc="04090001" w:tentative="1">
      <w:start w:val="1"/>
      <w:numFmt w:val="bullet"/>
      <w:lvlText w:val=""/>
      <w:lvlJc w:val="left"/>
      <w:pPr>
        <w:ind w:left="2948" w:hanging="360"/>
      </w:pPr>
      <w:rPr>
        <w:rFonts w:ascii="Symbol" w:hAnsi="Symbol" w:hint="default"/>
      </w:rPr>
    </w:lvl>
    <w:lvl w:ilvl="4" w:tplc="04090003" w:tentative="1">
      <w:start w:val="1"/>
      <w:numFmt w:val="bullet"/>
      <w:lvlText w:val="o"/>
      <w:lvlJc w:val="left"/>
      <w:pPr>
        <w:ind w:left="3668" w:hanging="360"/>
      </w:pPr>
      <w:rPr>
        <w:rFonts w:ascii="Courier New" w:hAnsi="Courier New" w:cs="Courier New" w:hint="default"/>
      </w:rPr>
    </w:lvl>
    <w:lvl w:ilvl="5" w:tplc="04090005" w:tentative="1">
      <w:start w:val="1"/>
      <w:numFmt w:val="bullet"/>
      <w:lvlText w:val=""/>
      <w:lvlJc w:val="left"/>
      <w:pPr>
        <w:ind w:left="4388" w:hanging="360"/>
      </w:pPr>
      <w:rPr>
        <w:rFonts w:ascii="Wingdings" w:hAnsi="Wingdings" w:hint="default"/>
      </w:rPr>
    </w:lvl>
    <w:lvl w:ilvl="6" w:tplc="04090001" w:tentative="1">
      <w:start w:val="1"/>
      <w:numFmt w:val="bullet"/>
      <w:lvlText w:val=""/>
      <w:lvlJc w:val="left"/>
      <w:pPr>
        <w:ind w:left="5108" w:hanging="360"/>
      </w:pPr>
      <w:rPr>
        <w:rFonts w:ascii="Symbol" w:hAnsi="Symbol" w:hint="default"/>
      </w:rPr>
    </w:lvl>
    <w:lvl w:ilvl="7" w:tplc="04090003" w:tentative="1">
      <w:start w:val="1"/>
      <w:numFmt w:val="bullet"/>
      <w:lvlText w:val="o"/>
      <w:lvlJc w:val="left"/>
      <w:pPr>
        <w:ind w:left="5828" w:hanging="360"/>
      </w:pPr>
      <w:rPr>
        <w:rFonts w:ascii="Courier New" w:hAnsi="Courier New" w:cs="Courier New" w:hint="default"/>
      </w:rPr>
    </w:lvl>
    <w:lvl w:ilvl="8" w:tplc="04090005" w:tentative="1">
      <w:start w:val="1"/>
      <w:numFmt w:val="bullet"/>
      <w:lvlText w:val=""/>
      <w:lvlJc w:val="left"/>
      <w:pPr>
        <w:ind w:left="6548" w:hanging="360"/>
      </w:pPr>
      <w:rPr>
        <w:rFonts w:ascii="Wingdings" w:hAnsi="Wingdings" w:hint="default"/>
      </w:rPr>
    </w:lvl>
  </w:abstractNum>
  <w:abstractNum w:abstractNumId="37">
    <w:nsid w:val="377B1751"/>
    <w:multiLevelType w:val="hybridMultilevel"/>
    <w:tmpl w:val="6B82F2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39EF5322"/>
    <w:multiLevelType w:val="hybridMultilevel"/>
    <w:tmpl w:val="0AD29ECC"/>
    <w:lvl w:ilvl="0" w:tplc="0402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39">
    <w:nsid w:val="3BA736C9"/>
    <w:multiLevelType w:val="singleLevel"/>
    <w:tmpl w:val="9BD81856"/>
    <w:name w:val="8,972824E-02"/>
    <w:lvl w:ilvl="0">
      <w:start w:val="1"/>
      <w:numFmt w:val="bullet"/>
      <w:pStyle w:val="Tiret0"/>
      <w:lvlText w:val="–"/>
      <w:lvlJc w:val="left"/>
      <w:pPr>
        <w:tabs>
          <w:tab w:val="num" w:pos="850"/>
        </w:tabs>
        <w:ind w:left="850" w:hanging="850"/>
      </w:pPr>
    </w:lvl>
  </w:abstractNum>
  <w:abstractNum w:abstractNumId="40">
    <w:nsid w:val="3BFC7284"/>
    <w:multiLevelType w:val="multilevel"/>
    <w:tmpl w:val="E8D24792"/>
    <w:lvl w:ilvl="0">
      <w:start w:val="5"/>
      <w:numFmt w:val="decimal"/>
      <w:lvlText w:val="%1"/>
      <w:lvlJc w:val="left"/>
      <w:pPr>
        <w:ind w:left="360" w:hanging="360"/>
      </w:pPr>
      <w:rPr>
        <w:rFonts w:hint="default"/>
        <w:b/>
      </w:rPr>
    </w:lvl>
    <w:lvl w:ilvl="1">
      <w:start w:val="1"/>
      <w:numFmt w:val="decimal"/>
      <w:lvlText w:val="%1.%2"/>
      <w:lvlJc w:val="left"/>
      <w:pPr>
        <w:ind w:left="502" w:hanging="360"/>
      </w:pPr>
      <w:rPr>
        <w:rFonts w:hint="default"/>
        <w:b w:val="0"/>
      </w:rPr>
    </w:lvl>
    <w:lvl w:ilvl="2">
      <w:start w:val="1"/>
      <w:numFmt w:val="decimal"/>
      <w:lvlText w:val="%1.%2.%3"/>
      <w:lvlJc w:val="left"/>
      <w:pPr>
        <w:ind w:left="1004"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288" w:hanging="72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1932" w:hanging="108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576" w:hanging="1440"/>
      </w:pPr>
      <w:rPr>
        <w:rFonts w:hint="default"/>
        <w:b/>
      </w:rPr>
    </w:lvl>
  </w:abstractNum>
  <w:abstractNum w:abstractNumId="41">
    <w:nsid w:val="3C332306"/>
    <w:multiLevelType w:val="multilevel"/>
    <w:tmpl w:val="1EF4C3CA"/>
    <w:lvl w:ilvl="0">
      <w:start w:val="5"/>
      <w:numFmt w:val="decimal"/>
      <w:lvlText w:val="%1"/>
      <w:lvlJc w:val="left"/>
      <w:pPr>
        <w:ind w:left="405" w:hanging="405"/>
      </w:pPr>
      <w:rPr>
        <w:rFonts w:hint="default"/>
      </w:rPr>
    </w:lvl>
    <w:lvl w:ilvl="1">
      <w:start w:val="1"/>
      <w:numFmt w:val="decimal"/>
      <w:pStyle w:val="Heading3"/>
      <w:lvlText w:val="4.%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2">
    <w:nsid w:val="3CF00E18"/>
    <w:multiLevelType w:val="singleLevel"/>
    <w:tmpl w:val="4E1A982C"/>
    <w:lvl w:ilvl="0">
      <w:start w:val="1"/>
      <w:numFmt w:val="bullet"/>
      <w:pStyle w:val="ListBullet"/>
      <w:lvlText w:val=""/>
      <w:lvlJc w:val="left"/>
      <w:pPr>
        <w:tabs>
          <w:tab w:val="num" w:pos="283"/>
        </w:tabs>
        <w:ind w:left="283" w:hanging="283"/>
      </w:pPr>
      <w:rPr>
        <w:rFonts w:ascii="Symbol" w:hAnsi="Symbol"/>
      </w:rPr>
    </w:lvl>
  </w:abstractNum>
  <w:abstractNum w:abstractNumId="43">
    <w:nsid w:val="3E086778"/>
    <w:multiLevelType w:val="hybridMultilevel"/>
    <w:tmpl w:val="794AA0DC"/>
    <w:lvl w:ilvl="0" w:tplc="ACEEBD82">
      <w:start w:val="1"/>
      <w:numFmt w:val="decimal"/>
      <w:lvlText w:val="2.%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3E8113D0"/>
    <w:multiLevelType w:val="hybridMultilevel"/>
    <w:tmpl w:val="A130231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5">
    <w:nsid w:val="3EE236D5"/>
    <w:multiLevelType w:val="hybridMultilevel"/>
    <w:tmpl w:val="8D8E01E4"/>
    <w:lvl w:ilvl="0" w:tplc="ACEEBD82">
      <w:start w:val="1"/>
      <w:numFmt w:val="decimal"/>
      <w:lvlText w:val="2.%1."/>
      <w:lvlJc w:val="left"/>
      <w:pPr>
        <w:ind w:left="1350" w:hanging="360"/>
      </w:pPr>
      <w:rPr>
        <w:rFonts w:hint="default"/>
        <w:b w:val="0"/>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46">
    <w:nsid w:val="40233A4F"/>
    <w:multiLevelType w:val="multilevel"/>
    <w:tmpl w:val="38CAEBA8"/>
    <w:lvl w:ilvl="0">
      <w:start w:val="1"/>
      <w:numFmt w:val="bullet"/>
      <w:pStyle w:val="Style1"/>
      <w:lvlText w:val=""/>
      <w:lvlJc w:val="left"/>
      <w:pPr>
        <w:tabs>
          <w:tab w:val="num" w:pos="360"/>
        </w:tabs>
        <w:ind w:left="360" w:hanging="360"/>
      </w:pPr>
      <w:rPr>
        <w:rFonts w:ascii="Symbol" w:hAnsi="Symbol" w:hint="default"/>
        <w:color w:val="39BB9E"/>
      </w:rPr>
    </w:lvl>
    <w:lvl w:ilvl="1">
      <w:start w:val="1"/>
      <w:numFmt w:val="bullet"/>
      <w:lvlText w:val=""/>
      <w:lvlJc w:val="left"/>
      <w:pPr>
        <w:tabs>
          <w:tab w:val="num" w:pos="720"/>
        </w:tabs>
        <w:ind w:left="720" w:hanging="360"/>
      </w:pPr>
      <w:rPr>
        <w:rFonts w:ascii="Wingdings" w:hAnsi="Wingdings"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7">
    <w:nsid w:val="466C551F"/>
    <w:multiLevelType w:val="multilevel"/>
    <w:tmpl w:val="87EABC1A"/>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8">
    <w:nsid w:val="469C1A6A"/>
    <w:multiLevelType w:val="hybridMultilevel"/>
    <w:tmpl w:val="3058231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9">
    <w:nsid w:val="47D62227"/>
    <w:multiLevelType w:val="hybridMultilevel"/>
    <w:tmpl w:val="DD4A1F5C"/>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hint="default"/>
      </w:rPr>
    </w:lvl>
    <w:lvl w:ilvl="6" w:tplc="04020001">
      <w:start w:val="1"/>
      <w:numFmt w:val="bullet"/>
      <w:lvlText w:val=""/>
      <w:lvlJc w:val="left"/>
      <w:pPr>
        <w:ind w:left="5040" w:hanging="360"/>
      </w:pPr>
      <w:rPr>
        <w:rFonts w:ascii="Symbol" w:hAnsi="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hint="default"/>
      </w:rPr>
    </w:lvl>
  </w:abstractNum>
  <w:abstractNum w:abstractNumId="50">
    <w:nsid w:val="47F13D20"/>
    <w:multiLevelType w:val="hybridMultilevel"/>
    <w:tmpl w:val="830E153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1">
    <w:nsid w:val="48E71505"/>
    <w:multiLevelType w:val="hybridMultilevel"/>
    <w:tmpl w:val="0CAEF25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2">
    <w:nsid w:val="490474D6"/>
    <w:multiLevelType w:val="hybridMultilevel"/>
    <w:tmpl w:val="D8860D62"/>
    <w:lvl w:ilvl="0" w:tplc="ACEEBD82">
      <w:start w:val="1"/>
      <w:numFmt w:val="decimal"/>
      <w:lvlText w:val="2.%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497D7B4D"/>
    <w:multiLevelType w:val="multilevel"/>
    <w:tmpl w:val="0082C730"/>
    <w:lvl w:ilvl="0">
      <w:start w:val="1"/>
      <w:numFmt w:val="decimal"/>
      <w:lvlText w:val="%1"/>
      <w:lvlJc w:val="left"/>
      <w:pPr>
        <w:ind w:left="927"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4">
    <w:nsid w:val="49D007BA"/>
    <w:multiLevelType w:val="hybridMultilevel"/>
    <w:tmpl w:val="579C78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4A7D5517"/>
    <w:multiLevelType w:val="hybridMultilevel"/>
    <w:tmpl w:val="4934A1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4A933CFF"/>
    <w:multiLevelType w:val="hybridMultilevel"/>
    <w:tmpl w:val="757A5788"/>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7">
    <w:nsid w:val="4D934009"/>
    <w:multiLevelType w:val="hybridMultilevel"/>
    <w:tmpl w:val="9AA2AB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4DD77F8A"/>
    <w:multiLevelType w:val="hybridMultilevel"/>
    <w:tmpl w:val="458A3B64"/>
    <w:lvl w:ilvl="0" w:tplc="0409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9">
    <w:nsid w:val="514D3EF6"/>
    <w:multiLevelType w:val="hybridMultilevel"/>
    <w:tmpl w:val="7196EE3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0">
    <w:nsid w:val="5204380B"/>
    <w:multiLevelType w:val="hybridMultilevel"/>
    <w:tmpl w:val="0E96D0AC"/>
    <w:lvl w:ilvl="0" w:tplc="ED522ADC">
      <w:start w:val="1"/>
      <w:numFmt w:val="decimal"/>
      <w:lvlText w:val="1.%1."/>
      <w:lvlJc w:val="left"/>
      <w:pPr>
        <w:ind w:left="1260" w:hanging="360"/>
      </w:pPr>
      <w:rPr>
        <w:rFonts w:hint="default"/>
        <w:b w:val="0"/>
      </w:rPr>
    </w:lvl>
    <w:lvl w:ilvl="1" w:tplc="04090019">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61">
    <w:nsid w:val="534D76E6"/>
    <w:multiLevelType w:val="hybridMultilevel"/>
    <w:tmpl w:val="6B400AF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2">
    <w:nsid w:val="53F40313"/>
    <w:multiLevelType w:val="hybridMultilevel"/>
    <w:tmpl w:val="6E8430A2"/>
    <w:lvl w:ilvl="0" w:tplc="3B0C83C0">
      <w:start w:val="1"/>
      <w:numFmt w:val="decimal"/>
      <w:lvlText w:val="3.%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556B351F"/>
    <w:multiLevelType w:val="multilevel"/>
    <w:tmpl w:val="AC84E028"/>
    <w:lvl w:ilvl="0">
      <w:start w:val="1"/>
      <w:numFmt w:val="upperRoman"/>
      <w:pStyle w:val="wygheadinglevel1"/>
      <w:lvlText w:val="%1."/>
      <w:lvlJc w:val="left"/>
      <w:pPr>
        <w:tabs>
          <w:tab w:val="num" w:pos="567"/>
        </w:tabs>
        <w:ind w:left="567" w:hanging="567"/>
      </w:pPr>
      <w:rPr>
        <w:rFonts w:cs="Times New Roman" w:hint="default"/>
      </w:rPr>
    </w:lvl>
    <w:lvl w:ilvl="1">
      <w:start w:val="1"/>
      <w:numFmt w:val="decimal"/>
      <w:pStyle w:val="wygheadinglevel2"/>
      <w:suff w:val="space"/>
      <w:lvlText w:val="%1.%2."/>
      <w:lvlJc w:val="left"/>
      <w:pPr>
        <w:ind w:left="284" w:hanging="284"/>
      </w:pPr>
      <w:rPr>
        <w:rFonts w:cs="Times New Roman" w:hint="default"/>
      </w:rPr>
    </w:lvl>
    <w:lvl w:ilvl="2">
      <w:start w:val="1"/>
      <w:numFmt w:val="decimal"/>
      <w:pStyle w:val="wygheadinglevel3"/>
      <w:lvlText w:val="%1.%2.%3."/>
      <w:lvlJc w:val="left"/>
      <w:pPr>
        <w:tabs>
          <w:tab w:val="num" w:pos="851"/>
        </w:tabs>
        <w:ind w:left="851" w:hanging="851"/>
      </w:pPr>
      <w:rPr>
        <w:rFonts w:ascii="Tahoma" w:hAnsi="Tahoma" w:cs="Times New Roman" w:hint="default"/>
        <w:sz w:val="20"/>
      </w:rPr>
    </w:lvl>
    <w:lvl w:ilvl="3">
      <w:start w:val="1"/>
      <w:numFmt w:val="decimal"/>
      <w:lvlText w:val="%1.%2.%3.%4."/>
      <w:lvlJc w:val="left"/>
      <w:pPr>
        <w:tabs>
          <w:tab w:val="num" w:pos="2160"/>
        </w:tabs>
        <w:ind w:left="1728" w:hanging="648"/>
      </w:pPr>
      <w:rPr>
        <w:rFonts w:cs="Times New Roman" w:hint="default"/>
      </w:rPr>
    </w:lvl>
    <w:lvl w:ilvl="4">
      <w:start w:val="1"/>
      <w:numFmt w:val="decimal"/>
      <w:lvlText w:val="%1.%2.%3.%4.%5."/>
      <w:lvlJc w:val="left"/>
      <w:pPr>
        <w:tabs>
          <w:tab w:val="num" w:pos="288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960"/>
        </w:tabs>
        <w:ind w:left="3240" w:hanging="1080"/>
      </w:pPr>
      <w:rPr>
        <w:rFonts w:cs="Times New Roman" w:hint="default"/>
      </w:rPr>
    </w:lvl>
    <w:lvl w:ilvl="7">
      <w:start w:val="1"/>
      <w:numFmt w:val="decimal"/>
      <w:lvlText w:val="%1.%2.%3.%4.%5.%6.%7.%8."/>
      <w:lvlJc w:val="left"/>
      <w:pPr>
        <w:tabs>
          <w:tab w:val="num" w:pos="468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64">
    <w:nsid w:val="55707EDC"/>
    <w:multiLevelType w:val="hybridMultilevel"/>
    <w:tmpl w:val="089A7B3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5">
    <w:nsid w:val="56745E93"/>
    <w:multiLevelType w:val="hybridMultilevel"/>
    <w:tmpl w:val="F1526F58"/>
    <w:lvl w:ilvl="0" w:tplc="02C0D958">
      <w:start w:val="1"/>
      <w:numFmt w:val="decimal"/>
      <w:lvlText w:val="4.%1."/>
      <w:lvlJc w:val="left"/>
      <w:pPr>
        <w:ind w:left="1260" w:hanging="360"/>
      </w:pPr>
      <w:rPr>
        <w:rFonts w:hint="default"/>
        <w:b w:val="0"/>
      </w:rPr>
    </w:lvl>
    <w:lvl w:ilvl="1" w:tplc="04090019">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66">
    <w:nsid w:val="58447CDB"/>
    <w:multiLevelType w:val="hybridMultilevel"/>
    <w:tmpl w:val="6D0E465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7">
    <w:nsid w:val="585C1969"/>
    <w:multiLevelType w:val="hybridMultilevel"/>
    <w:tmpl w:val="F5AC4E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58FC0D2C"/>
    <w:multiLevelType w:val="hybridMultilevel"/>
    <w:tmpl w:val="13D4131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9">
    <w:nsid w:val="596E0D43"/>
    <w:multiLevelType w:val="hybridMultilevel"/>
    <w:tmpl w:val="E300399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0">
    <w:nsid w:val="5EAF3752"/>
    <w:multiLevelType w:val="hybridMultilevel"/>
    <w:tmpl w:val="1E96E07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1">
    <w:nsid w:val="60F56B88"/>
    <w:multiLevelType w:val="hybridMultilevel"/>
    <w:tmpl w:val="1D80F7F4"/>
    <w:lvl w:ilvl="0" w:tplc="C69E348C">
      <w:start w:val="1"/>
      <w:numFmt w:val="bullet"/>
      <w:lvlText w:val=""/>
      <w:lvlJc w:val="left"/>
      <w:pPr>
        <w:tabs>
          <w:tab w:val="num" w:pos="720"/>
        </w:tabs>
        <w:ind w:left="720" w:hanging="360"/>
      </w:pPr>
      <w:rPr>
        <w:rFonts w:ascii="Wingdings" w:hAnsi="Wingdings" w:hint="default"/>
        <w:sz w:val="20"/>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2">
    <w:nsid w:val="616E776D"/>
    <w:multiLevelType w:val="hybridMultilevel"/>
    <w:tmpl w:val="AAE494C2"/>
    <w:name w:val="WW8Num1723"/>
    <w:lvl w:ilvl="0" w:tplc="688644E8">
      <w:start w:val="1"/>
      <w:numFmt w:val="bullet"/>
      <w:lvlText w:val=""/>
      <w:lvlJc w:val="left"/>
      <w:pPr>
        <w:tabs>
          <w:tab w:val="num" w:pos="432"/>
        </w:tabs>
        <w:ind w:left="432" w:hanging="360"/>
      </w:pPr>
      <w:rPr>
        <w:rFonts w:ascii="Wingdings" w:hAnsi="Wingdings" w:hint="default"/>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73">
    <w:nsid w:val="62605B64"/>
    <w:multiLevelType w:val="multilevel"/>
    <w:tmpl w:val="C7A235EE"/>
    <w:lvl w:ilvl="0">
      <w:start w:val="3"/>
      <w:numFmt w:val="decimal"/>
      <w:lvlText w:val="%1"/>
      <w:lvlJc w:val="left"/>
      <w:pPr>
        <w:ind w:left="360" w:hanging="360"/>
      </w:pPr>
      <w:rPr>
        <w:rFonts w:hint="default"/>
      </w:rPr>
    </w:lvl>
    <w:lvl w:ilvl="1">
      <w:start w:val="1"/>
      <w:numFmt w:val="decimal"/>
      <w:lvlText w:val="%1.%2"/>
      <w:lvlJc w:val="left"/>
      <w:pPr>
        <w:ind w:left="502"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288" w:hanging="72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1932" w:hanging="108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576" w:hanging="1440"/>
      </w:pPr>
      <w:rPr>
        <w:rFonts w:hint="default"/>
      </w:rPr>
    </w:lvl>
  </w:abstractNum>
  <w:abstractNum w:abstractNumId="74">
    <w:nsid w:val="62970F71"/>
    <w:multiLevelType w:val="singleLevel"/>
    <w:tmpl w:val="5AFA8C72"/>
    <w:name w:val="List Number"/>
    <w:lvl w:ilvl="0">
      <w:start w:val="1"/>
      <w:numFmt w:val="bullet"/>
      <w:pStyle w:val="Tiret2"/>
      <w:lvlText w:val="–"/>
      <w:lvlJc w:val="left"/>
      <w:pPr>
        <w:tabs>
          <w:tab w:val="num" w:pos="1984"/>
        </w:tabs>
        <w:ind w:left="1984" w:hanging="567"/>
      </w:pPr>
    </w:lvl>
  </w:abstractNum>
  <w:abstractNum w:abstractNumId="75">
    <w:nsid w:val="632540FA"/>
    <w:multiLevelType w:val="hybridMultilevel"/>
    <w:tmpl w:val="0898176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6">
    <w:nsid w:val="63852E0A"/>
    <w:multiLevelType w:val="hybridMultilevel"/>
    <w:tmpl w:val="F5E4E81C"/>
    <w:lvl w:ilvl="0" w:tplc="0402000F">
      <w:start w:val="1"/>
      <w:numFmt w:val="decimal"/>
      <w:lvlText w:val="%1."/>
      <w:lvlJc w:val="left"/>
      <w:pPr>
        <w:ind w:left="720" w:hanging="360"/>
      </w:pPr>
      <w:rPr>
        <w:spacing w:val="20"/>
      </w:rPr>
    </w:lvl>
    <w:lvl w:ilvl="1" w:tplc="04020003">
      <w:start w:val="1"/>
      <w:numFmt w:val="bullet"/>
      <w:lvlText w:val="o"/>
      <w:lvlJc w:val="left"/>
      <w:pPr>
        <w:ind w:left="1440" w:hanging="360"/>
      </w:pPr>
      <w:rPr>
        <w:rFonts w:ascii="Courier New" w:hAnsi="Courier New" w:cs="Times New Roman"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start w:val="1"/>
      <w:numFmt w:val="bullet"/>
      <w:lvlText w:val="o"/>
      <w:lvlJc w:val="left"/>
      <w:pPr>
        <w:ind w:left="3600" w:hanging="360"/>
      </w:pPr>
      <w:rPr>
        <w:rFonts w:ascii="Courier New" w:hAnsi="Courier New" w:cs="Times New Roman" w:hint="default"/>
      </w:rPr>
    </w:lvl>
    <w:lvl w:ilvl="5" w:tplc="04020005">
      <w:start w:val="1"/>
      <w:numFmt w:val="bullet"/>
      <w:lvlText w:val=""/>
      <w:lvlJc w:val="left"/>
      <w:pPr>
        <w:ind w:left="4320" w:hanging="360"/>
      </w:pPr>
      <w:rPr>
        <w:rFonts w:ascii="Wingdings" w:hAnsi="Wingdings" w:hint="default"/>
      </w:rPr>
    </w:lvl>
    <w:lvl w:ilvl="6" w:tplc="04020001">
      <w:start w:val="1"/>
      <w:numFmt w:val="bullet"/>
      <w:lvlText w:val=""/>
      <w:lvlJc w:val="left"/>
      <w:pPr>
        <w:ind w:left="5040" w:hanging="360"/>
      </w:pPr>
      <w:rPr>
        <w:rFonts w:ascii="Symbol" w:hAnsi="Symbol" w:hint="default"/>
      </w:rPr>
    </w:lvl>
    <w:lvl w:ilvl="7" w:tplc="04020003">
      <w:start w:val="1"/>
      <w:numFmt w:val="bullet"/>
      <w:lvlText w:val="o"/>
      <w:lvlJc w:val="left"/>
      <w:pPr>
        <w:ind w:left="5760" w:hanging="360"/>
      </w:pPr>
      <w:rPr>
        <w:rFonts w:ascii="Courier New" w:hAnsi="Courier New" w:cs="Times New Roman" w:hint="default"/>
      </w:rPr>
    </w:lvl>
    <w:lvl w:ilvl="8" w:tplc="04020005">
      <w:start w:val="1"/>
      <w:numFmt w:val="bullet"/>
      <w:lvlText w:val=""/>
      <w:lvlJc w:val="left"/>
      <w:pPr>
        <w:ind w:left="6480" w:hanging="360"/>
      </w:pPr>
      <w:rPr>
        <w:rFonts w:ascii="Wingdings" w:hAnsi="Wingdings" w:hint="default"/>
      </w:rPr>
    </w:lvl>
  </w:abstractNum>
  <w:abstractNum w:abstractNumId="77">
    <w:nsid w:val="638B1359"/>
    <w:multiLevelType w:val="hybridMultilevel"/>
    <w:tmpl w:val="25AA72F4"/>
    <w:lvl w:ilvl="0" w:tplc="8AA8D816">
      <w:start w:val="1"/>
      <w:numFmt w:val="decimal"/>
      <w:lvlText w:val="1.%1."/>
      <w:lvlJc w:val="left"/>
      <w:pPr>
        <w:ind w:left="630" w:hanging="360"/>
      </w:pPr>
      <w:rPr>
        <w:rFonts w:hint="default"/>
        <w:b w:val="0"/>
      </w:rPr>
    </w:lvl>
    <w:lvl w:ilvl="1" w:tplc="A1023E16">
      <w:start w:val="1"/>
      <w:numFmt w:val="decimal"/>
      <w:lvlText w:val="1.%2."/>
      <w:lvlJc w:val="left"/>
      <w:pPr>
        <w:ind w:left="1350" w:hanging="360"/>
      </w:pPr>
      <w:rPr>
        <w:rFonts w:hint="default"/>
        <w:b w:val="0"/>
      </w:r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78">
    <w:nsid w:val="64D048F0"/>
    <w:multiLevelType w:val="hybridMultilevel"/>
    <w:tmpl w:val="CE6E058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9">
    <w:nsid w:val="678650E8"/>
    <w:multiLevelType w:val="hybridMultilevel"/>
    <w:tmpl w:val="16B80442"/>
    <w:lvl w:ilvl="0" w:tplc="BF9C6DCA">
      <w:start w:val="1"/>
      <w:numFmt w:val="bullet"/>
      <w:lvlText w:val=""/>
      <w:lvlJc w:val="left"/>
      <w:pPr>
        <w:ind w:left="1080" w:hanging="360"/>
      </w:pPr>
      <w:rPr>
        <w:rFonts w:ascii="Symbol" w:hAnsi="Symbol" w:hint="default"/>
        <w:color w:val="auto"/>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80">
    <w:nsid w:val="69472473"/>
    <w:multiLevelType w:val="hybridMultilevel"/>
    <w:tmpl w:val="045A52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6A33051D"/>
    <w:multiLevelType w:val="hybridMultilevel"/>
    <w:tmpl w:val="6BC4C112"/>
    <w:lvl w:ilvl="0" w:tplc="A062496A">
      <w:start w:val="1"/>
      <w:numFmt w:val="bullet"/>
      <w:lvlText w:val=""/>
      <w:lvlJc w:val="left"/>
      <w:pPr>
        <w:tabs>
          <w:tab w:val="num" w:pos="720"/>
        </w:tabs>
        <w:ind w:left="720" w:hanging="360"/>
      </w:pPr>
      <w:rPr>
        <w:rFonts w:ascii="Wingdings" w:hAnsi="Wingdings" w:hint="default"/>
        <w:sz w:val="24"/>
        <w:szCs w:val="24"/>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82">
    <w:nsid w:val="6BA202EF"/>
    <w:multiLevelType w:val="hybridMultilevel"/>
    <w:tmpl w:val="80BE7160"/>
    <w:lvl w:ilvl="0" w:tplc="04020001">
      <w:start w:val="1"/>
      <w:numFmt w:val="bullet"/>
      <w:lvlText w:val=""/>
      <w:lvlJc w:val="left"/>
      <w:pPr>
        <w:ind w:left="720" w:hanging="360"/>
      </w:pPr>
      <w:rPr>
        <w:rFonts w:ascii="Symbol" w:hAnsi="Symbol" w:hint="default"/>
      </w:rPr>
    </w:lvl>
    <w:lvl w:ilvl="1" w:tplc="F42E0E78">
      <w:numFmt w:val="bullet"/>
      <w:lvlText w:val="•"/>
      <w:lvlJc w:val="left"/>
      <w:pPr>
        <w:ind w:left="1440" w:hanging="360"/>
      </w:pPr>
      <w:rPr>
        <w:rFonts w:ascii="Verdana" w:eastAsia="SimSun" w:hAnsi="Verdana" w:cs="Times New Roman"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3">
    <w:nsid w:val="6BE90686"/>
    <w:multiLevelType w:val="multilevel"/>
    <w:tmpl w:val="AFCEFFA4"/>
    <w:lvl w:ilvl="0">
      <w:start w:val="1"/>
      <w:numFmt w:val="decimal"/>
      <w:lvlText w:val="%1."/>
      <w:lvlJc w:val="left"/>
      <w:pPr>
        <w:ind w:left="720" w:hanging="360"/>
      </w:pPr>
    </w:lvl>
    <w:lvl w:ilvl="1">
      <w:start w:val="1"/>
      <w:numFmt w:val="decimal"/>
      <w:isLgl/>
      <w:lvlText w:val="%1.%2"/>
      <w:lvlJc w:val="left"/>
      <w:pPr>
        <w:ind w:left="3361" w:hanging="810"/>
      </w:pPr>
    </w:lvl>
    <w:lvl w:ilvl="2">
      <w:start w:val="1"/>
      <w:numFmt w:val="decimal"/>
      <w:isLgl/>
      <w:lvlText w:val="%1.%2.%3"/>
      <w:lvlJc w:val="left"/>
      <w:pPr>
        <w:ind w:left="1170" w:hanging="810"/>
      </w:pPr>
    </w:lvl>
    <w:lvl w:ilvl="3">
      <w:start w:val="1"/>
      <w:numFmt w:val="decimal"/>
      <w:isLgl/>
      <w:lvlText w:val="%1.%2.%3.%4"/>
      <w:lvlJc w:val="left"/>
      <w:pPr>
        <w:ind w:left="1440" w:hanging="1080"/>
      </w:pPr>
    </w:lvl>
    <w:lvl w:ilvl="4">
      <w:start w:val="1"/>
      <w:numFmt w:val="decimal"/>
      <w:isLgl/>
      <w:lvlText w:val="%1.%2.%3.%4.%5"/>
      <w:lvlJc w:val="left"/>
      <w:pPr>
        <w:ind w:left="1800" w:hanging="144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520" w:hanging="2160"/>
      </w:pPr>
    </w:lvl>
    <w:lvl w:ilvl="8">
      <w:start w:val="1"/>
      <w:numFmt w:val="decimal"/>
      <w:isLgl/>
      <w:lvlText w:val="%1.%2.%3.%4.%5.%6.%7.%8.%9"/>
      <w:lvlJc w:val="left"/>
      <w:pPr>
        <w:ind w:left="2520" w:hanging="2160"/>
      </w:pPr>
    </w:lvl>
  </w:abstractNum>
  <w:abstractNum w:abstractNumId="84">
    <w:nsid w:val="6C1A7038"/>
    <w:multiLevelType w:val="multilevel"/>
    <w:tmpl w:val="C3447CF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5">
    <w:nsid w:val="6CAF5779"/>
    <w:multiLevelType w:val="multilevel"/>
    <w:tmpl w:val="B6461884"/>
    <w:lvl w:ilvl="0">
      <w:start w:val="1"/>
      <w:numFmt w:val="decimal"/>
      <w:lvlText w:val="%1"/>
      <w:lvlJc w:val="left"/>
      <w:pPr>
        <w:ind w:left="360" w:hanging="360"/>
      </w:pPr>
      <w:rPr>
        <w:rFonts w:hint="default"/>
      </w:rPr>
    </w:lvl>
    <w:lvl w:ilvl="1">
      <w:start w:val="1"/>
      <w:numFmt w:val="decimal"/>
      <w:lvlText w:val="%1.%2"/>
      <w:lvlJc w:val="left"/>
      <w:pPr>
        <w:ind w:left="502" w:hanging="360"/>
      </w:pPr>
      <w:rPr>
        <w:rFonts w:hint="default"/>
        <w:b w:val="0"/>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288" w:hanging="72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1932" w:hanging="108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576" w:hanging="1440"/>
      </w:pPr>
      <w:rPr>
        <w:rFonts w:hint="default"/>
      </w:rPr>
    </w:lvl>
  </w:abstractNum>
  <w:abstractNum w:abstractNumId="86">
    <w:nsid w:val="6DBE4F39"/>
    <w:multiLevelType w:val="hybridMultilevel"/>
    <w:tmpl w:val="BFF804AA"/>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7">
    <w:nsid w:val="6F172525"/>
    <w:multiLevelType w:val="hybridMultilevel"/>
    <w:tmpl w:val="5FCEF218"/>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8">
    <w:nsid w:val="6F8922B2"/>
    <w:multiLevelType w:val="hybridMultilevel"/>
    <w:tmpl w:val="B0E279F6"/>
    <w:lvl w:ilvl="0" w:tplc="04020001">
      <w:start w:val="1"/>
      <w:numFmt w:val="bullet"/>
      <w:lvlText w:val=""/>
      <w:lvlJc w:val="left"/>
      <w:pPr>
        <w:ind w:left="787" w:hanging="360"/>
      </w:pPr>
      <w:rPr>
        <w:rFonts w:ascii="Symbol" w:hAnsi="Symbol" w:hint="default"/>
      </w:rPr>
    </w:lvl>
    <w:lvl w:ilvl="1" w:tplc="04020003" w:tentative="1">
      <w:start w:val="1"/>
      <w:numFmt w:val="bullet"/>
      <w:lvlText w:val="o"/>
      <w:lvlJc w:val="left"/>
      <w:pPr>
        <w:ind w:left="1507" w:hanging="360"/>
      </w:pPr>
      <w:rPr>
        <w:rFonts w:ascii="Courier New" w:hAnsi="Courier New" w:cs="Courier New" w:hint="default"/>
      </w:rPr>
    </w:lvl>
    <w:lvl w:ilvl="2" w:tplc="04020005" w:tentative="1">
      <w:start w:val="1"/>
      <w:numFmt w:val="bullet"/>
      <w:lvlText w:val=""/>
      <w:lvlJc w:val="left"/>
      <w:pPr>
        <w:ind w:left="2227" w:hanging="360"/>
      </w:pPr>
      <w:rPr>
        <w:rFonts w:ascii="Wingdings" w:hAnsi="Wingdings" w:hint="default"/>
      </w:rPr>
    </w:lvl>
    <w:lvl w:ilvl="3" w:tplc="04020001" w:tentative="1">
      <w:start w:val="1"/>
      <w:numFmt w:val="bullet"/>
      <w:lvlText w:val=""/>
      <w:lvlJc w:val="left"/>
      <w:pPr>
        <w:ind w:left="2947" w:hanging="360"/>
      </w:pPr>
      <w:rPr>
        <w:rFonts w:ascii="Symbol" w:hAnsi="Symbol" w:hint="default"/>
      </w:rPr>
    </w:lvl>
    <w:lvl w:ilvl="4" w:tplc="04020003" w:tentative="1">
      <w:start w:val="1"/>
      <w:numFmt w:val="bullet"/>
      <w:lvlText w:val="o"/>
      <w:lvlJc w:val="left"/>
      <w:pPr>
        <w:ind w:left="3667" w:hanging="360"/>
      </w:pPr>
      <w:rPr>
        <w:rFonts w:ascii="Courier New" w:hAnsi="Courier New" w:cs="Courier New" w:hint="default"/>
      </w:rPr>
    </w:lvl>
    <w:lvl w:ilvl="5" w:tplc="04020005" w:tentative="1">
      <w:start w:val="1"/>
      <w:numFmt w:val="bullet"/>
      <w:lvlText w:val=""/>
      <w:lvlJc w:val="left"/>
      <w:pPr>
        <w:ind w:left="4387" w:hanging="360"/>
      </w:pPr>
      <w:rPr>
        <w:rFonts w:ascii="Wingdings" w:hAnsi="Wingdings" w:hint="default"/>
      </w:rPr>
    </w:lvl>
    <w:lvl w:ilvl="6" w:tplc="04020001" w:tentative="1">
      <w:start w:val="1"/>
      <w:numFmt w:val="bullet"/>
      <w:lvlText w:val=""/>
      <w:lvlJc w:val="left"/>
      <w:pPr>
        <w:ind w:left="5107" w:hanging="360"/>
      </w:pPr>
      <w:rPr>
        <w:rFonts w:ascii="Symbol" w:hAnsi="Symbol" w:hint="default"/>
      </w:rPr>
    </w:lvl>
    <w:lvl w:ilvl="7" w:tplc="04020003" w:tentative="1">
      <w:start w:val="1"/>
      <w:numFmt w:val="bullet"/>
      <w:lvlText w:val="o"/>
      <w:lvlJc w:val="left"/>
      <w:pPr>
        <w:ind w:left="5827" w:hanging="360"/>
      </w:pPr>
      <w:rPr>
        <w:rFonts w:ascii="Courier New" w:hAnsi="Courier New" w:cs="Courier New" w:hint="default"/>
      </w:rPr>
    </w:lvl>
    <w:lvl w:ilvl="8" w:tplc="04020005" w:tentative="1">
      <w:start w:val="1"/>
      <w:numFmt w:val="bullet"/>
      <w:lvlText w:val=""/>
      <w:lvlJc w:val="left"/>
      <w:pPr>
        <w:ind w:left="6547" w:hanging="360"/>
      </w:pPr>
      <w:rPr>
        <w:rFonts w:ascii="Wingdings" w:hAnsi="Wingdings" w:hint="default"/>
      </w:rPr>
    </w:lvl>
  </w:abstractNum>
  <w:abstractNum w:abstractNumId="89">
    <w:nsid w:val="725B66D0"/>
    <w:multiLevelType w:val="hybridMultilevel"/>
    <w:tmpl w:val="FF8AE6B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0">
    <w:nsid w:val="72E805ED"/>
    <w:multiLevelType w:val="hybridMultilevel"/>
    <w:tmpl w:val="1492AB86"/>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1">
    <w:nsid w:val="75273DB0"/>
    <w:multiLevelType w:val="hybridMultilevel"/>
    <w:tmpl w:val="962C95B0"/>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2">
    <w:nsid w:val="75BD23FF"/>
    <w:multiLevelType w:val="hybridMultilevel"/>
    <w:tmpl w:val="40B248D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3">
    <w:nsid w:val="75BF7A82"/>
    <w:multiLevelType w:val="hybridMultilevel"/>
    <w:tmpl w:val="665EAC88"/>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94">
    <w:nsid w:val="76A905BD"/>
    <w:multiLevelType w:val="hybridMultilevel"/>
    <w:tmpl w:val="8A50A3C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5">
    <w:nsid w:val="76EB61E3"/>
    <w:multiLevelType w:val="hybridMultilevel"/>
    <w:tmpl w:val="E60AC1B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6">
    <w:nsid w:val="77402ED7"/>
    <w:multiLevelType w:val="multilevel"/>
    <w:tmpl w:val="10F28300"/>
    <w:lvl w:ilvl="0">
      <w:start w:val="6"/>
      <w:numFmt w:val="decimal"/>
      <w:lvlText w:val="%1"/>
      <w:lvlJc w:val="left"/>
      <w:pPr>
        <w:ind w:left="360" w:hanging="360"/>
      </w:pPr>
      <w:rPr>
        <w:rFonts w:hint="default"/>
        <w:b/>
      </w:rPr>
    </w:lvl>
    <w:lvl w:ilvl="1">
      <w:start w:val="1"/>
      <w:numFmt w:val="decimal"/>
      <w:lvlText w:val="%1.%2"/>
      <w:lvlJc w:val="left"/>
      <w:pPr>
        <w:ind w:left="502" w:hanging="360"/>
      </w:pPr>
      <w:rPr>
        <w:rFonts w:hint="default"/>
        <w:b w:val="0"/>
      </w:rPr>
    </w:lvl>
    <w:lvl w:ilvl="2">
      <w:start w:val="1"/>
      <w:numFmt w:val="decimal"/>
      <w:lvlText w:val="%1.%2.%3"/>
      <w:lvlJc w:val="left"/>
      <w:pPr>
        <w:ind w:left="1004"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288" w:hanging="72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1932" w:hanging="108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576" w:hanging="1440"/>
      </w:pPr>
      <w:rPr>
        <w:rFonts w:hint="default"/>
        <w:b/>
      </w:rPr>
    </w:lvl>
  </w:abstractNum>
  <w:abstractNum w:abstractNumId="97">
    <w:nsid w:val="77E42F4E"/>
    <w:multiLevelType w:val="hybridMultilevel"/>
    <w:tmpl w:val="DCD208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nsid w:val="77EC5A98"/>
    <w:multiLevelType w:val="multilevel"/>
    <w:tmpl w:val="63F631D2"/>
    <w:lvl w:ilvl="0">
      <w:start w:val="4"/>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9">
    <w:nsid w:val="7961444B"/>
    <w:multiLevelType w:val="hybridMultilevel"/>
    <w:tmpl w:val="7866586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0">
    <w:nsid w:val="7DF564A3"/>
    <w:multiLevelType w:val="hybridMultilevel"/>
    <w:tmpl w:val="F8DCAB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7E1C58DB"/>
    <w:multiLevelType w:val="hybridMultilevel"/>
    <w:tmpl w:val="4B766D0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2">
    <w:nsid w:val="7E3226A8"/>
    <w:multiLevelType w:val="hybridMultilevel"/>
    <w:tmpl w:val="7A3236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7EE90314"/>
    <w:multiLevelType w:val="hybridMultilevel"/>
    <w:tmpl w:val="90BABF0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4">
    <w:nsid w:val="7FCD2284"/>
    <w:multiLevelType w:val="hybridMultilevel"/>
    <w:tmpl w:val="A1608E48"/>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num w:numId="1">
    <w:abstractNumId w:val="1"/>
  </w:num>
  <w:num w:numId="2">
    <w:abstractNumId w:val="63"/>
  </w:num>
  <w:num w:numId="3">
    <w:abstractNumId w:val="42"/>
  </w:num>
  <w:num w:numId="4">
    <w:abstractNumId w:val="46"/>
  </w:num>
  <w:num w:numId="5">
    <w:abstractNumId w:val="14"/>
  </w:num>
  <w:num w:numId="6">
    <w:abstractNumId w:val="7"/>
  </w:num>
  <w:num w:numId="7">
    <w:abstractNumId w:val="79"/>
  </w:num>
  <w:num w:numId="8">
    <w:abstractNumId w:val="41"/>
  </w:num>
  <w:num w:numId="9">
    <w:abstractNumId w:val="39"/>
  </w:num>
  <w:num w:numId="10">
    <w:abstractNumId w:val="74"/>
  </w:num>
  <w:num w:numId="11">
    <w:abstractNumId w:val="88"/>
  </w:num>
  <w:num w:numId="12">
    <w:abstractNumId w:val="82"/>
  </w:num>
  <w:num w:numId="13">
    <w:abstractNumId w:val="26"/>
  </w:num>
  <w:num w:numId="14">
    <w:abstractNumId w:val="92"/>
  </w:num>
  <w:num w:numId="15">
    <w:abstractNumId w:val="10"/>
  </w:num>
  <w:num w:numId="16">
    <w:abstractNumId w:val="104"/>
  </w:num>
  <w:num w:numId="17">
    <w:abstractNumId w:val="48"/>
  </w:num>
  <w:num w:numId="18">
    <w:abstractNumId w:val="38"/>
  </w:num>
  <w:num w:numId="19">
    <w:abstractNumId w:val="75"/>
  </w:num>
  <w:num w:numId="20">
    <w:abstractNumId w:val="69"/>
  </w:num>
  <w:num w:numId="21">
    <w:abstractNumId w:val="101"/>
  </w:num>
  <w:num w:numId="22">
    <w:abstractNumId w:val="25"/>
  </w:num>
  <w:num w:numId="23">
    <w:abstractNumId w:val="70"/>
  </w:num>
  <w:num w:numId="24">
    <w:abstractNumId w:val="95"/>
  </w:num>
  <w:num w:numId="25">
    <w:abstractNumId w:val="12"/>
  </w:num>
  <w:num w:numId="26">
    <w:abstractNumId w:val="59"/>
  </w:num>
  <w:num w:numId="27">
    <w:abstractNumId w:val="81"/>
  </w:num>
  <w:num w:numId="28">
    <w:abstractNumId w:val="89"/>
  </w:num>
  <w:num w:numId="29">
    <w:abstractNumId w:val="15"/>
  </w:num>
  <w:num w:numId="30">
    <w:abstractNumId w:val="56"/>
  </w:num>
  <w:num w:numId="31">
    <w:abstractNumId w:val="35"/>
  </w:num>
  <w:num w:numId="32">
    <w:abstractNumId w:val="2"/>
  </w:num>
  <w:num w:numId="33">
    <w:abstractNumId w:val="28"/>
  </w:num>
  <w:num w:numId="34">
    <w:abstractNumId w:val="33"/>
  </w:num>
  <w:num w:numId="35">
    <w:abstractNumId w:val="86"/>
  </w:num>
  <w:num w:numId="36">
    <w:abstractNumId w:val="91"/>
  </w:num>
  <w:num w:numId="37">
    <w:abstractNumId w:val="85"/>
  </w:num>
  <w:num w:numId="38">
    <w:abstractNumId w:val="73"/>
  </w:num>
  <w:num w:numId="39">
    <w:abstractNumId w:val="21"/>
  </w:num>
  <w:num w:numId="40">
    <w:abstractNumId w:val="40"/>
  </w:num>
  <w:num w:numId="41">
    <w:abstractNumId w:val="96"/>
  </w:num>
  <w:num w:numId="42">
    <w:abstractNumId w:val="24"/>
  </w:num>
  <w:num w:numId="43">
    <w:abstractNumId w:val="34"/>
  </w:num>
  <w:num w:numId="44">
    <w:abstractNumId w:val="43"/>
  </w:num>
  <w:num w:numId="45">
    <w:abstractNumId w:val="60"/>
  </w:num>
  <w:num w:numId="46">
    <w:abstractNumId w:val="23"/>
  </w:num>
  <w:num w:numId="47">
    <w:abstractNumId w:val="45"/>
  </w:num>
  <w:num w:numId="48">
    <w:abstractNumId w:val="77"/>
  </w:num>
  <w:num w:numId="49">
    <w:abstractNumId w:val="65"/>
  </w:num>
  <w:num w:numId="50">
    <w:abstractNumId w:val="32"/>
  </w:num>
  <w:num w:numId="51">
    <w:abstractNumId w:val="19"/>
  </w:num>
  <w:num w:numId="52">
    <w:abstractNumId w:val="84"/>
  </w:num>
  <w:num w:numId="53">
    <w:abstractNumId w:val="52"/>
  </w:num>
  <w:num w:numId="54">
    <w:abstractNumId w:val="62"/>
  </w:num>
  <w:num w:numId="55">
    <w:abstractNumId w:val="3"/>
  </w:num>
  <w:num w:numId="56">
    <w:abstractNumId w:val="58"/>
  </w:num>
  <w:num w:numId="57">
    <w:abstractNumId w:val="93"/>
  </w:num>
  <w:num w:numId="58">
    <w:abstractNumId w:val="99"/>
  </w:num>
  <w:num w:numId="59">
    <w:abstractNumId w:val="90"/>
  </w:num>
  <w:num w:numId="60">
    <w:abstractNumId w:val="11"/>
  </w:num>
  <w:num w:numId="61">
    <w:abstractNumId w:val="94"/>
  </w:num>
  <w:num w:numId="62">
    <w:abstractNumId w:val="18"/>
  </w:num>
  <w:num w:numId="63">
    <w:abstractNumId w:val="87"/>
  </w:num>
  <w:num w:numId="64">
    <w:abstractNumId w:val="44"/>
  </w:num>
  <w:num w:numId="65">
    <w:abstractNumId w:val="103"/>
  </w:num>
  <w:num w:numId="66">
    <w:abstractNumId w:val="68"/>
  </w:num>
  <w:num w:numId="67">
    <w:abstractNumId w:val="4"/>
  </w:num>
  <w:num w:numId="68">
    <w:abstractNumId w:val="50"/>
  </w:num>
  <w:num w:numId="69">
    <w:abstractNumId w:val="51"/>
  </w:num>
  <w:num w:numId="70">
    <w:abstractNumId w:val="66"/>
  </w:num>
  <w:num w:numId="71">
    <w:abstractNumId w:val="61"/>
  </w:num>
  <w:num w:numId="72">
    <w:abstractNumId w:val="64"/>
  </w:num>
  <w:num w:numId="73">
    <w:abstractNumId w:val="67"/>
  </w:num>
  <w:num w:numId="74">
    <w:abstractNumId w:val="31"/>
  </w:num>
  <w:num w:numId="75">
    <w:abstractNumId w:val="97"/>
  </w:num>
  <w:num w:numId="76">
    <w:abstractNumId w:val="13"/>
  </w:num>
  <w:num w:numId="77">
    <w:abstractNumId w:val="80"/>
  </w:num>
  <w:num w:numId="78">
    <w:abstractNumId w:val="100"/>
  </w:num>
  <w:num w:numId="79">
    <w:abstractNumId w:val="57"/>
  </w:num>
  <w:num w:numId="80">
    <w:abstractNumId w:val="76"/>
    <w:lvlOverride w:ilvl="0">
      <w:startOverride w:val="1"/>
    </w:lvlOverride>
    <w:lvlOverride w:ilvl="1"/>
    <w:lvlOverride w:ilvl="2"/>
    <w:lvlOverride w:ilvl="3"/>
    <w:lvlOverride w:ilvl="4"/>
    <w:lvlOverride w:ilvl="5"/>
    <w:lvlOverride w:ilvl="6"/>
    <w:lvlOverride w:ilvl="7"/>
    <w:lvlOverride w:ilvl="8"/>
  </w:num>
  <w:num w:numId="81">
    <w:abstractNumId w:val="71"/>
  </w:num>
  <w:num w:numId="82">
    <w:abstractNumId w:val="22"/>
  </w:num>
  <w:num w:numId="83">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
  </w:num>
  <w:num w:numId="85">
    <w:abstractNumId w:val="53"/>
  </w:num>
  <w:num w:numId="86">
    <w:abstractNumId w:val="98"/>
  </w:num>
  <w:num w:numId="87">
    <w:abstractNumId w:val="47"/>
  </w:num>
  <w:num w:numId="88">
    <w:abstractNumId w:val="20"/>
  </w:num>
  <w:num w:numId="89">
    <w:abstractNumId w:val="102"/>
  </w:num>
  <w:num w:numId="90">
    <w:abstractNumId w:val="30"/>
  </w:num>
  <w:num w:numId="91">
    <w:abstractNumId w:val="55"/>
  </w:num>
  <w:num w:numId="92">
    <w:abstractNumId w:val="17"/>
  </w:num>
  <w:num w:numId="93">
    <w:abstractNumId w:val="54"/>
  </w:num>
  <w:num w:numId="94">
    <w:abstractNumId w:val="8"/>
  </w:num>
  <w:num w:numId="95">
    <w:abstractNumId w:val="37"/>
  </w:num>
  <w:num w:numId="96">
    <w:abstractNumId w:val="36"/>
  </w:num>
  <w:num w:numId="97">
    <w:abstractNumId w:val="16"/>
  </w:num>
  <w:num w:numId="98">
    <w:abstractNumId w:val="5"/>
  </w:num>
  <w:num w:numId="99">
    <w:abstractNumId w:val="29"/>
  </w:num>
  <w:num w:numId="100">
    <w:abstractNumId w:val="6"/>
  </w:num>
  <w:num w:numId="101">
    <w:abstractNumId w:val="27"/>
  </w:num>
  <w:num w:numId="102">
    <w:abstractNumId w:val="78"/>
  </w:num>
  <w:num w:numId="103">
    <w:abstractNumId w:val="0"/>
  </w:num>
  <w:numIdMacAtCleanup w:val="1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GrammaticalErrors/>
  <w:proofState w:spelling="clean"/>
  <w:defaultTabStop w:val="720"/>
  <w:hyphenationZone w:val="425"/>
  <w:drawingGridHorizontalSpacing w:val="110"/>
  <w:displayHorizontalDrawingGridEvery w:val="2"/>
  <w:characterSpacingControl w:val="doNotCompress"/>
  <w:hdrShapeDefaults>
    <o:shapedefaults v:ext="edit" spidmax="69633"/>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33F6C"/>
    <w:rsid w:val="00000037"/>
    <w:rsid w:val="00000D32"/>
    <w:rsid w:val="000019C1"/>
    <w:rsid w:val="0000231C"/>
    <w:rsid w:val="000029AA"/>
    <w:rsid w:val="00002CEF"/>
    <w:rsid w:val="00002DD8"/>
    <w:rsid w:val="00005648"/>
    <w:rsid w:val="000071C8"/>
    <w:rsid w:val="00007A76"/>
    <w:rsid w:val="00007BB2"/>
    <w:rsid w:val="000103C8"/>
    <w:rsid w:val="000112FE"/>
    <w:rsid w:val="000118D9"/>
    <w:rsid w:val="00011DB8"/>
    <w:rsid w:val="00011E4D"/>
    <w:rsid w:val="00013729"/>
    <w:rsid w:val="00014504"/>
    <w:rsid w:val="00014677"/>
    <w:rsid w:val="00014AB9"/>
    <w:rsid w:val="00014CAF"/>
    <w:rsid w:val="00015637"/>
    <w:rsid w:val="000158FD"/>
    <w:rsid w:val="00015D39"/>
    <w:rsid w:val="00017CD7"/>
    <w:rsid w:val="00017CE9"/>
    <w:rsid w:val="00020669"/>
    <w:rsid w:val="000206BF"/>
    <w:rsid w:val="0002278F"/>
    <w:rsid w:val="00022CD9"/>
    <w:rsid w:val="00023278"/>
    <w:rsid w:val="00023587"/>
    <w:rsid w:val="0002730B"/>
    <w:rsid w:val="000314FA"/>
    <w:rsid w:val="000316B0"/>
    <w:rsid w:val="00031969"/>
    <w:rsid w:val="00032004"/>
    <w:rsid w:val="0003214F"/>
    <w:rsid w:val="000329E7"/>
    <w:rsid w:val="00032AF4"/>
    <w:rsid w:val="000333A9"/>
    <w:rsid w:val="00033D26"/>
    <w:rsid w:val="00035839"/>
    <w:rsid w:val="000358FD"/>
    <w:rsid w:val="000362F7"/>
    <w:rsid w:val="000372F2"/>
    <w:rsid w:val="00037B6E"/>
    <w:rsid w:val="000401BF"/>
    <w:rsid w:val="000418C5"/>
    <w:rsid w:val="00042232"/>
    <w:rsid w:val="00042CB8"/>
    <w:rsid w:val="00043109"/>
    <w:rsid w:val="00043AC1"/>
    <w:rsid w:val="00046851"/>
    <w:rsid w:val="00046F97"/>
    <w:rsid w:val="00047624"/>
    <w:rsid w:val="0004773D"/>
    <w:rsid w:val="00047F73"/>
    <w:rsid w:val="00051120"/>
    <w:rsid w:val="00051679"/>
    <w:rsid w:val="00052D6C"/>
    <w:rsid w:val="00054521"/>
    <w:rsid w:val="0005458D"/>
    <w:rsid w:val="00055181"/>
    <w:rsid w:val="000568C3"/>
    <w:rsid w:val="0005690D"/>
    <w:rsid w:val="00057F10"/>
    <w:rsid w:val="000604B4"/>
    <w:rsid w:val="000632C0"/>
    <w:rsid w:val="00065739"/>
    <w:rsid w:val="00065ADC"/>
    <w:rsid w:val="00065BF9"/>
    <w:rsid w:val="00065C14"/>
    <w:rsid w:val="000660BD"/>
    <w:rsid w:val="0006632F"/>
    <w:rsid w:val="00066C8B"/>
    <w:rsid w:val="0007017D"/>
    <w:rsid w:val="000707D6"/>
    <w:rsid w:val="00071932"/>
    <w:rsid w:val="00071AAB"/>
    <w:rsid w:val="00075DE7"/>
    <w:rsid w:val="00075F8C"/>
    <w:rsid w:val="000766E2"/>
    <w:rsid w:val="00077F60"/>
    <w:rsid w:val="00084E86"/>
    <w:rsid w:val="000851E8"/>
    <w:rsid w:val="000854E3"/>
    <w:rsid w:val="00086655"/>
    <w:rsid w:val="00087064"/>
    <w:rsid w:val="000905B1"/>
    <w:rsid w:val="000906F7"/>
    <w:rsid w:val="000909B3"/>
    <w:rsid w:val="00092132"/>
    <w:rsid w:val="000932EB"/>
    <w:rsid w:val="000934A3"/>
    <w:rsid w:val="00094703"/>
    <w:rsid w:val="00094836"/>
    <w:rsid w:val="00097E41"/>
    <w:rsid w:val="000A0184"/>
    <w:rsid w:val="000A15B8"/>
    <w:rsid w:val="000A269F"/>
    <w:rsid w:val="000A2D84"/>
    <w:rsid w:val="000A3052"/>
    <w:rsid w:val="000A77BE"/>
    <w:rsid w:val="000B25B9"/>
    <w:rsid w:val="000B26C2"/>
    <w:rsid w:val="000B2E84"/>
    <w:rsid w:val="000B362A"/>
    <w:rsid w:val="000B3AEC"/>
    <w:rsid w:val="000B42F1"/>
    <w:rsid w:val="000B482A"/>
    <w:rsid w:val="000B48EA"/>
    <w:rsid w:val="000B51A4"/>
    <w:rsid w:val="000B60CB"/>
    <w:rsid w:val="000B6AB4"/>
    <w:rsid w:val="000B754C"/>
    <w:rsid w:val="000B7B2D"/>
    <w:rsid w:val="000C010A"/>
    <w:rsid w:val="000C0940"/>
    <w:rsid w:val="000C1802"/>
    <w:rsid w:val="000C1DF5"/>
    <w:rsid w:val="000C29F4"/>
    <w:rsid w:val="000C34BE"/>
    <w:rsid w:val="000C37BC"/>
    <w:rsid w:val="000C6296"/>
    <w:rsid w:val="000C7064"/>
    <w:rsid w:val="000C77F7"/>
    <w:rsid w:val="000C7EFF"/>
    <w:rsid w:val="000D0405"/>
    <w:rsid w:val="000D0B62"/>
    <w:rsid w:val="000D190A"/>
    <w:rsid w:val="000D2B8A"/>
    <w:rsid w:val="000D2CEA"/>
    <w:rsid w:val="000D3CCA"/>
    <w:rsid w:val="000D6669"/>
    <w:rsid w:val="000E0BDD"/>
    <w:rsid w:val="000E1203"/>
    <w:rsid w:val="000E3703"/>
    <w:rsid w:val="000E372D"/>
    <w:rsid w:val="000E3A73"/>
    <w:rsid w:val="000E3F15"/>
    <w:rsid w:val="000E44EB"/>
    <w:rsid w:val="000E58B3"/>
    <w:rsid w:val="000E5BA9"/>
    <w:rsid w:val="000E63FC"/>
    <w:rsid w:val="000E672E"/>
    <w:rsid w:val="000E7829"/>
    <w:rsid w:val="000E7FCE"/>
    <w:rsid w:val="000F00C5"/>
    <w:rsid w:val="000F1522"/>
    <w:rsid w:val="000F2C9F"/>
    <w:rsid w:val="000F3692"/>
    <w:rsid w:val="000F3BDC"/>
    <w:rsid w:val="000F3F38"/>
    <w:rsid w:val="000F43B8"/>
    <w:rsid w:val="000F5615"/>
    <w:rsid w:val="000F5A5B"/>
    <w:rsid w:val="000F651E"/>
    <w:rsid w:val="000F7141"/>
    <w:rsid w:val="000F74E8"/>
    <w:rsid w:val="000F7884"/>
    <w:rsid w:val="001019E6"/>
    <w:rsid w:val="00101C32"/>
    <w:rsid w:val="00102137"/>
    <w:rsid w:val="00103702"/>
    <w:rsid w:val="00103AED"/>
    <w:rsid w:val="001060B7"/>
    <w:rsid w:val="00107555"/>
    <w:rsid w:val="001078A5"/>
    <w:rsid w:val="00107EF7"/>
    <w:rsid w:val="00110950"/>
    <w:rsid w:val="00110A88"/>
    <w:rsid w:val="00111C3E"/>
    <w:rsid w:val="00111F45"/>
    <w:rsid w:val="001125D0"/>
    <w:rsid w:val="00113C44"/>
    <w:rsid w:val="00113E44"/>
    <w:rsid w:val="00114124"/>
    <w:rsid w:val="001152B5"/>
    <w:rsid w:val="001157AD"/>
    <w:rsid w:val="00115F63"/>
    <w:rsid w:val="00116486"/>
    <w:rsid w:val="001169BE"/>
    <w:rsid w:val="00117349"/>
    <w:rsid w:val="001176E7"/>
    <w:rsid w:val="00117C6C"/>
    <w:rsid w:val="001206B2"/>
    <w:rsid w:val="001219F5"/>
    <w:rsid w:val="00121C3D"/>
    <w:rsid w:val="00123DEA"/>
    <w:rsid w:val="001248EB"/>
    <w:rsid w:val="00124C57"/>
    <w:rsid w:val="00126E49"/>
    <w:rsid w:val="001301FF"/>
    <w:rsid w:val="001312E3"/>
    <w:rsid w:val="00131550"/>
    <w:rsid w:val="001326BF"/>
    <w:rsid w:val="00132F18"/>
    <w:rsid w:val="00133F9D"/>
    <w:rsid w:val="00134102"/>
    <w:rsid w:val="00135229"/>
    <w:rsid w:val="001358AC"/>
    <w:rsid w:val="001361E0"/>
    <w:rsid w:val="001366D6"/>
    <w:rsid w:val="00136E9D"/>
    <w:rsid w:val="00137231"/>
    <w:rsid w:val="00140AAE"/>
    <w:rsid w:val="00140CE7"/>
    <w:rsid w:val="001411D8"/>
    <w:rsid w:val="00141703"/>
    <w:rsid w:val="0014238C"/>
    <w:rsid w:val="00142DF1"/>
    <w:rsid w:val="00145806"/>
    <w:rsid w:val="001459ED"/>
    <w:rsid w:val="00145B0E"/>
    <w:rsid w:val="001464FF"/>
    <w:rsid w:val="0014706E"/>
    <w:rsid w:val="0014708D"/>
    <w:rsid w:val="00150429"/>
    <w:rsid w:val="0015081D"/>
    <w:rsid w:val="00150827"/>
    <w:rsid w:val="00154023"/>
    <w:rsid w:val="0015412F"/>
    <w:rsid w:val="00154232"/>
    <w:rsid w:val="0015466E"/>
    <w:rsid w:val="00154907"/>
    <w:rsid w:val="00160054"/>
    <w:rsid w:val="001613A4"/>
    <w:rsid w:val="001621BD"/>
    <w:rsid w:val="00162DA3"/>
    <w:rsid w:val="001648BA"/>
    <w:rsid w:val="00164F0C"/>
    <w:rsid w:val="001651FA"/>
    <w:rsid w:val="00165D14"/>
    <w:rsid w:val="00165FB0"/>
    <w:rsid w:val="00166E08"/>
    <w:rsid w:val="00167869"/>
    <w:rsid w:val="00170023"/>
    <w:rsid w:val="00171ACF"/>
    <w:rsid w:val="001722E9"/>
    <w:rsid w:val="00172460"/>
    <w:rsid w:val="00172C71"/>
    <w:rsid w:val="00173D80"/>
    <w:rsid w:val="0017423E"/>
    <w:rsid w:val="001745D4"/>
    <w:rsid w:val="001747B2"/>
    <w:rsid w:val="001749D1"/>
    <w:rsid w:val="00176DF7"/>
    <w:rsid w:val="001771D2"/>
    <w:rsid w:val="00177BF9"/>
    <w:rsid w:val="00180C66"/>
    <w:rsid w:val="001834CC"/>
    <w:rsid w:val="00185872"/>
    <w:rsid w:val="00185CBE"/>
    <w:rsid w:val="0018622F"/>
    <w:rsid w:val="001865B6"/>
    <w:rsid w:val="00186DEC"/>
    <w:rsid w:val="001877B4"/>
    <w:rsid w:val="00187A04"/>
    <w:rsid w:val="001903A5"/>
    <w:rsid w:val="00190401"/>
    <w:rsid w:val="00191491"/>
    <w:rsid w:val="0019158B"/>
    <w:rsid w:val="00191B25"/>
    <w:rsid w:val="00191F40"/>
    <w:rsid w:val="00191F63"/>
    <w:rsid w:val="00193D91"/>
    <w:rsid w:val="00194185"/>
    <w:rsid w:val="001957CC"/>
    <w:rsid w:val="001958F4"/>
    <w:rsid w:val="001962B4"/>
    <w:rsid w:val="00196BD9"/>
    <w:rsid w:val="001971A5"/>
    <w:rsid w:val="001971E8"/>
    <w:rsid w:val="00197A43"/>
    <w:rsid w:val="001A03BA"/>
    <w:rsid w:val="001A183C"/>
    <w:rsid w:val="001A196C"/>
    <w:rsid w:val="001A3304"/>
    <w:rsid w:val="001A38D4"/>
    <w:rsid w:val="001A3CB6"/>
    <w:rsid w:val="001A40EA"/>
    <w:rsid w:val="001A505C"/>
    <w:rsid w:val="001A54B8"/>
    <w:rsid w:val="001A66A0"/>
    <w:rsid w:val="001A6F36"/>
    <w:rsid w:val="001A6F8D"/>
    <w:rsid w:val="001B0C77"/>
    <w:rsid w:val="001B113B"/>
    <w:rsid w:val="001B1157"/>
    <w:rsid w:val="001B1CFD"/>
    <w:rsid w:val="001B2740"/>
    <w:rsid w:val="001B2787"/>
    <w:rsid w:val="001B37FE"/>
    <w:rsid w:val="001B3F0E"/>
    <w:rsid w:val="001B40F2"/>
    <w:rsid w:val="001B4183"/>
    <w:rsid w:val="001B6329"/>
    <w:rsid w:val="001B660A"/>
    <w:rsid w:val="001B6D3B"/>
    <w:rsid w:val="001B700A"/>
    <w:rsid w:val="001C03D6"/>
    <w:rsid w:val="001C0689"/>
    <w:rsid w:val="001C1EB6"/>
    <w:rsid w:val="001C24C2"/>
    <w:rsid w:val="001C2500"/>
    <w:rsid w:val="001C31A9"/>
    <w:rsid w:val="001C3980"/>
    <w:rsid w:val="001C4B40"/>
    <w:rsid w:val="001C5527"/>
    <w:rsid w:val="001C5658"/>
    <w:rsid w:val="001C57C0"/>
    <w:rsid w:val="001C6029"/>
    <w:rsid w:val="001C6159"/>
    <w:rsid w:val="001C6997"/>
    <w:rsid w:val="001C6B15"/>
    <w:rsid w:val="001C7AD5"/>
    <w:rsid w:val="001D03C3"/>
    <w:rsid w:val="001D1A00"/>
    <w:rsid w:val="001D1BFE"/>
    <w:rsid w:val="001D3A6F"/>
    <w:rsid w:val="001D4E00"/>
    <w:rsid w:val="001D5BCF"/>
    <w:rsid w:val="001D5D60"/>
    <w:rsid w:val="001D5F11"/>
    <w:rsid w:val="001D5F1A"/>
    <w:rsid w:val="001D6D36"/>
    <w:rsid w:val="001E1758"/>
    <w:rsid w:val="001E1BE3"/>
    <w:rsid w:val="001E24DE"/>
    <w:rsid w:val="001E25B2"/>
    <w:rsid w:val="001E5806"/>
    <w:rsid w:val="001E59D4"/>
    <w:rsid w:val="001E66F2"/>
    <w:rsid w:val="001F0804"/>
    <w:rsid w:val="001F08FF"/>
    <w:rsid w:val="001F14FD"/>
    <w:rsid w:val="001F25C7"/>
    <w:rsid w:val="001F4A30"/>
    <w:rsid w:val="001F5408"/>
    <w:rsid w:val="001F7E82"/>
    <w:rsid w:val="0020056F"/>
    <w:rsid w:val="002021C2"/>
    <w:rsid w:val="002046A2"/>
    <w:rsid w:val="00204890"/>
    <w:rsid w:val="00204E90"/>
    <w:rsid w:val="00206069"/>
    <w:rsid w:val="002077DB"/>
    <w:rsid w:val="002113BD"/>
    <w:rsid w:val="002115FA"/>
    <w:rsid w:val="00211B96"/>
    <w:rsid w:val="00212023"/>
    <w:rsid w:val="00212550"/>
    <w:rsid w:val="00212BF4"/>
    <w:rsid w:val="0021337F"/>
    <w:rsid w:val="002136D2"/>
    <w:rsid w:val="00213EC3"/>
    <w:rsid w:val="0021563F"/>
    <w:rsid w:val="00215F93"/>
    <w:rsid w:val="0021684E"/>
    <w:rsid w:val="00217245"/>
    <w:rsid w:val="002202E5"/>
    <w:rsid w:val="00220BE3"/>
    <w:rsid w:val="00221358"/>
    <w:rsid w:val="0022413E"/>
    <w:rsid w:val="00226762"/>
    <w:rsid w:val="00227233"/>
    <w:rsid w:val="00227397"/>
    <w:rsid w:val="00230D6B"/>
    <w:rsid w:val="002311E6"/>
    <w:rsid w:val="0023133D"/>
    <w:rsid w:val="002327AA"/>
    <w:rsid w:val="00232C6D"/>
    <w:rsid w:val="00232DBD"/>
    <w:rsid w:val="00232E71"/>
    <w:rsid w:val="002335B2"/>
    <w:rsid w:val="00234803"/>
    <w:rsid w:val="00235454"/>
    <w:rsid w:val="00235D6D"/>
    <w:rsid w:val="002361A1"/>
    <w:rsid w:val="0023722B"/>
    <w:rsid w:val="00237CD1"/>
    <w:rsid w:val="0024004A"/>
    <w:rsid w:val="00240795"/>
    <w:rsid w:val="00240D6A"/>
    <w:rsid w:val="002423AD"/>
    <w:rsid w:val="002427A7"/>
    <w:rsid w:val="00242841"/>
    <w:rsid w:val="00242AE4"/>
    <w:rsid w:val="00242BBB"/>
    <w:rsid w:val="00243DFD"/>
    <w:rsid w:val="00245D97"/>
    <w:rsid w:val="00245DE0"/>
    <w:rsid w:val="00245FDC"/>
    <w:rsid w:val="00246170"/>
    <w:rsid w:val="00246246"/>
    <w:rsid w:val="002462B8"/>
    <w:rsid w:val="00246496"/>
    <w:rsid w:val="00246740"/>
    <w:rsid w:val="00247BF0"/>
    <w:rsid w:val="002514E0"/>
    <w:rsid w:val="00251BD2"/>
    <w:rsid w:val="00252320"/>
    <w:rsid w:val="00252378"/>
    <w:rsid w:val="00252B45"/>
    <w:rsid w:val="0025369C"/>
    <w:rsid w:val="00253FB5"/>
    <w:rsid w:val="00254CC5"/>
    <w:rsid w:val="00257564"/>
    <w:rsid w:val="00257926"/>
    <w:rsid w:val="00257BB1"/>
    <w:rsid w:val="00257D74"/>
    <w:rsid w:val="002603D0"/>
    <w:rsid w:val="00261140"/>
    <w:rsid w:val="002614E3"/>
    <w:rsid w:val="002615EF"/>
    <w:rsid w:val="00261734"/>
    <w:rsid w:val="002625CA"/>
    <w:rsid w:val="0026362F"/>
    <w:rsid w:val="00265C1B"/>
    <w:rsid w:val="00265D85"/>
    <w:rsid w:val="002669DD"/>
    <w:rsid w:val="0026730C"/>
    <w:rsid w:val="00267343"/>
    <w:rsid w:val="00267430"/>
    <w:rsid w:val="0026791E"/>
    <w:rsid w:val="00270CD6"/>
    <w:rsid w:val="00271DF9"/>
    <w:rsid w:val="00271FD5"/>
    <w:rsid w:val="0027237A"/>
    <w:rsid w:val="002725B9"/>
    <w:rsid w:val="00272600"/>
    <w:rsid w:val="00272D90"/>
    <w:rsid w:val="00273D43"/>
    <w:rsid w:val="00274935"/>
    <w:rsid w:val="00274FAF"/>
    <w:rsid w:val="00276D4E"/>
    <w:rsid w:val="002774F4"/>
    <w:rsid w:val="00277C63"/>
    <w:rsid w:val="00281DE9"/>
    <w:rsid w:val="00282B45"/>
    <w:rsid w:val="00282F0B"/>
    <w:rsid w:val="00283496"/>
    <w:rsid w:val="002846E4"/>
    <w:rsid w:val="00284CC1"/>
    <w:rsid w:val="0028576E"/>
    <w:rsid w:val="002900E6"/>
    <w:rsid w:val="00290FC0"/>
    <w:rsid w:val="00290FF8"/>
    <w:rsid w:val="00291264"/>
    <w:rsid w:val="00291FF1"/>
    <w:rsid w:val="0029332A"/>
    <w:rsid w:val="00293A4D"/>
    <w:rsid w:val="00293FE1"/>
    <w:rsid w:val="00294B39"/>
    <w:rsid w:val="00294C68"/>
    <w:rsid w:val="0029589F"/>
    <w:rsid w:val="002963D3"/>
    <w:rsid w:val="002966E4"/>
    <w:rsid w:val="002971F3"/>
    <w:rsid w:val="002A01E9"/>
    <w:rsid w:val="002A21E9"/>
    <w:rsid w:val="002A3678"/>
    <w:rsid w:val="002A38A9"/>
    <w:rsid w:val="002A4D46"/>
    <w:rsid w:val="002A51B0"/>
    <w:rsid w:val="002A5BEC"/>
    <w:rsid w:val="002B0264"/>
    <w:rsid w:val="002B0F88"/>
    <w:rsid w:val="002B1C5A"/>
    <w:rsid w:val="002B2506"/>
    <w:rsid w:val="002B2E3B"/>
    <w:rsid w:val="002B4913"/>
    <w:rsid w:val="002B4A5A"/>
    <w:rsid w:val="002B50BA"/>
    <w:rsid w:val="002B5F36"/>
    <w:rsid w:val="002B6A66"/>
    <w:rsid w:val="002B78BC"/>
    <w:rsid w:val="002C1146"/>
    <w:rsid w:val="002C13E7"/>
    <w:rsid w:val="002C13F0"/>
    <w:rsid w:val="002C1A8B"/>
    <w:rsid w:val="002C1E03"/>
    <w:rsid w:val="002C3464"/>
    <w:rsid w:val="002C3759"/>
    <w:rsid w:val="002C3EB2"/>
    <w:rsid w:val="002C44E5"/>
    <w:rsid w:val="002C6A7A"/>
    <w:rsid w:val="002C6ECB"/>
    <w:rsid w:val="002D0160"/>
    <w:rsid w:val="002D04C4"/>
    <w:rsid w:val="002D1BA0"/>
    <w:rsid w:val="002D308B"/>
    <w:rsid w:val="002D341B"/>
    <w:rsid w:val="002D3B8B"/>
    <w:rsid w:val="002D3F8E"/>
    <w:rsid w:val="002D4423"/>
    <w:rsid w:val="002D4580"/>
    <w:rsid w:val="002D4C3A"/>
    <w:rsid w:val="002D5EDF"/>
    <w:rsid w:val="002D61C7"/>
    <w:rsid w:val="002D6D50"/>
    <w:rsid w:val="002D6F66"/>
    <w:rsid w:val="002E06BB"/>
    <w:rsid w:val="002E0B00"/>
    <w:rsid w:val="002E0D02"/>
    <w:rsid w:val="002E35DB"/>
    <w:rsid w:val="002E43A6"/>
    <w:rsid w:val="002E44FC"/>
    <w:rsid w:val="002E567A"/>
    <w:rsid w:val="002E61E2"/>
    <w:rsid w:val="002E6370"/>
    <w:rsid w:val="002F1DA0"/>
    <w:rsid w:val="002F203A"/>
    <w:rsid w:val="002F2500"/>
    <w:rsid w:val="002F483E"/>
    <w:rsid w:val="002F4A57"/>
    <w:rsid w:val="002F5309"/>
    <w:rsid w:val="002F5DB4"/>
    <w:rsid w:val="002F5E01"/>
    <w:rsid w:val="002F60A9"/>
    <w:rsid w:val="002F7ADF"/>
    <w:rsid w:val="00303429"/>
    <w:rsid w:val="00304CF0"/>
    <w:rsid w:val="003051E4"/>
    <w:rsid w:val="00305F95"/>
    <w:rsid w:val="003062F1"/>
    <w:rsid w:val="00306795"/>
    <w:rsid w:val="00306B22"/>
    <w:rsid w:val="00311DDE"/>
    <w:rsid w:val="00312583"/>
    <w:rsid w:val="0031334F"/>
    <w:rsid w:val="0031370A"/>
    <w:rsid w:val="00314118"/>
    <w:rsid w:val="00314645"/>
    <w:rsid w:val="00314D11"/>
    <w:rsid w:val="00316B49"/>
    <w:rsid w:val="00320B0F"/>
    <w:rsid w:val="00321306"/>
    <w:rsid w:val="003220D9"/>
    <w:rsid w:val="00323347"/>
    <w:rsid w:val="00323A18"/>
    <w:rsid w:val="0032425C"/>
    <w:rsid w:val="003257D9"/>
    <w:rsid w:val="00325A2B"/>
    <w:rsid w:val="00325B5E"/>
    <w:rsid w:val="003264C5"/>
    <w:rsid w:val="00327168"/>
    <w:rsid w:val="003277A9"/>
    <w:rsid w:val="00330D62"/>
    <w:rsid w:val="00330F2A"/>
    <w:rsid w:val="0033316E"/>
    <w:rsid w:val="00334168"/>
    <w:rsid w:val="003341ED"/>
    <w:rsid w:val="00334C0B"/>
    <w:rsid w:val="003363CD"/>
    <w:rsid w:val="00342903"/>
    <w:rsid w:val="00343660"/>
    <w:rsid w:val="00343749"/>
    <w:rsid w:val="003439CD"/>
    <w:rsid w:val="00343EF1"/>
    <w:rsid w:val="00344A09"/>
    <w:rsid w:val="003450D6"/>
    <w:rsid w:val="0034676A"/>
    <w:rsid w:val="0034686D"/>
    <w:rsid w:val="0035017A"/>
    <w:rsid w:val="00352C63"/>
    <w:rsid w:val="00352D06"/>
    <w:rsid w:val="003530F5"/>
    <w:rsid w:val="00353B16"/>
    <w:rsid w:val="00354F50"/>
    <w:rsid w:val="0035548A"/>
    <w:rsid w:val="00355798"/>
    <w:rsid w:val="00355CE6"/>
    <w:rsid w:val="0035679E"/>
    <w:rsid w:val="00356D21"/>
    <w:rsid w:val="00357075"/>
    <w:rsid w:val="00360107"/>
    <w:rsid w:val="0036128F"/>
    <w:rsid w:val="003626F8"/>
    <w:rsid w:val="00362B2A"/>
    <w:rsid w:val="00362D39"/>
    <w:rsid w:val="00363742"/>
    <w:rsid w:val="00363C94"/>
    <w:rsid w:val="00363CB9"/>
    <w:rsid w:val="003643A1"/>
    <w:rsid w:val="003650CB"/>
    <w:rsid w:val="00365435"/>
    <w:rsid w:val="003654A9"/>
    <w:rsid w:val="00365A25"/>
    <w:rsid w:val="00365B94"/>
    <w:rsid w:val="00366655"/>
    <w:rsid w:val="00367182"/>
    <w:rsid w:val="00367185"/>
    <w:rsid w:val="003672FE"/>
    <w:rsid w:val="00371018"/>
    <w:rsid w:val="003710FB"/>
    <w:rsid w:val="00372C62"/>
    <w:rsid w:val="0037473A"/>
    <w:rsid w:val="00374794"/>
    <w:rsid w:val="00376026"/>
    <w:rsid w:val="00376F81"/>
    <w:rsid w:val="0037753D"/>
    <w:rsid w:val="00380037"/>
    <w:rsid w:val="003809ED"/>
    <w:rsid w:val="00381223"/>
    <w:rsid w:val="00382753"/>
    <w:rsid w:val="00383474"/>
    <w:rsid w:val="003870B4"/>
    <w:rsid w:val="00387130"/>
    <w:rsid w:val="00387C93"/>
    <w:rsid w:val="00390AB3"/>
    <w:rsid w:val="00390BA5"/>
    <w:rsid w:val="00390DD1"/>
    <w:rsid w:val="00392AE1"/>
    <w:rsid w:val="00392DE1"/>
    <w:rsid w:val="00393E5F"/>
    <w:rsid w:val="00394184"/>
    <w:rsid w:val="00394F2C"/>
    <w:rsid w:val="003954E5"/>
    <w:rsid w:val="00395D73"/>
    <w:rsid w:val="00395DDC"/>
    <w:rsid w:val="003974F0"/>
    <w:rsid w:val="00397738"/>
    <w:rsid w:val="003A1B9A"/>
    <w:rsid w:val="003A30E5"/>
    <w:rsid w:val="003A37FB"/>
    <w:rsid w:val="003A3984"/>
    <w:rsid w:val="003A4426"/>
    <w:rsid w:val="003A52BB"/>
    <w:rsid w:val="003A72BD"/>
    <w:rsid w:val="003A7EEE"/>
    <w:rsid w:val="003B078D"/>
    <w:rsid w:val="003B0C1D"/>
    <w:rsid w:val="003B0DFD"/>
    <w:rsid w:val="003B1C0A"/>
    <w:rsid w:val="003B1FDD"/>
    <w:rsid w:val="003B330D"/>
    <w:rsid w:val="003B3850"/>
    <w:rsid w:val="003B69AE"/>
    <w:rsid w:val="003C0E76"/>
    <w:rsid w:val="003C35E4"/>
    <w:rsid w:val="003C3A61"/>
    <w:rsid w:val="003C4494"/>
    <w:rsid w:val="003C4D02"/>
    <w:rsid w:val="003C6657"/>
    <w:rsid w:val="003C702D"/>
    <w:rsid w:val="003C71AE"/>
    <w:rsid w:val="003C749F"/>
    <w:rsid w:val="003D0498"/>
    <w:rsid w:val="003D13D5"/>
    <w:rsid w:val="003D166E"/>
    <w:rsid w:val="003D2811"/>
    <w:rsid w:val="003D2825"/>
    <w:rsid w:val="003D31AA"/>
    <w:rsid w:val="003D39B4"/>
    <w:rsid w:val="003D4709"/>
    <w:rsid w:val="003D4FB3"/>
    <w:rsid w:val="003D51E1"/>
    <w:rsid w:val="003D614D"/>
    <w:rsid w:val="003D649C"/>
    <w:rsid w:val="003D6548"/>
    <w:rsid w:val="003E16F1"/>
    <w:rsid w:val="003E1DB6"/>
    <w:rsid w:val="003E31A6"/>
    <w:rsid w:val="003E3235"/>
    <w:rsid w:val="003E3BE3"/>
    <w:rsid w:val="003E3FE2"/>
    <w:rsid w:val="003E408C"/>
    <w:rsid w:val="003E4425"/>
    <w:rsid w:val="003E48DC"/>
    <w:rsid w:val="003E4FC1"/>
    <w:rsid w:val="003E57EE"/>
    <w:rsid w:val="003E5DDA"/>
    <w:rsid w:val="003E63BF"/>
    <w:rsid w:val="003E7812"/>
    <w:rsid w:val="003F017D"/>
    <w:rsid w:val="003F086A"/>
    <w:rsid w:val="003F1837"/>
    <w:rsid w:val="003F2D5E"/>
    <w:rsid w:val="003F32B7"/>
    <w:rsid w:val="003F3ADF"/>
    <w:rsid w:val="003F3F76"/>
    <w:rsid w:val="003F4C6A"/>
    <w:rsid w:val="003F5535"/>
    <w:rsid w:val="003F6AF6"/>
    <w:rsid w:val="003F6BBD"/>
    <w:rsid w:val="004020E1"/>
    <w:rsid w:val="004027DE"/>
    <w:rsid w:val="00402DA3"/>
    <w:rsid w:val="00402F88"/>
    <w:rsid w:val="00404B13"/>
    <w:rsid w:val="00404B9B"/>
    <w:rsid w:val="00405527"/>
    <w:rsid w:val="00405747"/>
    <w:rsid w:val="004064A0"/>
    <w:rsid w:val="004072E3"/>
    <w:rsid w:val="00410219"/>
    <w:rsid w:val="00410F60"/>
    <w:rsid w:val="004125FD"/>
    <w:rsid w:val="00414143"/>
    <w:rsid w:val="004141C7"/>
    <w:rsid w:val="00414EF9"/>
    <w:rsid w:val="004151A4"/>
    <w:rsid w:val="00415367"/>
    <w:rsid w:val="00415642"/>
    <w:rsid w:val="00415AC6"/>
    <w:rsid w:val="00416243"/>
    <w:rsid w:val="00421274"/>
    <w:rsid w:val="004223C9"/>
    <w:rsid w:val="00424D66"/>
    <w:rsid w:val="0042572D"/>
    <w:rsid w:val="004303C0"/>
    <w:rsid w:val="004316FF"/>
    <w:rsid w:val="004331D4"/>
    <w:rsid w:val="00436173"/>
    <w:rsid w:val="0043628E"/>
    <w:rsid w:val="00440B71"/>
    <w:rsid w:val="0044200A"/>
    <w:rsid w:val="0044225C"/>
    <w:rsid w:val="0044269B"/>
    <w:rsid w:val="0044341A"/>
    <w:rsid w:val="00444CBE"/>
    <w:rsid w:val="004459AA"/>
    <w:rsid w:val="004479D8"/>
    <w:rsid w:val="00450152"/>
    <w:rsid w:val="004502B2"/>
    <w:rsid w:val="00450787"/>
    <w:rsid w:val="00452553"/>
    <w:rsid w:val="0045263B"/>
    <w:rsid w:val="00452A10"/>
    <w:rsid w:val="00452AF8"/>
    <w:rsid w:val="00455575"/>
    <w:rsid w:val="004568B5"/>
    <w:rsid w:val="00460092"/>
    <w:rsid w:val="00462336"/>
    <w:rsid w:val="00462A1D"/>
    <w:rsid w:val="00462B8B"/>
    <w:rsid w:val="00462E8D"/>
    <w:rsid w:val="004649BC"/>
    <w:rsid w:val="00464CEE"/>
    <w:rsid w:val="00464F7C"/>
    <w:rsid w:val="0046665B"/>
    <w:rsid w:val="00467685"/>
    <w:rsid w:val="004701AA"/>
    <w:rsid w:val="004708A9"/>
    <w:rsid w:val="004733F0"/>
    <w:rsid w:val="00474153"/>
    <w:rsid w:val="004745BB"/>
    <w:rsid w:val="00474C3C"/>
    <w:rsid w:val="00475559"/>
    <w:rsid w:val="00476487"/>
    <w:rsid w:val="004766D4"/>
    <w:rsid w:val="0048081A"/>
    <w:rsid w:val="00480CC1"/>
    <w:rsid w:val="00481575"/>
    <w:rsid w:val="004819AF"/>
    <w:rsid w:val="00481A3D"/>
    <w:rsid w:val="00481B2B"/>
    <w:rsid w:val="00482BD7"/>
    <w:rsid w:val="004833E8"/>
    <w:rsid w:val="004837EB"/>
    <w:rsid w:val="00483935"/>
    <w:rsid w:val="0048485F"/>
    <w:rsid w:val="00484964"/>
    <w:rsid w:val="00485231"/>
    <w:rsid w:val="0048685C"/>
    <w:rsid w:val="00486928"/>
    <w:rsid w:val="00486EF0"/>
    <w:rsid w:val="00486F09"/>
    <w:rsid w:val="00490230"/>
    <w:rsid w:val="00492279"/>
    <w:rsid w:val="0049240A"/>
    <w:rsid w:val="004924DA"/>
    <w:rsid w:val="00492B37"/>
    <w:rsid w:val="00493113"/>
    <w:rsid w:val="004934AB"/>
    <w:rsid w:val="00493FCD"/>
    <w:rsid w:val="00494D63"/>
    <w:rsid w:val="00496549"/>
    <w:rsid w:val="00497629"/>
    <w:rsid w:val="004A1D48"/>
    <w:rsid w:val="004A34DA"/>
    <w:rsid w:val="004A3ADC"/>
    <w:rsid w:val="004A3DB2"/>
    <w:rsid w:val="004A50F4"/>
    <w:rsid w:val="004A5FFB"/>
    <w:rsid w:val="004A7C92"/>
    <w:rsid w:val="004B047B"/>
    <w:rsid w:val="004B0942"/>
    <w:rsid w:val="004B0C68"/>
    <w:rsid w:val="004B1065"/>
    <w:rsid w:val="004B178D"/>
    <w:rsid w:val="004B1E7C"/>
    <w:rsid w:val="004B23FA"/>
    <w:rsid w:val="004B33BD"/>
    <w:rsid w:val="004B397A"/>
    <w:rsid w:val="004B4F65"/>
    <w:rsid w:val="004B4FD7"/>
    <w:rsid w:val="004B5557"/>
    <w:rsid w:val="004B7066"/>
    <w:rsid w:val="004C0571"/>
    <w:rsid w:val="004C1837"/>
    <w:rsid w:val="004C1CAD"/>
    <w:rsid w:val="004C21B3"/>
    <w:rsid w:val="004C2474"/>
    <w:rsid w:val="004C272D"/>
    <w:rsid w:val="004C2929"/>
    <w:rsid w:val="004C3422"/>
    <w:rsid w:val="004C38C1"/>
    <w:rsid w:val="004C4A0F"/>
    <w:rsid w:val="004C4B7D"/>
    <w:rsid w:val="004C5475"/>
    <w:rsid w:val="004C5EDD"/>
    <w:rsid w:val="004C63EE"/>
    <w:rsid w:val="004C67AC"/>
    <w:rsid w:val="004C67D7"/>
    <w:rsid w:val="004C69BF"/>
    <w:rsid w:val="004C6BDA"/>
    <w:rsid w:val="004D003E"/>
    <w:rsid w:val="004D05FF"/>
    <w:rsid w:val="004D10A0"/>
    <w:rsid w:val="004D16C5"/>
    <w:rsid w:val="004D1D35"/>
    <w:rsid w:val="004D1DC8"/>
    <w:rsid w:val="004D201D"/>
    <w:rsid w:val="004D2D42"/>
    <w:rsid w:val="004D2E2A"/>
    <w:rsid w:val="004D4E2C"/>
    <w:rsid w:val="004D5A56"/>
    <w:rsid w:val="004D5BB7"/>
    <w:rsid w:val="004D690C"/>
    <w:rsid w:val="004E014F"/>
    <w:rsid w:val="004E1162"/>
    <w:rsid w:val="004E11E5"/>
    <w:rsid w:val="004E1AA8"/>
    <w:rsid w:val="004E2551"/>
    <w:rsid w:val="004E3258"/>
    <w:rsid w:val="004E4B19"/>
    <w:rsid w:val="004E4EEB"/>
    <w:rsid w:val="004E52E0"/>
    <w:rsid w:val="004E5C88"/>
    <w:rsid w:val="004E60FF"/>
    <w:rsid w:val="004E6411"/>
    <w:rsid w:val="004E6889"/>
    <w:rsid w:val="004E721F"/>
    <w:rsid w:val="004F07B5"/>
    <w:rsid w:val="004F0D41"/>
    <w:rsid w:val="004F0EA0"/>
    <w:rsid w:val="004F1020"/>
    <w:rsid w:val="004F1254"/>
    <w:rsid w:val="004F2FA1"/>
    <w:rsid w:val="004F309B"/>
    <w:rsid w:val="004F319B"/>
    <w:rsid w:val="004F31AA"/>
    <w:rsid w:val="004F33FC"/>
    <w:rsid w:val="004F3C55"/>
    <w:rsid w:val="004F4948"/>
    <w:rsid w:val="004F4E43"/>
    <w:rsid w:val="004F6CC2"/>
    <w:rsid w:val="004F6EB0"/>
    <w:rsid w:val="004F7261"/>
    <w:rsid w:val="004F74DF"/>
    <w:rsid w:val="004F7C49"/>
    <w:rsid w:val="00501D9D"/>
    <w:rsid w:val="0050306A"/>
    <w:rsid w:val="00503418"/>
    <w:rsid w:val="00503FDA"/>
    <w:rsid w:val="00505682"/>
    <w:rsid w:val="00505A4F"/>
    <w:rsid w:val="00505E7F"/>
    <w:rsid w:val="005068D6"/>
    <w:rsid w:val="00507E3D"/>
    <w:rsid w:val="005106CE"/>
    <w:rsid w:val="00511A42"/>
    <w:rsid w:val="00512098"/>
    <w:rsid w:val="00513534"/>
    <w:rsid w:val="00516B2A"/>
    <w:rsid w:val="00516B73"/>
    <w:rsid w:val="00517AD0"/>
    <w:rsid w:val="00517E2D"/>
    <w:rsid w:val="00520273"/>
    <w:rsid w:val="00520717"/>
    <w:rsid w:val="005234C4"/>
    <w:rsid w:val="00524377"/>
    <w:rsid w:val="00525D36"/>
    <w:rsid w:val="00526501"/>
    <w:rsid w:val="00527926"/>
    <w:rsid w:val="00531051"/>
    <w:rsid w:val="005317C9"/>
    <w:rsid w:val="00531AD1"/>
    <w:rsid w:val="00535681"/>
    <w:rsid w:val="00536846"/>
    <w:rsid w:val="00540D0B"/>
    <w:rsid w:val="00541F97"/>
    <w:rsid w:val="0054272A"/>
    <w:rsid w:val="00542C1F"/>
    <w:rsid w:val="00542E49"/>
    <w:rsid w:val="00543A68"/>
    <w:rsid w:val="00543A7A"/>
    <w:rsid w:val="00543DF5"/>
    <w:rsid w:val="005444FA"/>
    <w:rsid w:val="00544705"/>
    <w:rsid w:val="005448DD"/>
    <w:rsid w:val="00544C44"/>
    <w:rsid w:val="00544C4C"/>
    <w:rsid w:val="005456BE"/>
    <w:rsid w:val="00547C98"/>
    <w:rsid w:val="005502C3"/>
    <w:rsid w:val="005514BE"/>
    <w:rsid w:val="005520D2"/>
    <w:rsid w:val="00552592"/>
    <w:rsid w:val="0055264C"/>
    <w:rsid w:val="00553526"/>
    <w:rsid w:val="00553CB3"/>
    <w:rsid w:val="00553D4E"/>
    <w:rsid w:val="00554687"/>
    <w:rsid w:val="0055585E"/>
    <w:rsid w:val="00555A50"/>
    <w:rsid w:val="00555AE8"/>
    <w:rsid w:val="00557BB2"/>
    <w:rsid w:val="00560AD5"/>
    <w:rsid w:val="00560E14"/>
    <w:rsid w:val="00561D57"/>
    <w:rsid w:val="00561EC6"/>
    <w:rsid w:val="00562D39"/>
    <w:rsid w:val="00563BE4"/>
    <w:rsid w:val="00563CA3"/>
    <w:rsid w:val="005643D9"/>
    <w:rsid w:val="00565858"/>
    <w:rsid w:val="0056799E"/>
    <w:rsid w:val="00571684"/>
    <w:rsid w:val="00572CCD"/>
    <w:rsid w:val="0057426E"/>
    <w:rsid w:val="005757F7"/>
    <w:rsid w:val="00575B6D"/>
    <w:rsid w:val="0058002E"/>
    <w:rsid w:val="005804DE"/>
    <w:rsid w:val="00582403"/>
    <w:rsid w:val="00583526"/>
    <w:rsid w:val="00585981"/>
    <w:rsid w:val="00585B3D"/>
    <w:rsid w:val="00585C07"/>
    <w:rsid w:val="00586A41"/>
    <w:rsid w:val="00587107"/>
    <w:rsid w:val="005879C4"/>
    <w:rsid w:val="00587C24"/>
    <w:rsid w:val="00587C97"/>
    <w:rsid w:val="0059071B"/>
    <w:rsid w:val="0059259D"/>
    <w:rsid w:val="00594C30"/>
    <w:rsid w:val="005954A9"/>
    <w:rsid w:val="005955FA"/>
    <w:rsid w:val="005A01D9"/>
    <w:rsid w:val="005A1B70"/>
    <w:rsid w:val="005A1E60"/>
    <w:rsid w:val="005A20C7"/>
    <w:rsid w:val="005A219D"/>
    <w:rsid w:val="005A2717"/>
    <w:rsid w:val="005A2D6A"/>
    <w:rsid w:val="005A6357"/>
    <w:rsid w:val="005B0281"/>
    <w:rsid w:val="005B1193"/>
    <w:rsid w:val="005B14DF"/>
    <w:rsid w:val="005B2250"/>
    <w:rsid w:val="005B2AF0"/>
    <w:rsid w:val="005B3250"/>
    <w:rsid w:val="005B4C54"/>
    <w:rsid w:val="005B677A"/>
    <w:rsid w:val="005B6E9D"/>
    <w:rsid w:val="005B7069"/>
    <w:rsid w:val="005B71DA"/>
    <w:rsid w:val="005C133B"/>
    <w:rsid w:val="005C3ACE"/>
    <w:rsid w:val="005C4A27"/>
    <w:rsid w:val="005C54A8"/>
    <w:rsid w:val="005C58CF"/>
    <w:rsid w:val="005C686D"/>
    <w:rsid w:val="005C713D"/>
    <w:rsid w:val="005C71C3"/>
    <w:rsid w:val="005D2C2D"/>
    <w:rsid w:val="005D346A"/>
    <w:rsid w:val="005D34A4"/>
    <w:rsid w:val="005D52A8"/>
    <w:rsid w:val="005D54D9"/>
    <w:rsid w:val="005D59D2"/>
    <w:rsid w:val="005D5A97"/>
    <w:rsid w:val="005E025E"/>
    <w:rsid w:val="005E1633"/>
    <w:rsid w:val="005E1EB7"/>
    <w:rsid w:val="005E2618"/>
    <w:rsid w:val="005E66E0"/>
    <w:rsid w:val="005E6926"/>
    <w:rsid w:val="005E72B5"/>
    <w:rsid w:val="005E760B"/>
    <w:rsid w:val="005E7927"/>
    <w:rsid w:val="005F1F38"/>
    <w:rsid w:val="005F3F6F"/>
    <w:rsid w:val="005F4503"/>
    <w:rsid w:val="005F5148"/>
    <w:rsid w:val="005F669A"/>
    <w:rsid w:val="005F7D6B"/>
    <w:rsid w:val="0060005D"/>
    <w:rsid w:val="00600B33"/>
    <w:rsid w:val="00601E96"/>
    <w:rsid w:val="0060228C"/>
    <w:rsid w:val="00602303"/>
    <w:rsid w:val="006027F8"/>
    <w:rsid w:val="00603A8E"/>
    <w:rsid w:val="00605504"/>
    <w:rsid w:val="00606D69"/>
    <w:rsid w:val="00606DB4"/>
    <w:rsid w:val="0060733D"/>
    <w:rsid w:val="00607FBD"/>
    <w:rsid w:val="00611B42"/>
    <w:rsid w:val="00613331"/>
    <w:rsid w:val="006134F4"/>
    <w:rsid w:val="00613619"/>
    <w:rsid w:val="006138E9"/>
    <w:rsid w:val="00613F6E"/>
    <w:rsid w:val="00614D66"/>
    <w:rsid w:val="00615ED4"/>
    <w:rsid w:val="00617EB6"/>
    <w:rsid w:val="006236C7"/>
    <w:rsid w:val="00623CD7"/>
    <w:rsid w:val="00624A32"/>
    <w:rsid w:val="00624D55"/>
    <w:rsid w:val="00624FB4"/>
    <w:rsid w:val="00625AE5"/>
    <w:rsid w:val="00627073"/>
    <w:rsid w:val="00627235"/>
    <w:rsid w:val="006300CC"/>
    <w:rsid w:val="00631270"/>
    <w:rsid w:val="00632267"/>
    <w:rsid w:val="00632346"/>
    <w:rsid w:val="0063270A"/>
    <w:rsid w:val="006334F7"/>
    <w:rsid w:val="00633F6C"/>
    <w:rsid w:val="006342C3"/>
    <w:rsid w:val="00635082"/>
    <w:rsid w:val="006351B2"/>
    <w:rsid w:val="006371C1"/>
    <w:rsid w:val="00637FBD"/>
    <w:rsid w:val="006400DA"/>
    <w:rsid w:val="006401AE"/>
    <w:rsid w:val="00640592"/>
    <w:rsid w:val="00641833"/>
    <w:rsid w:val="00641EBA"/>
    <w:rsid w:val="006421AF"/>
    <w:rsid w:val="00642653"/>
    <w:rsid w:val="00642981"/>
    <w:rsid w:val="00643EB4"/>
    <w:rsid w:val="006466F5"/>
    <w:rsid w:val="00646DEE"/>
    <w:rsid w:val="00646FD7"/>
    <w:rsid w:val="00647F0A"/>
    <w:rsid w:val="00647F17"/>
    <w:rsid w:val="00652768"/>
    <w:rsid w:val="0065397E"/>
    <w:rsid w:val="00654F7A"/>
    <w:rsid w:val="00655197"/>
    <w:rsid w:val="006569A6"/>
    <w:rsid w:val="00656F84"/>
    <w:rsid w:val="006570D5"/>
    <w:rsid w:val="00657F0A"/>
    <w:rsid w:val="00661189"/>
    <w:rsid w:val="00661F30"/>
    <w:rsid w:val="006621A0"/>
    <w:rsid w:val="006629A9"/>
    <w:rsid w:val="00662BCE"/>
    <w:rsid w:val="006639BD"/>
    <w:rsid w:val="00663A7A"/>
    <w:rsid w:val="00663CD9"/>
    <w:rsid w:val="00664064"/>
    <w:rsid w:val="006645AE"/>
    <w:rsid w:val="006650C4"/>
    <w:rsid w:val="00665521"/>
    <w:rsid w:val="00665C27"/>
    <w:rsid w:val="00666B6E"/>
    <w:rsid w:val="00666C98"/>
    <w:rsid w:val="00670ED1"/>
    <w:rsid w:val="006717A1"/>
    <w:rsid w:val="00671B1E"/>
    <w:rsid w:val="006724F6"/>
    <w:rsid w:val="00673CD4"/>
    <w:rsid w:val="00673EC1"/>
    <w:rsid w:val="006744A9"/>
    <w:rsid w:val="00674779"/>
    <w:rsid w:val="00675097"/>
    <w:rsid w:val="00676C32"/>
    <w:rsid w:val="00677838"/>
    <w:rsid w:val="00682155"/>
    <w:rsid w:val="00682EEA"/>
    <w:rsid w:val="006851ED"/>
    <w:rsid w:val="006861B0"/>
    <w:rsid w:val="00686AEF"/>
    <w:rsid w:val="00687BCB"/>
    <w:rsid w:val="00687FAB"/>
    <w:rsid w:val="00691FAA"/>
    <w:rsid w:val="00692184"/>
    <w:rsid w:val="0069262A"/>
    <w:rsid w:val="00692970"/>
    <w:rsid w:val="006935EB"/>
    <w:rsid w:val="00694E2B"/>
    <w:rsid w:val="006961E4"/>
    <w:rsid w:val="00696A47"/>
    <w:rsid w:val="00697411"/>
    <w:rsid w:val="006A05BE"/>
    <w:rsid w:val="006A08F4"/>
    <w:rsid w:val="006A15C4"/>
    <w:rsid w:val="006A1675"/>
    <w:rsid w:val="006A27F9"/>
    <w:rsid w:val="006A2D17"/>
    <w:rsid w:val="006A3075"/>
    <w:rsid w:val="006A3230"/>
    <w:rsid w:val="006A6575"/>
    <w:rsid w:val="006A73AB"/>
    <w:rsid w:val="006A74A9"/>
    <w:rsid w:val="006B019E"/>
    <w:rsid w:val="006B03E2"/>
    <w:rsid w:val="006B083F"/>
    <w:rsid w:val="006B09F1"/>
    <w:rsid w:val="006B0F5E"/>
    <w:rsid w:val="006B134F"/>
    <w:rsid w:val="006B14C7"/>
    <w:rsid w:val="006B2EEE"/>
    <w:rsid w:val="006B6099"/>
    <w:rsid w:val="006B61B6"/>
    <w:rsid w:val="006B6407"/>
    <w:rsid w:val="006B742B"/>
    <w:rsid w:val="006C3BA7"/>
    <w:rsid w:val="006C4D23"/>
    <w:rsid w:val="006C54B0"/>
    <w:rsid w:val="006C5CB3"/>
    <w:rsid w:val="006C6C56"/>
    <w:rsid w:val="006C6D7A"/>
    <w:rsid w:val="006C721D"/>
    <w:rsid w:val="006C775E"/>
    <w:rsid w:val="006D0A4A"/>
    <w:rsid w:val="006D1054"/>
    <w:rsid w:val="006D14C9"/>
    <w:rsid w:val="006D17BD"/>
    <w:rsid w:val="006D28EA"/>
    <w:rsid w:val="006D2CFD"/>
    <w:rsid w:val="006D48E1"/>
    <w:rsid w:val="006D68D4"/>
    <w:rsid w:val="006D6B52"/>
    <w:rsid w:val="006D6DFD"/>
    <w:rsid w:val="006D7225"/>
    <w:rsid w:val="006E0310"/>
    <w:rsid w:val="006E1EE2"/>
    <w:rsid w:val="006E23C1"/>
    <w:rsid w:val="006E2764"/>
    <w:rsid w:val="006E379A"/>
    <w:rsid w:val="006E4A77"/>
    <w:rsid w:val="006E5533"/>
    <w:rsid w:val="006E558A"/>
    <w:rsid w:val="006E5733"/>
    <w:rsid w:val="006E66FD"/>
    <w:rsid w:val="006E770E"/>
    <w:rsid w:val="006F0253"/>
    <w:rsid w:val="006F04D3"/>
    <w:rsid w:val="006F1E4D"/>
    <w:rsid w:val="006F2684"/>
    <w:rsid w:val="006F2FCF"/>
    <w:rsid w:val="006F4032"/>
    <w:rsid w:val="006F4BDC"/>
    <w:rsid w:val="006F5129"/>
    <w:rsid w:val="006F74A8"/>
    <w:rsid w:val="007005A8"/>
    <w:rsid w:val="0070070C"/>
    <w:rsid w:val="00701EF4"/>
    <w:rsid w:val="00702120"/>
    <w:rsid w:val="00702D0C"/>
    <w:rsid w:val="0070315C"/>
    <w:rsid w:val="00703D07"/>
    <w:rsid w:val="00704124"/>
    <w:rsid w:val="00705DA5"/>
    <w:rsid w:val="007065E8"/>
    <w:rsid w:val="007069A4"/>
    <w:rsid w:val="007070F0"/>
    <w:rsid w:val="00707295"/>
    <w:rsid w:val="00710304"/>
    <w:rsid w:val="0071111F"/>
    <w:rsid w:val="00711296"/>
    <w:rsid w:val="0071165E"/>
    <w:rsid w:val="007116A2"/>
    <w:rsid w:val="00711B2D"/>
    <w:rsid w:val="00711BB1"/>
    <w:rsid w:val="00711E88"/>
    <w:rsid w:val="007140D0"/>
    <w:rsid w:val="00714279"/>
    <w:rsid w:val="007150CF"/>
    <w:rsid w:val="00715510"/>
    <w:rsid w:val="00715D70"/>
    <w:rsid w:val="00716D85"/>
    <w:rsid w:val="00716E9B"/>
    <w:rsid w:val="00717111"/>
    <w:rsid w:val="007178B9"/>
    <w:rsid w:val="00720018"/>
    <w:rsid w:val="00720420"/>
    <w:rsid w:val="00720906"/>
    <w:rsid w:val="00720EFF"/>
    <w:rsid w:val="00721D06"/>
    <w:rsid w:val="00723E65"/>
    <w:rsid w:val="00724024"/>
    <w:rsid w:val="0072412E"/>
    <w:rsid w:val="007253BF"/>
    <w:rsid w:val="007269B4"/>
    <w:rsid w:val="007277BC"/>
    <w:rsid w:val="00730274"/>
    <w:rsid w:val="00731228"/>
    <w:rsid w:val="00731AE8"/>
    <w:rsid w:val="00731E1B"/>
    <w:rsid w:val="00731F71"/>
    <w:rsid w:val="0073210D"/>
    <w:rsid w:val="00732A64"/>
    <w:rsid w:val="007337F6"/>
    <w:rsid w:val="007342D5"/>
    <w:rsid w:val="00735377"/>
    <w:rsid w:val="00737414"/>
    <w:rsid w:val="00740F6D"/>
    <w:rsid w:val="00741673"/>
    <w:rsid w:val="00741CDF"/>
    <w:rsid w:val="007437E8"/>
    <w:rsid w:val="00743B59"/>
    <w:rsid w:val="007452FA"/>
    <w:rsid w:val="0074632B"/>
    <w:rsid w:val="0074634A"/>
    <w:rsid w:val="00746659"/>
    <w:rsid w:val="00746D42"/>
    <w:rsid w:val="00747667"/>
    <w:rsid w:val="0075014A"/>
    <w:rsid w:val="00751D42"/>
    <w:rsid w:val="0075224C"/>
    <w:rsid w:val="007534A1"/>
    <w:rsid w:val="00753896"/>
    <w:rsid w:val="00756074"/>
    <w:rsid w:val="007562CB"/>
    <w:rsid w:val="00756FD5"/>
    <w:rsid w:val="0075726E"/>
    <w:rsid w:val="00757B38"/>
    <w:rsid w:val="00760797"/>
    <w:rsid w:val="00761A41"/>
    <w:rsid w:val="0076200A"/>
    <w:rsid w:val="007624D5"/>
    <w:rsid w:val="00762D6C"/>
    <w:rsid w:val="007630FD"/>
    <w:rsid w:val="00763975"/>
    <w:rsid w:val="00765D10"/>
    <w:rsid w:val="0076608B"/>
    <w:rsid w:val="0076744D"/>
    <w:rsid w:val="00767711"/>
    <w:rsid w:val="00767931"/>
    <w:rsid w:val="007716A5"/>
    <w:rsid w:val="00771B3C"/>
    <w:rsid w:val="00772D54"/>
    <w:rsid w:val="00775746"/>
    <w:rsid w:val="00775DE8"/>
    <w:rsid w:val="007764A9"/>
    <w:rsid w:val="00776E1B"/>
    <w:rsid w:val="007777A0"/>
    <w:rsid w:val="00777FED"/>
    <w:rsid w:val="00783087"/>
    <w:rsid w:val="00783527"/>
    <w:rsid w:val="00785D92"/>
    <w:rsid w:val="00787A12"/>
    <w:rsid w:val="0079064D"/>
    <w:rsid w:val="0079133E"/>
    <w:rsid w:val="00791B2E"/>
    <w:rsid w:val="00792205"/>
    <w:rsid w:val="007922A6"/>
    <w:rsid w:val="0079474D"/>
    <w:rsid w:val="00794C58"/>
    <w:rsid w:val="00795A4F"/>
    <w:rsid w:val="007976E5"/>
    <w:rsid w:val="007A093C"/>
    <w:rsid w:val="007A1C62"/>
    <w:rsid w:val="007A20DE"/>
    <w:rsid w:val="007A28B9"/>
    <w:rsid w:val="007A31D0"/>
    <w:rsid w:val="007A3D50"/>
    <w:rsid w:val="007A42E1"/>
    <w:rsid w:val="007B04F8"/>
    <w:rsid w:val="007B1BDA"/>
    <w:rsid w:val="007B1F69"/>
    <w:rsid w:val="007B2856"/>
    <w:rsid w:val="007B32B2"/>
    <w:rsid w:val="007B3BCA"/>
    <w:rsid w:val="007B43A8"/>
    <w:rsid w:val="007B4863"/>
    <w:rsid w:val="007B4DA2"/>
    <w:rsid w:val="007B5206"/>
    <w:rsid w:val="007B56D4"/>
    <w:rsid w:val="007B5862"/>
    <w:rsid w:val="007B603F"/>
    <w:rsid w:val="007B7894"/>
    <w:rsid w:val="007B7944"/>
    <w:rsid w:val="007C03DD"/>
    <w:rsid w:val="007C04EC"/>
    <w:rsid w:val="007C0A6C"/>
    <w:rsid w:val="007C2C59"/>
    <w:rsid w:val="007C30D0"/>
    <w:rsid w:val="007C3662"/>
    <w:rsid w:val="007C4372"/>
    <w:rsid w:val="007C44A3"/>
    <w:rsid w:val="007C4C08"/>
    <w:rsid w:val="007C50FA"/>
    <w:rsid w:val="007C5155"/>
    <w:rsid w:val="007C56A8"/>
    <w:rsid w:val="007C6EFC"/>
    <w:rsid w:val="007C74A9"/>
    <w:rsid w:val="007D0A23"/>
    <w:rsid w:val="007D1D50"/>
    <w:rsid w:val="007D3399"/>
    <w:rsid w:val="007D37D0"/>
    <w:rsid w:val="007D4721"/>
    <w:rsid w:val="007D5354"/>
    <w:rsid w:val="007D5620"/>
    <w:rsid w:val="007D59B8"/>
    <w:rsid w:val="007D607C"/>
    <w:rsid w:val="007D75CF"/>
    <w:rsid w:val="007E13A6"/>
    <w:rsid w:val="007E1A2C"/>
    <w:rsid w:val="007E1C35"/>
    <w:rsid w:val="007E276F"/>
    <w:rsid w:val="007E27CB"/>
    <w:rsid w:val="007E341B"/>
    <w:rsid w:val="007E37A8"/>
    <w:rsid w:val="007E416B"/>
    <w:rsid w:val="007E5F73"/>
    <w:rsid w:val="007E5FEE"/>
    <w:rsid w:val="007E74AF"/>
    <w:rsid w:val="007F00AA"/>
    <w:rsid w:val="007F1DE0"/>
    <w:rsid w:val="007F2A5E"/>
    <w:rsid w:val="007F3A84"/>
    <w:rsid w:val="007F3F68"/>
    <w:rsid w:val="007F447B"/>
    <w:rsid w:val="007F46EA"/>
    <w:rsid w:val="007F4AF6"/>
    <w:rsid w:val="007F69BF"/>
    <w:rsid w:val="007F6BDD"/>
    <w:rsid w:val="007F79EF"/>
    <w:rsid w:val="007F7AB5"/>
    <w:rsid w:val="00800ACB"/>
    <w:rsid w:val="008013A3"/>
    <w:rsid w:val="0080222D"/>
    <w:rsid w:val="00802A48"/>
    <w:rsid w:val="00802D37"/>
    <w:rsid w:val="00802D73"/>
    <w:rsid w:val="00804202"/>
    <w:rsid w:val="00805A42"/>
    <w:rsid w:val="00806861"/>
    <w:rsid w:val="00806DF0"/>
    <w:rsid w:val="0081043A"/>
    <w:rsid w:val="00810BC3"/>
    <w:rsid w:val="00810D63"/>
    <w:rsid w:val="0081150B"/>
    <w:rsid w:val="00811B3F"/>
    <w:rsid w:val="00813A31"/>
    <w:rsid w:val="00814461"/>
    <w:rsid w:val="008154FA"/>
    <w:rsid w:val="008160B4"/>
    <w:rsid w:val="00816557"/>
    <w:rsid w:val="0081667B"/>
    <w:rsid w:val="0081744C"/>
    <w:rsid w:val="00817703"/>
    <w:rsid w:val="00820482"/>
    <w:rsid w:val="00822981"/>
    <w:rsid w:val="00822A59"/>
    <w:rsid w:val="008233A1"/>
    <w:rsid w:val="00823438"/>
    <w:rsid w:val="00824396"/>
    <w:rsid w:val="008244A6"/>
    <w:rsid w:val="00824AB4"/>
    <w:rsid w:val="00825EAE"/>
    <w:rsid w:val="0082600A"/>
    <w:rsid w:val="00826956"/>
    <w:rsid w:val="00827AE7"/>
    <w:rsid w:val="0083074C"/>
    <w:rsid w:val="00831D3D"/>
    <w:rsid w:val="0083223D"/>
    <w:rsid w:val="00832594"/>
    <w:rsid w:val="008325BD"/>
    <w:rsid w:val="0083391E"/>
    <w:rsid w:val="00833B1E"/>
    <w:rsid w:val="00834AB8"/>
    <w:rsid w:val="00835147"/>
    <w:rsid w:val="0083577E"/>
    <w:rsid w:val="00836073"/>
    <w:rsid w:val="0083791F"/>
    <w:rsid w:val="00837B2E"/>
    <w:rsid w:val="00837B95"/>
    <w:rsid w:val="00840BDF"/>
    <w:rsid w:val="008410DF"/>
    <w:rsid w:val="00841194"/>
    <w:rsid w:val="008419C7"/>
    <w:rsid w:val="00841D9F"/>
    <w:rsid w:val="00842590"/>
    <w:rsid w:val="00844EFE"/>
    <w:rsid w:val="008453F6"/>
    <w:rsid w:val="00846235"/>
    <w:rsid w:val="0084635C"/>
    <w:rsid w:val="00847059"/>
    <w:rsid w:val="00847E53"/>
    <w:rsid w:val="0085317D"/>
    <w:rsid w:val="00853F4C"/>
    <w:rsid w:val="00854355"/>
    <w:rsid w:val="00854F90"/>
    <w:rsid w:val="0085550F"/>
    <w:rsid w:val="008564B9"/>
    <w:rsid w:val="00856684"/>
    <w:rsid w:val="00856F97"/>
    <w:rsid w:val="008618A0"/>
    <w:rsid w:val="00862E13"/>
    <w:rsid w:val="00863A54"/>
    <w:rsid w:val="00866278"/>
    <w:rsid w:val="00867D3A"/>
    <w:rsid w:val="00867E94"/>
    <w:rsid w:val="00871019"/>
    <w:rsid w:val="00871AA6"/>
    <w:rsid w:val="008723A4"/>
    <w:rsid w:val="00872BC0"/>
    <w:rsid w:val="00873F39"/>
    <w:rsid w:val="00875762"/>
    <w:rsid w:val="008768F9"/>
    <w:rsid w:val="0087699A"/>
    <w:rsid w:val="00877FF7"/>
    <w:rsid w:val="0088162A"/>
    <w:rsid w:val="00881C4D"/>
    <w:rsid w:val="008826CD"/>
    <w:rsid w:val="00882FBD"/>
    <w:rsid w:val="008840FA"/>
    <w:rsid w:val="0088452F"/>
    <w:rsid w:val="0088514D"/>
    <w:rsid w:val="008856C7"/>
    <w:rsid w:val="00885DA6"/>
    <w:rsid w:val="008861CC"/>
    <w:rsid w:val="008867D3"/>
    <w:rsid w:val="00886C28"/>
    <w:rsid w:val="00886C53"/>
    <w:rsid w:val="00890346"/>
    <w:rsid w:val="00890363"/>
    <w:rsid w:val="00890445"/>
    <w:rsid w:val="00890623"/>
    <w:rsid w:val="008910E4"/>
    <w:rsid w:val="0089136C"/>
    <w:rsid w:val="008927D8"/>
    <w:rsid w:val="00893162"/>
    <w:rsid w:val="00894228"/>
    <w:rsid w:val="00895B4E"/>
    <w:rsid w:val="00895FAB"/>
    <w:rsid w:val="00897294"/>
    <w:rsid w:val="0089761C"/>
    <w:rsid w:val="00897B97"/>
    <w:rsid w:val="00897DA2"/>
    <w:rsid w:val="008A03FD"/>
    <w:rsid w:val="008A312A"/>
    <w:rsid w:val="008A3B6E"/>
    <w:rsid w:val="008A48C5"/>
    <w:rsid w:val="008A4A3A"/>
    <w:rsid w:val="008A4E66"/>
    <w:rsid w:val="008A5650"/>
    <w:rsid w:val="008A6CC6"/>
    <w:rsid w:val="008A6E9C"/>
    <w:rsid w:val="008A7B6B"/>
    <w:rsid w:val="008B0BFF"/>
    <w:rsid w:val="008B50D0"/>
    <w:rsid w:val="008B5645"/>
    <w:rsid w:val="008B5C86"/>
    <w:rsid w:val="008B64F4"/>
    <w:rsid w:val="008B6834"/>
    <w:rsid w:val="008B6896"/>
    <w:rsid w:val="008B7C1B"/>
    <w:rsid w:val="008C0C4E"/>
    <w:rsid w:val="008C10D8"/>
    <w:rsid w:val="008C2537"/>
    <w:rsid w:val="008C2723"/>
    <w:rsid w:val="008C2BE4"/>
    <w:rsid w:val="008C3784"/>
    <w:rsid w:val="008C38D4"/>
    <w:rsid w:val="008C45C1"/>
    <w:rsid w:val="008C48F2"/>
    <w:rsid w:val="008C5083"/>
    <w:rsid w:val="008C5DE9"/>
    <w:rsid w:val="008C6702"/>
    <w:rsid w:val="008C682C"/>
    <w:rsid w:val="008C6E04"/>
    <w:rsid w:val="008D046B"/>
    <w:rsid w:val="008D0544"/>
    <w:rsid w:val="008D16E6"/>
    <w:rsid w:val="008D1AFB"/>
    <w:rsid w:val="008D1F6A"/>
    <w:rsid w:val="008D27F6"/>
    <w:rsid w:val="008D28BD"/>
    <w:rsid w:val="008D33D6"/>
    <w:rsid w:val="008D35BD"/>
    <w:rsid w:val="008D3C20"/>
    <w:rsid w:val="008D4C62"/>
    <w:rsid w:val="008D4F88"/>
    <w:rsid w:val="008D5E2C"/>
    <w:rsid w:val="008D6575"/>
    <w:rsid w:val="008D7801"/>
    <w:rsid w:val="008E3286"/>
    <w:rsid w:val="008E373C"/>
    <w:rsid w:val="008E57F5"/>
    <w:rsid w:val="008E7543"/>
    <w:rsid w:val="008E758D"/>
    <w:rsid w:val="008F0150"/>
    <w:rsid w:val="008F015A"/>
    <w:rsid w:val="008F0E8D"/>
    <w:rsid w:val="008F36E1"/>
    <w:rsid w:val="008F3D47"/>
    <w:rsid w:val="008F44A3"/>
    <w:rsid w:val="008F4747"/>
    <w:rsid w:val="008F54B4"/>
    <w:rsid w:val="008F56C7"/>
    <w:rsid w:val="008F5AFD"/>
    <w:rsid w:val="008F5F9C"/>
    <w:rsid w:val="008F6571"/>
    <w:rsid w:val="00900355"/>
    <w:rsid w:val="009004E3"/>
    <w:rsid w:val="00900720"/>
    <w:rsid w:val="00901E02"/>
    <w:rsid w:val="00903052"/>
    <w:rsid w:val="0090350F"/>
    <w:rsid w:val="00903E53"/>
    <w:rsid w:val="00904F72"/>
    <w:rsid w:val="00906CD6"/>
    <w:rsid w:val="0090754B"/>
    <w:rsid w:val="009078B0"/>
    <w:rsid w:val="00907B4E"/>
    <w:rsid w:val="00910375"/>
    <w:rsid w:val="009118D7"/>
    <w:rsid w:val="009120D3"/>
    <w:rsid w:val="00913A8C"/>
    <w:rsid w:val="00914D85"/>
    <w:rsid w:val="00914DF1"/>
    <w:rsid w:val="009158D1"/>
    <w:rsid w:val="00916419"/>
    <w:rsid w:val="009172C7"/>
    <w:rsid w:val="00920C59"/>
    <w:rsid w:val="0092137C"/>
    <w:rsid w:val="009219B1"/>
    <w:rsid w:val="0092268A"/>
    <w:rsid w:val="00922A47"/>
    <w:rsid w:val="00923071"/>
    <w:rsid w:val="00923386"/>
    <w:rsid w:val="00923A32"/>
    <w:rsid w:val="00923AAD"/>
    <w:rsid w:val="00923BED"/>
    <w:rsid w:val="00925058"/>
    <w:rsid w:val="009263D6"/>
    <w:rsid w:val="00927BDB"/>
    <w:rsid w:val="009305D7"/>
    <w:rsid w:val="009309DA"/>
    <w:rsid w:val="0093226E"/>
    <w:rsid w:val="00932391"/>
    <w:rsid w:val="009335A7"/>
    <w:rsid w:val="00934A2B"/>
    <w:rsid w:val="009354FB"/>
    <w:rsid w:val="0093577A"/>
    <w:rsid w:val="0093628A"/>
    <w:rsid w:val="009365F1"/>
    <w:rsid w:val="00937B75"/>
    <w:rsid w:val="0094046F"/>
    <w:rsid w:val="009420B5"/>
    <w:rsid w:val="00942525"/>
    <w:rsid w:val="00943813"/>
    <w:rsid w:val="00944A20"/>
    <w:rsid w:val="00946743"/>
    <w:rsid w:val="009471F2"/>
    <w:rsid w:val="009475FA"/>
    <w:rsid w:val="00950097"/>
    <w:rsid w:val="009506AC"/>
    <w:rsid w:val="00950C1A"/>
    <w:rsid w:val="00951183"/>
    <w:rsid w:val="00951219"/>
    <w:rsid w:val="0095256F"/>
    <w:rsid w:val="00952C4A"/>
    <w:rsid w:val="00953567"/>
    <w:rsid w:val="00954F8B"/>
    <w:rsid w:val="009556BF"/>
    <w:rsid w:val="009566C5"/>
    <w:rsid w:val="00957212"/>
    <w:rsid w:val="00960070"/>
    <w:rsid w:val="0096127A"/>
    <w:rsid w:val="009613F4"/>
    <w:rsid w:val="009641D3"/>
    <w:rsid w:val="00967FA0"/>
    <w:rsid w:val="00970DFC"/>
    <w:rsid w:val="0097294B"/>
    <w:rsid w:val="009729BF"/>
    <w:rsid w:val="00972F6C"/>
    <w:rsid w:val="00974FED"/>
    <w:rsid w:val="009767EA"/>
    <w:rsid w:val="009771AE"/>
    <w:rsid w:val="009777F4"/>
    <w:rsid w:val="009815DF"/>
    <w:rsid w:val="00981E56"/>
    <w:rsid w:val="00982504"/>
    <w:rsid w:val="00985BFA"/>
    <w:rsid w:val="0098623C"/>
    <w:rsid w:val="009867BA"/>
    <w:rsid w:val="00986D40"/>
    <w:rsid w:val="00986DDC"/>
    <w:rsid w:val="009872C0"/>
    <w:rsid w:val="00990493"/>
    <w:rsid w:val="00990549"/>
    <w:rsid w:val="0099060B"/>
    <w:rsid w:val="00991732"/>
    <w:rsid w:val="00991D09"/>
    <w:rsid w:val="009920A4"/>
    <w:rsid w:val="009935EC"/>
    <w:rsid w:val="00993891"/>
    <w:rsid w:val="009966EB"/>
    <w:rsid w:val="00996AF5"/>
    <w:rsid w:val="00997EB3"/>
    <w:rsid w:val="009A1022"/>
    <w:rsid w:val="009A353F"/>
    <w:rsid w:val="009A4F67"/>
    <w:rsid w:val="009A761F"/>
    <w:rsid w:val="009B0002"/>
    <w:rsid w:val="009B0C0C"/>
    <w:rsid w:val="009B0E8C"/>
    <w:rsid w:val="009B132F"/>
    <w:rsid w:val="009B2217"/>
    <w:rsid w:val="009B275D"/>
    <w:rsid w:val="009B3C2F"/>
    <w:rsid w:val="009B4604"/>
    <w:rsid w:val="009B5924"/>
    <w:rsid w:val="009B5BE0"/>
    <w:rsid w:val="009B5C9E"/>
    <w:rsid w:val="009B6982"/>
    <w:rsid w:val="009B75CB"/>
    <w:rsid w:val="009C3C2B"/>
    <w:rsid w:val="009C4962"/>
    <w:rsid w:val="009C70C5"/>
    <w:rsid w:val="009C7AA4"/>
    <w:rsid w:val="009D07F5"/>
    <w:rsid w:val="009D0E49"/>
    <w:rsid w:val="009D26DC"/>
    <w:rsid w:val="009D2878"/>
    <w:rsid w:val="009D5632"/>
    <w:rsid w:val="009D76D1"/>
    <w:rsid w:val="009D77FE"/>
    <w:rsid w:val="009E018E"/>
    <w:rsid w:val="009E0517"/>
    <w:rsid w:val="009E0DA3"/>
    <w:rsid w:val="009E12DA"/>
    <w:rsid w:val="009E1E61"/>
    <w:rsid w:val="009E1F2E"/>
    <w:rsid w:val="009E24FB"/>
    <w:rsid w:val="009E29D1"/>
    <w:rsid w:val="009E3D38"/>
    <w:rsid w:val="009E3DA5"/>
    <w:rsid w:val="009E3DB8"/>
    <w:rsid w:val="009E3E03"/>
    <w:rsid w:val="009E3F3D"/>
    <w:rsid w:val="009E4563"/>
    <w:rsid w:val="009E52EB"/>
    <w:rsid w:val="009E58A0"/>
    <w:rsid w:val="009E5D12"/>
    <w:rsid w:val="009E6E6D"/>
    <w:rsid w:val="009F00A7"/>
    <w:rsid w:val="009F04A4"/>
    <w:rsid w:val="009F11B4"/>
    <w:rsid w:val="009F5B90"/>
    <w:rsid w:val="009F6245"/>
    <w:rsid w:val="009F6AAA"/>
    <w:rsid w:val="009F766A"/>
    <w:rsid w:val="00A01C24"/>
    <w:rsid w:val="00A02878"/>
    <w:rsid w:val="00A0386E"/>
    <w:rsid w:val="00A048B8"/>
    <w:rsid w:val="00A06331"/>
    <w:rsid w:val="00A06CB5"/>
    <w:rsid w:val="00A10055"/>
    <w:rsid w:val="00A11699"/>
    <w:rsid w:val="00A142F7"/>
    <w:rsid w:val="00A14951"/>
    <w:rsid w:val="00A15B03"/>
    <w:rsid w:val="00A16FBE"/>
    <w:rsid w:val="00A20C42"/>
    <w:rsid w:val="00A2105B"/>
    <w:rsid w:val="00A22217"/>
    <w:rsid w:val="00A22EA5"/>
    <w:rsid w:val="00A2472F"/>
    <w:rsid w:val="00A24954"/>
    <w:rsid w:val="00A24E54"/>
    <w:rsid w:val="00A2604E"/>
    <w:rsid w:val="00A300E4"/>
    <w:rsid w:val="00A309CD"/>
    <w:rsid w:val="00A30ED4"/>
    <w:rsid w:val="00A3280D"/>
    <w:rsid w:val="00A32984"/>
    <w:rsid w:val="00A33263"/>
    <w:rsid w:val="00A35033"/>
    <w:rsid w:val="00A37319"/>
    <w:rsid w:val="00A37FBB"/>
    <w:rsid w:val="00A4006E"/>
    <w:rsid w:val="00A403FE"/>
    <w:rsid w:val="00A4062A"/>
    <w:rsid w:val="00A40A03"/>
    <w:rsid w:val="00A414F8"/>
    <w:rsid w:val="00A41E82"/>
    <w:rsid w:val="00A4291F"/>
    <w:rsid w:val="00A432DE"/>
    <w:rsid w:val="00A44488"/>
    <w:rsid w:val="00A449A3"/>
    <w:rsid w:val="00A46F7E"/>
    <w:rsid w:val="00A47020"/>
    <w:rsid w:val="00A4782D"/>
    <w:rsid w:val="00A5067A"/>
    <w:rsid w:val="00A50DB7"/>
    <w:rsid w:val="00A5121F"/>
    <w:rsid w:val="00A51D03"/>
    <w:rsid w:val="00A51E7E"/>
    <w:rsid w:val="00A52637"/>
    <w:rsid w:val="00A52885"/>
    <w:rsid w:val="00A530CC"/>
    <w:rsid w:val="00A533D1"/>
    <w:rsid w:val="00A5448B"/>
    <w:rsid w:val="00A552C9"/>
    <w:rsid w:val="00A557CC"/>
    <w:rsid w:val="00A55A5A"/>
    <w:rsid w:val="00A5695E"/>
    <w:rsid w:val="00A576D1"/>
    <w:rsid w:val="00A601C1"/>
    <w:rsid w:val="00A60A54"/>
    <w:rsid w:val="00A60E52"/>
    <w:rsid w:val="00A60E9E"/>
    <w:rsid w:val="00A61039"/>
    <w:rsid w:val="00A62214"/>
    <w:rsid w:val="00A6388A"/>
    <w:rsid w:val="00A6438E"/>
    <w:rsid w:val="00A64E7E"/>
    <w:rsid w:val="00A65447"/>
    <w:rsid w:val="00A65622"/>
    <w:rsid w:val="00A65C00"/>
    <w:rsid w:val="00A67A10"/>
    <w:rsid w:val="00A7010A"/>
    <w:rsid w:val="00A711F8"/>
    <w:rsid w:val="00A7164B"/>
    <w:rsid w:val="00A71720"/>
    <w:rsid w:val="00A718BE"/>
    <w:rsid w:val="00A72106"/>
    <w:rsid w:val="00A72539"/>
    <w:rsid w:val="00A733AE"/>
    <w:rsid w:val="00A73BA8"/>
    <w:rsid w:val="00A73F8E"/>
    <w:rsid w:val="00A75380"/>
    <w:rsid w:val="00A77963"/>
    <w:rsid w:val="00A77C1A"/>
    <w:rsid w:val="00A80100"/>
    <w:rsid w:val="00A807A4"/>
    <w:rsid w:val="00A808D7"/>
    <w:rsid w:val="00A80A6E"/>
    <w:rsid w:val="00A81203"/>
    <w:rsid w:val="00A818B0"/>
    <w:rsid w:val="00A82200"/>
    <w:rsid w:val="00A8240A"/>
    <w:rsid w:val="00A827C5"/>
    <w:rsid w:val="00A83151"/>
    <w:rsid w:val="00A8430E"/>
    <w:rsid w:val="00A84771"/>
    <w:rsid w:val="00A87F77"/>
    <w:rsid w:val="00A9125F"/>
    <w:rsid w:val="00A9342B"/>
    <w:rsid w:val="00A93ECE"/>
    <w:rsid w:val="00A95502"/>
    <w:rsid w:val="00A96A0C"/>
    <w:rsid w:val="00A9738F"/>
    <w:rsid w:val="00A97AEC"/>
    <w:rsid w:val="00A97D75"/>
    <w:rsid w:val="00AA1402"/>
    <w:rsid w:val="00AA14AB"/>
    <w:rsid w:val="00AA1565"/>
    <w:rsid w:val="00AA31DF"/>
    <w:rsid w:val="00AA3777"/>
    <w:rsid w:val="00AA3E4D"/>
    <w:rsid w:val="00AA4627"/>
    <w:rsid w:val="00AA48FC"/>
    <w:rsid w:val="00AA4C2E"/>
    <w:rsid w:val="00AA4EF2"/>
    <w:rsid w:val="00AB021B"/>
    <w:rsid w:val="00AB0631"/>
    <w:rsid w:val="00AB2CF2"/>
    <w:rsid w:val="00AB3390"/>
    <w:rsid w:val="00AB3861"/>
    <w:rsid w:val="00AB3E49"/>
    <w:rsid w:val="00AB3F91"/>
    <w:rsid w:val="00AB42F6"/>
    <w:rsid w:val="00AB4357"/>
    <w:rsid w:val="00AB4514"/>
    <w:rsid w:val="00AB4B03"/>
    <w:rsid w:val="00AB4B78"/>
    <w:rsid w:val="00AB594A"/>
    <w:rsid w:val="00AB7AC3"/>
    <w:rsid w:val="00AB7FF0"/>
    <w:rsid w:val="00AC0443"/>
    <w:rsid w:val="00AC08C9"/>
    <w:rsid w:val="00AC0E93"/>
    <w:rsid w:val="00AC1816"/>
    <w:rsid w:val="00AC298A"/>
    <w:rsid w:val="00AC44AC"/>
    <w:rsid w:val="00AC464F"/>
    <w:rsid w:val="00AC63A5"/>
    <w:rsid w:val="00AC63E4"/>
    <w:rsid w:val="00AC6895"/>
    <w:rsid w:val="00AC7DD1"/>
    <w:rsid w:val="00AD18B1"/>
    <w:rsid w:val="00AD2C4F"/>
    <w:rsid w:val="00AD2E4F"/>
    <w:rsid w:val="00AD314E"/>
    <w:rsid w:val="00AD3B06"/>
    <w:rsid w:val="00AD4B5C"/>
    <w:rsid w:val="00AD4C98"/>
    <w:rsid w:val="00AD4CC2"/>
    <w:rsid w:val="00AD52C8"/>
    <w:rsid w:val="00AD5B6A"/>
    <w:rsid w:val="00AD6A0C"/>
    <w:rsid w:val="00AD796B"/>
    <w:rsid w:val="00AE0D65"/>
    <w:rsid w:val="00AE1F44"/>
    <w:rsid w:val="00AE3340"/>
    <w:rsid w:val="00AE3A74"/>
    <w:rsid w:val="00AE4B41"/>
    <w:rsid w:val="00AE56A2"/>
    <w:rsid w:val="00AE626D"/>
    <w:rsid w:val="00AE7BE0"/>
    <w:rsid w:val="00AF0778"/>
    <w:rsid w:val="00AF1303"/>
    <w:rsid w:val="00AF1C60"/>
    <w:rsid w:val="00AF2367"/>
    <w:rsid w:val="00AF31B3"/>
    <w:rsid w:val="00AF357F"/>
    <w:rsid w:val="00AF35B1"/>
    <w:rsid w:val="00AF391E"/>
    <w:rsid w:val="00AF516D"/>
    <w:rsid w:val="00AF521C"/>
    <w:rsid w:val="00AF6C2A"/>
    <w:rsid w:val="00AF6F4A"/>
    <w:rsid w:val="00AF7A4D"/>
    <w:rsid w:val="00AF7B34"/>
    <w:rsid w:val="00B00016"/>
    <w:rsid w:val="00B01328"/>
    <w:rsid w:val="00B0149B"/>
    <w:rsid w:val="00B02046"/>
    <w:rsid w:val="00B0430A"/>
    <w:rsid w:val="00B045AA"/>
    <w:rsid w:val="00B05037"/>
    <w:rsid w:val="00B05566"/>
    <w:rsid w:val="00B061AA"/>
    <w:rsid w:val="00B065C6"/>
    <w:rsid w:val="00B06898"/>
    <w:rsid w:val="00B103F0"/>
    <w:rsid w:val="00B1197B"/>
    <w:rsid w:val="00B11E20"/>
    <w:rsid w:val="00B122A1"/>
    <w:rsid w:val="00B128AC"/>
    <w:rsid w:val="00B13F40"/>
    <w:rsid w:val="00B16932"/>
    <w:rsid w:val="00B17F87"/>
    <w:rsid w:val="00B20827"/>
    <w:rsid w:val="00B20AE8"/>
    <w:rsid w:val="00B21E0B"/>
    <w:rsid w:val="00B223CD"/>
    <w:rsid w:val="00B23348"/>
    <w:rsid w:val="00B234E3"/>
    <w:rsid w:val="00B2391C"/>
    <w:rsid w:val="00B242F5"/>
    <w:rsid w:val="00B269C7"/>
    <w:rsid w:val="00B27F0B"/>
    <w:rsid w:val="00B27F50"/>
    <w:rsid w:val="00B3156E"/>
    <w:rsid w:val="00B31B40"/>
    <w:rsid w:val="00B342BD"/>
    <w:rsid w:val="00B34957"/>
    <w:rsid w:val="00B349EB"/>
    <w:rsid w:val="00B3560D"/>
    <w:rsid w:val="00B35B74"/>
    <w:rsid w:val="00B35BEE"/>
    <w:rsid w:val="00B402FE"/>
    <w:rsid w:val="00B414E6"/>
    <w:rsid w:val="00B41AAA"/>
    <w:rsid w:val="00B41D7C"/>
    <w:rsid w:val="00B45B4F"/>
    <w:rsid w:val="00B45C9E"/>
    <w:rsid w:val="00B45DFC"/>
    <w:rsid w:val="00B465F3"/>
    <w:rsid w:val="00B51E67"/>
    <w:rsid w:val="00B5225C"/>
    <w:rsid w:val="00B529EC"/>
    <w:rsid w:val="00B53B6B"/>
    <w:rsid w:val="00B53C37"/>
    <w:rsid w:val="00B550D8"/>
    <w:rsid w:val="00B56063"/>
    <w:rsid w:val="00B5630E"/>
    <w:rsid w:val="00B5690A"/>
    <w:rsid w:val="00B56FF8"/>
    <w:rsid w:val="00B57A71"/>
    <w:rsid w:val="00B614CE"/>
    <w:rsid w:val="00B63211"/>
    <w:rsid w:val="00B63828"/>
    <w:rsid w:val="00B66B3E"/>
    <w:rsid w:val="00B67535"/>
    <w:rsid w:val="00B71BB4"/>
    <w:rsid w:val="00B71CB5"/>
    <w:rsid w:val="00B729AF"/>
    <w:rsid w:val="00B730B4"/>
    <w:rsid w:val="00B73D25"/>
    <w:rsid w:val="00B75BA6"/>
    <w:rsid w:val="00B75D91"/>
    <w:rsid w:val="00B75EAE"/>
    <w:rsid w:val="00B800F2"/>
    <w:rsid w:val="00B81C83"/>
    <w:rsid w:val="00B82F73"/>
    <w:rsid w:val="00B8326E"/>
    <w:rsid w:val="00B84582"/>
    <w:rsid w:val="00B851D7"/>
    <w:rsid w:val="00B854A5"/>
    <w:rsid w:val="00B8624C"/>
    <w:rsid w:val="00B86702"/>
    <w:rsid w:val="00B86D48"/>
    <w:rsid w:val="00B86EF7"/>
    <w:rsid w:val="00B905F9"/>
    <w:rsid w:val="00B908CA"/>
    <w:rsid w:val="00B915ED"/>
    <w:rsid w:val="00B9179C"/>
    <w:rsid w:val="00B931E1"/>
    <w:rsid w:val="00B95E11"/>
    <w:rsid w:val="00B964F4"/>
    <w:rsid w:val="00B97400"/>
    <w:rsid w:val="00B97BC7"/>
    <w:rsid w:val="00B97FAD"/>
    <w:rsid w:val="00BA0517"/>
    <w:rsid w:val="00BA06F3"/>
    <w:rsid w:val="00BA0E86"/>
    <w:rsid w:val="00BA1F72"/>
    <w:rsid w:val="00BA3039"/>
    <w:rsid w:val="00BA3060"/>
    <w:rsid w:val="00BA31D0"/>
    <w:rsid w:val="00BA3B55"/>
    <w:rsid w:val="00BA424A"/>
    <w:rsid w:val="00BA4DEB"/>
    <w:rsid w:val="00BA59F7"/>
    <w:rsid w:val="00BA66E0"/>
    <w:rsid w:val="00BB05A9"/>
    <w:rsid w:val="00BB0CD1"/>
    <w:rsid w:val="00BB0ECD"/>
    <w:rsid w:val="00BB2F54"/>
    <w:rsid w:val="00BB3211"/>
    <w:rsid w:val="00BB41FD"/>
    <w:rsid w:val="00BB4800"/>
    <w:rsid w:val="00BB4C5D"/>
    <w:rsid w:val="00BB7686"/>
    <w:rsid w:val="00BB7869"/>
    <w:rsid w:val="00BC03DD"/>
    <w:rsid w:val="00BC0796"/>
    <w:rsid w:val="00BC08F6"/>
    <w:rsid w:val="00BC23A6"/>
    <w:rsid w:val="00BC3F94"/>
    <w:rsid w:val="00BC53E7"/>
    <w:rsid w:val="00BC621F"/>
    <w:rsid w:val="00BC6237"/>
    <w:rsid w:val="00BC6AC7"/>
    <w:rsid w:val="00BC6B70"/>
    <w:rsid w:val="00BC78F8"/>
    <w:rsid w:val="00BD0A84"/>
    <w:rsid w:val="00BD0AC4"/>
    <w:rsid w:val="00BD1FDF"/>
    <w:rsid w:val="00BD21AF"/>
    <w:rsid w:val="00BD2687"/>
    <w:rsid w:val="00BD38FE"/>
    <w:rsid w:val="00BD3B1F"/>
    <w:rsid w:val="00BD55F7"/>
    <w:rsid w:val="00BD56E6"/>
    <w:rsid w:val="00BD5D3F"/>
    <w:rsid w:val="00BD61F8"/>
    <w:rsid w:val="00BD6CF6"/>
    <w:rsid w:val="00BE0CD6"/>
    <w:rsid w:val="00BE11E8"/>
    <w:rsid w:val="00BE1518"/>
    <w:rsid w:val="00BE21F8"/>
    <w:rsid w:val="00BE502C"/>
    <w:rsid w:val="00BE63CF"/>
    <w:rsid w:val="00BE7821"/>
    <w:rsid w:val="00BF1936"/>
    <w:rsid w:val="00BF1B1D"/>
    <w:rsid w:val="00BF1F0F"/>
    <w:rsid w:val="00BF28D4"/>
    <w:rsid w:val="00BF3CCE"/>
    <w:rsid w:val="00BF4412"/>
    <w:rsid w:val="00BF4D98"/>
    <w:rsid w:val="00BF5004"/>
    <w:rsid w:val="00BF5B56"/>
    <w:rsid w:val="00BF5C2D"/>
    <w:rsid w:val="00BF6799"/>
    <w:rsid w:val="00BF6CFE"/>
    <w:rsid w:val="00BF6F4C"/>
    <w:rsid w:val="00BF768E"/>
    <w:rsid w:val="00C00587"/>
    <w:rsid w:val="00C0120E"/>
    <w:rsid w:val="00C01430"/>
    <w:rsid w:val="00C02305"/>
    <w:rsid w:val="00C03950"/>
    <w:rsid w:val="00C03E60"/>
    <w:rsid w:val="00C03E96"/>
    <w:rsid w:val="00C04874"/>
    <w:rsid w:val="00C0501F"/>
    <w:rsid w:val="00C053F6"/>
    <w:rsid w:val="00C05943"/>
    <w:rsid w:val="00C06579"/>
    <w:rsid w:val="00C06C7D"/>
    <w:rsid w:val="00C10B52"/>
    <w:rsid w:val="00C1208D"/>
    <w:rsid w:val="00C12D9C"/>
    <w:rsid w:val="00C130B1"/>
    <w:rsid w:val="00C13A88"/>
    <w:rsid w:val="00C13B5B"/>
    <w:rsid w:val="00C13D51"/>
    <w:rsid w:val="00C14239"/>
    <w:rsid w:val="00C14EB3"/>
    <w:rsid w:val="00C14F88"/>
    <w:rsid w:val="00C155D6"/>
    <w:rsid w:val="00C15B20"/>
    <w:rsid w:val="00C15B46"/>
    <w:rsid w:val="00C160FF"/>
    <w:rsid w:val="00C1733C"/>
    <w:rsid w:val="00C17F63"/>
    <w:rsid w:val="00C20440"/>
    <w:rsid w:val="00C21445"/>
    <w:rsid w:val="00C215D8"/>
    <w:rsid w:val="00C21604"/>
    <w:rsid w:val="00C217DC"/>
    <w:rsid w:val="00C24351"/>
    <w:rsid w:val="00C25E7C"/>
    <w:rsid w:val="00C2770A"/>
    <w:rsid w:val="00C27909"/>
    <w:rsid w:val="00C27DA9"/>
    <w:rsid w:val="00C30747"/>
    <w:rsid w:val="00C3089B"/>
    <w:rsid w:val="00C351C6"/>
    <w:rsid w:val="00C357DD"/>
    <w:rsid w:val="00C35B42"/>
    <w:rsid w:val="00C37A6B"/>
    <w:rsid w:val="00C37D35"/>
    <w:rsid w:val="00C37F53"/>
    <w:rsid w:val="00C4098D"/>
    <w:rsid w:val="00C41F99"/>
    <w:rsid w:val="00C4231F"/>
    <w:rsid w:val="00C43477"/>
    <w:rsid w:val="00C436F9"/>
    <w:rsid w:val="00C43E12"/>
    <w:rsid w:val="00C4409E"/>
    <w:rsid w:val="00C45109"/>
    <w:rsid w:val="00C45736"/>
    <w:rsid w:val="00C45E8A"/>
    <w:rsid w:val="00C5014D"/>
    <w:rsid w:val="00C51BBC"/>
    <w:rsid w:val="00C52D46"/>
    <w:rsid w:val="00C53099"/>
    <w:rsid w:val="00C548B7"/>
    <w:rsid w:val="00C55159"/>
    <w:rsid w:val="00C554D2"/>
    <w:rsid w:val="00C602B5"/>
    <w:rsid w:val="00C60C77"/>
    <w:rsid w:val="00C612E4"/>
    <w:rsid w:val="00C632BC"/>
    <w:rsid w:val="00C63740"/>
    <w:rsid w:val="00C639DB"/>
    <w:rsid w:val="00C65761"/>
    <w:rsid w:val="00C65930"/>
    <w:rsid w:val="00C6672A"/>
    <w:rsid w:val="00C66F33"/>
    <w:rsid w:val="00C67230"/>
    <w:rsid w:val="00C6750E"/>
    <w:rsid w:val="00C702D6"/>
    <w:rsid w:val="00C70314"/>
    <w:rsid w:val="00C70722"/>
    <w:rsid w:val="00C70757"/>
    <w:rsid w:val="00C727E3"/>
    <w:rsid w:val="00C73007"/>
    <w:rsid w:val="00C741FE"/>
    <w:rsid w:val="00C74A34"/>
    <w:rsid w:val="00C754D2"/>
    <w:rsid w:val="00C757F1"/>
    <w:rsid w:val="00C75EA5"/>
    <w:rsid w:val="00C772C9"/>
    <w:rsid w:val="00C801DE"/>
    <w:rsid w:val="00C80BAD"/>
    <w:rsid w:val="00C80EB3"/>
    <w:rsid w:val="00C81B4F"/>
    <w:rsid w:val="00C81D23"/>
    <w:rsid w:val="00C81F6E"/>
    <w:rsid w:val="00C8252C"/>
    <w:rsid w:val="00C826F7"/>
    <w:rsid w:val="00C83063"/>
    <w:rsid w:val="00C84BF4"/>
    <w:rsid w:val="00C84FBA"/>
    <w:rsid w:val="00C851D8"/>
    <w:rsid w:val="00C851FF"/>
    <w:rsid w:val="00C863B8"/>
    <w:rsid w:val="00C86C27"/>
    <w:rsid w:val="00C871DC"/>
    <w:rsid w:val="00C87426"/>
    <w:rsid w:val="00C87639"/>
    <w:rsid w:val="00C877EC"/>
    <w:rsid w:val="00C87D94"/>
    <w:rsid w:val="00C9188F"/>
    <w:rsid w:val="00C92756"/>
    <w:rsid w:val="00C92EBE"/>
    <w:rsid w:val="00C93522"/>
    <w:rsid w:val="00C94566"/>
    <w:rsid w:val="00C9476D"/>
    <w:rsid w:val="00C94918"/>
    <w:rsid w:val="00C95916"/>
    <w:rsid w:val="00C968C2"/>
    <w:rsid w:val="00CA13EE"/>
    <w:rsid w:val="00CA1626"/>
    <w:rsid w:val="00CA2EB8"/>
    <w:rsid w:val="00CA3214"/>
    <w:rsid w:val="00CA32D3"/>
    <w:rsid w:val="00CA3622"/>
    <w:rsid w:val="00CA4935"/>
    <w:rsid w:val="00CA4B4C"/>
    <w:rsid w:val="00CA5035"/>
    <w:rsid w:val="00CA5979"/>
    <w:rsid w:val="00CA5C53"/>
    <w:rsid w:val="00CA613C"/>
    <w:rsid w:val="00CA6224"/>
    <w:rsid w:val="00CA64FF"/>
    <w:rsid w:val="00CA7113"/>
    <w:rsid w:val="00CA727B"/>
    <w:rsid w:val="00CA759F"/>
    <w:rsid w:val="00CB0700"/>
    <w:rsid w:val="00CB34C5"/>
    <w:rsid w:val="00CB360E"/>
    <w:rsid w:val="00CB3D72"/>
    <w:rsid w:val="00CB4A9B"/>
    <w:rsid w:val="00CB536E"/>
    <w:rsid w:val="00CB587B"/>
    <w:rsid w:val="00CB62DB"/>
    <w:rsid w:val="00CB79EA"/>
    <w:rsid w:val="00CC0CBA"/>
    <w:rsid w:val="00CC132F"/>
    <w:rsid w:val="00CC237B"/>
    <w:rsid w:val="00CC411A"/>
    <w:rsid w:val="00CC4CB4"/>
    <w:rsid w:val="00CC563F"/>
    <w:rsid w:val="00CC5752"/>
    <w:rsid w:val="00CC6C42"/>
    <w:rsid w:val="00CC6F8C"/>
    <w:rsid w:val="00CC7327"/>
    <w:rsid w:val="00CC7957"/>
    <w:rsid w:val="00CD182B"/>
    <w:rsid w:val="00CD3472"/>
    <w:rsid w:val="00CD5669"/>
    <w:rsid w:val="00CD7A11"/>
    <w:rsid w:val="00CD7DA2"/>
    <w:rsid w:val="00CE0423"/>
    <w:rsid w:val="00CE093D"/>
    <w:rsid w:val="00CE1AD6"/>
    <w:rsid w:val="00CE227E"/>
    <w:rsid w:val="00CE254E"/>
    <w:rsid w:val="00CE3C02"/>
    <w:rsid w:val="00CE3DBD"/>
    <w:rsid w:val="00CE3E16"/>
    <w:rsid w:val="00CE3FEF"/>
    <w:rsid w:val="00CE5AF3"/>
    <w:rsid w:val="00CE6045"/>
    <w:rsid w:val="00CF142D"/>
    <w:rsid w:val="00CF1922"/>
    <w:rsid w:val="00CF2162"/>
    <w:rsid w:val="00CF2F56"/>
    <w:rsid w:val="00CF3926"/>
    <w:rsid w:val="00CF4380"/>
    <w:rsid w:val="00CF4C6D"/>
    <w:rsid w:val="00CF5BAA"/>
    <w:rsid w:val="00CF75AA"/>
    <w:rsid w:val="00CF7C31"/>
    <w:rsid w:val="00CF7EE4"/>
    <w:rsid w:val="00D001D8"/>
    <w:rsid w:val="00D002D8"/>
    <w:rsid w:val="00D0039E"/>
    <w:rsid w:val="00D004B9"/>
    <w:rsid w:val="00D009E9"/>
    <w:rsid w:val="00D01E8E"/>
    <w:rsid w:val="00D0287C"/>
    <w:rsid w:val="00D03C4F"/>
    <w:rsid w:val="00D04511"/>
    <w:rsid w:val="00D04CA2"/>
    <w:rsid w:val="00D06D92"/>
    <w:rsid w:val="00D07361"/>
    <w:rsid w:val="00D07A56"/>
    <w:rsid w:val="00D11A1D"/>
    <w:rsid w:val="00D121B1"/>
    <w:rsid w:val="00D13644"/>
    <w:rsid w:val="00D1395B"/>
    <w:rsid w:val="00D14171"/>
    <w:rsid w:val="00D1457E"/>
    <w:rsid w:val="00D15686"/>
    <w:rsid w:val="00D15D0D"/>
    <w:rsid w:val="00D15FBD"/>
    <w:rsid w:val="00D16A2C"/>
    <w:rsid w:val="00D16D69"/>
    <w:rsid w:val="00D16F7C"/>
    <w:rsid w:val="00D174D9"/>
    <w:rsid w:val="00D17CC7"/>
    <w:rsid w:val="00D22403"/>
    <w:rsid w:val="00D2275A"/>
    <w:rsid w:val="00D23360"/>
    <w:rsid w:val="00D24D97"/>
    <w:rsid w:val="00D25CD5"/>
    <w:rsid w:val="00D26464"/>
    <w:rsid w:val="00D26932"/>
    <w:rsid w:val="00D275B1"/>
    <w:rsid w:val="00D279AE"/>
    <w:rsid w:val="00D310C5"/>
    <w:rsid w:val="00D31E04"/>
    <w:rsid w:val="00D3216B"/>
    <w:rsid w:val="00D32B87"/>
    <w:rsid w:val="00D35176"/>
    <w:rsid w:val="00D36D6D"/>
    <w:rsid w:val="00D37BE5"/>
    <w:rsid w:val="00D37E93"/>
    <w:rsid w:val="00D40132"/>
    <w:rsid w:val="00D401CC"/>
    <w:rsid w:val="00D408B2"/>
    <w:rsid w:val="00D42509"/>
    <w:rsid w:val="00D4300B"/>
    <w:rsid w:val="00D43C00"/>
    <w:rsid w:val="00D44006"/>
    <w:rsid w:val="00D4496B"/>
    <w:rsid w:val="00D451B5"/>
    <w:rsid w:val="00D4524D"/>
    <w:rsid w:val="00D46EE7"/>
    <w:rsid w:val="00D5183C"/>
    <w:rsid w:val="00D51B87"/>
    <w:rsid w:val="00D523CC"/>
    <w:rsid w:val="00D52975"/>
    <w:rsid w:val="00D54A16"/>
    <w:rsid w:val="00D55D77"/>
    <w:rsid w:val="00D5614A"/>
    <w:rsid w:val="00D574A4"/>
    <w:rsid w:val="00D60D2A"/>
    <w:rsid w:val="00D60EF4"/>
    <w:rsid w:val="00D61292"/>
    <w:rsid w:val="00D61619"/>
    <w:rsid w:val="00D6247D"/>
    <w:rsid w:val="00D630D7"/>
    <w:rsid w:val="00D638DE"/>
    <w:rsid w:val="00D656F9"/>
    <w:rsid w:val="00D65F4D"/>
    <w:rsid w:val="00D7038F"/>
    <w:rsid w:val="00D70DD9"/>
    <w:rsid w:val="00D71573"/>
    <w:rsid w:val="00D72334"/>
    <w:rsid w:val="00D732B5"/>
    <w:rsid w:val="00D737F0"/>
    <w:rsid w:val="00D73C5F"/>
    <w:rsid w:val="00D73E59"/>
    <w:rsid w:val="00D7441C"/>
    <w:rsid w:val="00D74732"/>
    <w:rsid w:val="00D75CAF"/>
    <w:rsid w:val="00D76426"/>
    <w:rsid w:val="00D7684F"/>
    <w:rsid w:val="00D77168"/>
    <w:rsid w:val="00D772A8"/>
    <w:rsid w:val="00D77BAA"/>
    <w:rsid w:val="00D80272"/>
    <w:rsid w:val="00D8035F"/>
    <w:rsid w:val="00D80B24"/>
    <w:rsid w:val="00D81165"/>
    <w:rsid w:val="00D81A47"/>
    <w:rsid w:val="00D82021"/>
    <w:rsid w:val="00D84BAD"/>
    <w:rsid w:val="00D84F40"/>
    <w:rsid w:val="00D87180"/>
    <w:rsid w:val="00D87DDA"/>
    <w:rsid w:val="00D87E2D"/>
    <w:rsid w:val="00D9101A"/>
    <w:rsid w:val="00D918F3"/>
    <w:rsid w:val="00D93D21"/>
    <w:rsid w:val="00D95AD4"/>
    <w:rsid w:val="00DA01DC"/>
    <w:rsid w:val="00DA37EE"/>
    <w:rsid w:val="00DA7B97"/>
    <w:rsid w:val="00DB01BA"/>
    <w:rsid w:val="00DB0A3C"/>
    <w:rsid w:val="00DB0B22"/>
    <w:rsid w:val="00DB125F"/>
    <w:rsid w:val="00DB12F0"/>
    <w:rsid w:val="00DB1992"/>
    <w:rsid w:val="00DB1A07"/>
    <w:rsid w:val="00DB21FC"/>
    <w:rsid w:val="00DB4F61"/>
    <w:rsid w:val="00DB537B"/>
    <w:rsid w:val="00DB5FE4"/>
    <w:rsid w:val="00DB65E9"/>
    <w:rsid w:val="00DB6F4E"/>
    <w:rsid w:val="00DB710F"/>
    <w:rsid w:val="00DB7ABD"/>
    <w:rsid w:val="00DB7D03"/>
    <w:rsid w:val="00DB7D26"/>
    <w:rsid w:val="00DC0AAE"/>
    <w:rsid w:val="00DC0FD4"/>
    <w:rsid w:val="00DC1619"/>
    <w:rsid w:val="00DC179D"/>
    <w:rsid w:val="00DC1BBF"/>
    <w:rsid w:val="00DC1D14"/>
    <w:rsid w:val="00DC2956"/>
    <w:rsid w:val="00DC39BD"/>
    <w:rsid w:val="00DC402E"/>
    <w:rsid w:val="00DC46D9"/>
    <w:rsid w:val="00DC639E"/>
    <w:rsid w:val="00DC6495"/>
    <w:rsid w:val="00DD14C3"/>
    <w:rsid w:val="00DD35E0"/>
    <w:rsid w:val="00DD371E"/>
    <w:rsid w:val="00DD40AA"/>
    <w:rsid w:val="00DD4178"/>
    <w:rsid w:val="00DD433D"/>
    <w:rsid w:val="00DD48A3"/>
    <w:rsid w:val="00DD4ECD"/>
    <w:rsid w:val="00DD7081"/>
    <w:rsid w:val="00DD79FC"/>
    <w:rsid w:val="00DE120E"/>
    <w:rsid w:val="00DE204B"/>
    <w:rsid w:val="00DE211B"/>
    <w:rsid w:val="00DE21B1"/>
    <w:rsid w:val="00DE2286"/>
    <w:rsid w:val="00DE2361"/>
    <w:rsid w:val="00DE291A"/>
    <w:rsid w:val="00DE3A1E"/>
    <w:rsid w:val="00DE3A5E"/>
    <w:rsid w:val="00DE420C"/>
    <w:rsid w:val="00DE4254"/>
    <w:rsid w:val="00DE4852"/>
    <w:rsid w:val="00DE60EB"/>
    <w:rsid w:val="00DE6219"/>
    <w:rsid w:val="00DE684B"/>
    <w:rsid w:val="00DF0771"/>
    <w:rsid w:val="00DF0F3D"/>
    <w:rsid w:val="00DF1209"/>
    <w:rsid w:val="00DF254E"/>
    <w:rsid w:val="00DF32D2"/>
    <w:rsid w:val="00DF33CD"/>
    <w:rsid w:val="00DF6DF9"/>
    <w:rsid w:val="00DF78A4"/>
    <w:rsid w:val="00E00187"/>
    <w:rsid w:val="00E0027D"/>
    <w:rsid w:val="00E00417"/>
    <w:rsid w:val="00E004F6"/>
    <w:rsid w:val="00E01717"/>
    <w:rsid w:val="00E054C6"/>
    <w:rsid w:val="00E05A17"/>
    <w:rsid w:val="00E06DF4"/>
    <w:rsid w:val="00E10229"/>
    <w:rsid w:val="00E13A8D"/>
    <w:rsid w:val="00E13BE4"/>
    <w:rsid w:val="00E13DF8"/>
    <w:rsid w:val="00E1413D"/>
    <w:rsid w:val="00E14AFA"/>
    <w:rsid w:val="00E1528B"/>
    <w:rsid w:val="00E1608D"/>
    <w:rsid w:val="00E20635"/>
    <w:rsid w:val="00E22D71"/>
    <w:rsid w:val="00E24338"/>
    <w:rsid w:val="00E2778E"/>
    <w:rsid w:val="00E302E1"/>
    <w:rsid w:val="00E304EA"/>
    <w:rsid w:val="00E30659"/>
    <w:rsid w:val="00E3130F"/>
    <w:rsid w:val="00E3175D"/>
    <w:rsid w:val="00E33E5F"/>
    <w:rsid w:val="00E33E69"/>
    <w:rsid w:val="00E36C25"/>
    <w:rsid w:val="00E36F9B"/>
    <w:rsid w:val="00E3741C"/>
    <w:rsid w:val="00E37845"/>
    <w:rsid w:val="00E405B5"/>
    <w:rsid w:val="00E421BA"/>
    <w:rsid w:val="00E42432"/>
    <w:rsid w:val="00E43958"/>
    <w:rsid w:val="00E45AB9"/>
    <w:rsid w:val="00E46264"/>
    <w:rsid w:val="00E466D9"/>
    <w:rsid w:val="00E47456"/>
    <w:rsid w:val="00E47473"/>
    <w:rsid w:val="00E47C2A"/>
    <w:rsid w:val="00E47F2D"/>
    <w:rsid w:val="00E500DB"/>
    <w:rsid w:val="00E50641"/>
    <w:rsid w:val="00E5165E"/>
    <w:rsid w:val="00E549C4"/>
    <w:rsid w:val="00E54FA4"/>
    <w:rsid w:val="00E55B0F"/>
    <w:rsid w:val="00E55E63"/>
    <w:rsid w:val="00E57171"/>
    <w:rsid w:val="00E60F3E"/>
    <w:rsid w:val="00E6129B"/>
    <w:rsid w:val="00E61455"/>
    <w:rsid w:val="00E62928"/>
    <w:rsid w:val="00E631D6"/>
    <w:rsid w:val="00E64726"/>
    <w:rsid w:val="00E64E4E"/>
    <w:rsid w:val="00E654C5"/>
    <w:rsid w:val="00E654DE"/>
    <w:rsid w:val="00E655E4"/>
    <w:rsid w:val="00E659D1"/>
    <w:rsid w:val="00E65D1D"/>
    <w:rsid w:val="00E65EF5"/>
    <w:rsid w:val="00E65F84"/>
    <w:rsid w:val="00E65FBF"/>
    <w:rsid w:val="00E708A4"/>
    <w:rsid w:val="00E70FCE"/>
    <w:rsid w:val="00E72718"/>
    <w:rsid w:val="00E7342D"/>
    <w:rsid w:val="00E7363C"/>
    <w:rsid w:val="00E73BDA"/>
    <w:rsid w:val="00E74E08"/>
    <w:rsid w:val="00E76F7D"/>
    <w:rsid w:val="00E7747D"/>
    <w:rsid w:val="00E77529"/>
    <w:rsid w:val="00E777DB"/>
    <w:rsid w:val="00E80446"/>
    <w:rsid w:val="00E816E5"/>
    <w:rsid w:val="00E81EF1"/>
    <w:rsid w:val="00E831CE"/>
    <w:rsid w:val="00E839B6"/>
    <w:rsid w:val="00E83C71"/>
    <w:rsid w:val="00E844BD"/>
    <w:rsid w:val="00E84A97"/>
    <w:rsid w:val="00E8510D"/>
    <w:rsid w:val="00E85152"/>
    <w:rsid w:val="00E86F67"/>
    <w:rsid w:val="00E87B9E"/>
    <w:rsid w:val="00E90AB9"/>
    <w:rsid w:val="00E90FC3"/>
    <w:rsid w:val="00E914D9"/>
    <w:rsid w:val="00E94774"/>
    <w:rsid w:val="00E947C3"/>
    <w:rsid w:val="00E95827"/>
    <w:rsid w:val="00E95975"/>
    <w:rsid w:val="00E96936"/>
    <w:rsid w:val="00EA126D"/>
    <w:rsid w:val="00EA1FE3"/>
    <w:rsid w:val="00EA2116"/>
    <w:rsid w:val="00EA2BDE"/>
    <w:rsid w:val="00EA3234"/>
    <w:rsid w:val="00EA3B78"/>
    <w:rsid w:val="00EA53A3"/>
    <w:rsid w:val="00EA60F9"/>
    <w:rsid w:val="00EA6446"/>
    <w:rsid w:val="00EA6648"/>
    <w:rsid w:val="00EA6BE2"/>
    <w:rsid w:val="00EB084A"/>
    <w:rsid w:val="00EB2718"/>
    <w:rsid w:val="00EB6B59"/>
    <w:rsid w:val="00EB71EA"/>
    <w:rsid w:val="00EB7571"/>
    <w:rsid w:val="00EC0769"/>
    <w:rsid w:val="00EC2AD4"/>
    <w:rsid w:val="00EC309B"/>
    <w:rsid w:val="00EC3269"/>
    <w:rsid w:val="00EC35EF"/>
    <w:rsid w:val="00EC3BDA"/>
    <w:rsid w:val="00EC48F0"/>
    <w:rsid w:val="00EC4BE2"/>
    <w:rsid w:val="00EC4CE1"/>
    <w:rsid w:val="00EC657C"/>
    <w:rsid w:val="00ED0258"/>
    <w:rsid w:val="00ED0B6A"/>
    <w:rsid w:val="00ED278E"/>
    <w:rsid w:val="00ED3217"/>
    <w:rsid w:val="00ED49DF"/>
    <w:rsid w:val="00ED5525"/>
    <w:rsid w:val="00ED5A89"/>
    <w:rsid w:val="00ED5C1D"/>
    <w:rsid w:val="00ED62EC"/>
    <w:rsid w:val="00ED77E9"/>
    <w:rsid w:val="00EE021C"/>
    <w:rsid w:val="00EE0AE2"/>
    <w:rsid w:val="00EE1026"/>
    <w:rsid w:val="00EE1268"/>
    <w:rsid w:val="00EE22B5"/>
    <w:rsid w:val="00EE644C"/>
    <w:rsid w:val="00EF031E"/>
    <w:rsid w:val="00EF1D39"/>
    <w:rsid w:val="00EF2E86"/>
    <w:rsid w:val="00EF4289"/>
    <w:rsid w:val="00EF43F2"/>
    <w:rsid w:val="00EF60B9"/>
    <w:rsid w:val="00EF62DD"/>
    <w:rsid w:val="00EF6425"/>
    <w:rsid w:val="00EF6890"/>
    <w:rsid w:val="00EF6F84"/>
    <w:rsid w:val="00EF7190"/>
    <w:rsid w:val="00F004E4"/>
    <w:rsid w:val="00F013EC"/>
    <w:rsid w:val="00F035DD"/>
    <w:rsid w:val="00F03E09"/>
    <w:rsid w:val="00F0475F"/>
    <w:rsid w:val="00F0530B"/>
    <w:rsid w:val="00F0595F"/>
    <w:rsid w:val="00F06875"/>
    <w:rsid w:val="00F0740C"/>
    <w:rsid w:val="00F07AC7"/>
    <w:rsid w:val="00F1040D"/>
    <w:rsid w:val="00F10E13"/>
    <w:rsid w:val="00F110FD"/>
    <w:rsid w:val="00F13B14"/>
    <w:rsid w:val="00F146D5"/>
    <w:rsid w:val="00F14D9A"/>
    <w:rsid w:val="00F15674"/>
    <w:rsid w:val="00F15CA1"/>
    <w:rsid w:val="00F1633B"/>
    <w:rsid w:val="00F163FF"/>
    <w:rsid w:val="00F172EA"/>
    <w:rsid w:val="00F17446"/>
    <w:rsid w:val="00F17D9E"/>
    <w:rsid w:val="00F17E80"/>
    <w:rsid w:val="00F224CD"/>
    <w:rsid w:val="00F22C68"/>
    <w:rsid w:val="00F22E72"/>
    <w:rsid w:val="00F239C7"/>
    <w:rsid w:val="00F24748"/>
    <w:rsid w:val="00F24DCB"/>
    <w:rsid w:val="00F26744"/>
    <w:rsid w:val="00F30084"/>
    <w:rsid w:val="00F30540"/>
    <w:rsid w:val="00F30578"/>
    <w:rsid w:val="00F313E6"/>
    <w:rsid w:val="00F31CD5"/>
    <w:rsid w:val="00F3204F"/>
    <w:rsid w:val="00F32DAA"/>
    <w:rsid w:val="00F334D9"/>
    <w:rsid w:val="00F33701"/>
    <w:rsid w:val="00F356CE"/>
    <w:rsid w:val="00F4126D"/>
    <w:rsid w:val="00F432B6"/>
    <w:rsid w:val="00F43D3B"/>
    <w:rsid w:val="00F441C0"/>
    <w:rsid w:val="00F442CB"/>
    <w:rsid w:val="00F47287"/>
    <w:rsid w:val="00F50ED8"/>
    <w:rsid w:val="00F516FB"/>
    <w:rsid w:val="00F53ED2"/>
    <w:rsid w:val="00F53F8B"/>
    <w:rsid w:val="00F54AAE"/>
    <w:rsid w:val="00F55866"/>
    <w:rsid w:val="00F55B18"/>
    <w:rsid w:val="00F55E7D"/>
    <w:rsid w:val="00F56034"/>
    <w:rsid w:val="00F5613C"/>
    <w:rsid w:val="00F5734F"/>
    <w:rsid w:val="00F6002F"/>
    <w:rsid w:val="00F6024F"/>
    <w:rsid w:val="00F60C83"/>
    <w:rsid w:val="00F61A99"/>
    <w:rsid w:val="00F629E3"/>
    <w:rsid w:val="00F6301A"/>
    <w:rsid w:val="00F63205"/>
    <w:rsid w:val="00F63E0A"/>
    <w:rsid w:val="00F648FE"/>
    <w:rsid w:val="00F6503B"/>
    <w:rsid w:val="00F66134"/>
    <w:rsid w:val="00F6674F"/>
    <w:rsid w:val="00F67797"/>
    <w:rsid w:val="00F67B63"/>
    <w:rsid w:val="00F7088F"/>
    <w:rsid w:val="00F713DD"/>
    <w:rsid w:val="00F723A2"/>
    <w:rsid w:val="00F735F8"/>
    <w:rsid w:val="00F74C77"/>
    <w:rsid w:val="00F768BC"/>
    <w:rsid w:val="00F7792F"/>
    <w:rsid w:val="00F8003F"/>
    <w:rsid w:val="00F80312"/>
    <w:rsid w:val="00F803A4"/>
    <w:rsid w:val="00F80489"/>
    <w:rsid w:val="00F82720"/>
    <w:rsid w:val="00F84801"/>
    <w:rsid w:val="00F85976"/>
    <w:rsid w:val="00F868CC"/>
    <w:rsid w:val="00F86D34"/>
    <w:rsid w:val="00F87252"/>
    <w:rsid w:val="00F87722"/>
    <w:rsid w:val="00F91569"/>
    <w:rsid w:val="00F917DD"/>
    <w:rsid w:val="00F9201A"/>
    <w:rsid w:val="00F94DF8"/>
    <w:rsid w:val="00F95718"/>
    <w:rsid w:val="00F979E9"/>
    <w:rsid w:val="00FA0A8B"/>
    <w:rsid w:val="00FA0B3E"/>
    <w:rsid w:val="00FA0FF2"/>
    <w:rsid w:val="00FA4A7D"/>
    <w:rsid w:val="00FA566A"/>
    <w:rsid w:val="00FA776A"/>
    <w:rsid w:val="00FA79A0"/>
    <w:rsid w:val="00FA7B2B"/>
    <w:rsid w:val="00FB0125"/>
    <w:rsid w:val="00FB0336"/>
    <w:rsid w:val="00FB0638"/>
    <w:rsid w:val="00FB0654"/>
    <w:rsid w:val="00FB081E"/>
    <w:rsid w:val="00FB0823"/>
    <w:rsid w:val="00FB0D8E"/>
    <w:rsid w:val="00FB20A0"/>
    <w:rsid w:val="00FB3AF7"/>
    <w:rsid w:val="00FB51DA"/>
    <w:rsid w:val="00FB5A5A"/>
    <w:rsid w:val="00FB5EAC"/>
    <w:rsid w:val="00FB6962"/>
    <w:rsid w:val="00FB7638"/>
    <w:rsid w:val="00FB78CA"/>
    <w:rsid w:val="00FB7F55"/>
    <w:rsid w:val="00FB7F9E"/>
    <w:rsid w:val="00FC2195"/>
    <w:rsid w:val="00FC3B18"/>
    <w:rsid w:val="00FC522A"/>
    <w:rsid w:val="00FC5FE1"/>
    <w:rsid w:val="00FC6278"/>
    <w:rsid w:val="00FC6801"/>
    <w:rsid w:val="00FC6BAD"/>
    <w:rsid w:val="00FC79CE"/>
    <w:rsid w:val="00FC7E93"/>
    <w:rsid w:val="00FD1638"/>
    <w:rsid w:val="00FD1E51"/>
    <w:rsid w:val="00FD273A"/>
    <w:rsid w:val="00FD43E3"/>
    <w:rsid w:val="00FD481C"/>
    <w:rsid w:val="00FD5AF8"/>
    <w:rsid w:val="00FD60F7"/>
    <w:rsid w:val="00FD613D"/>
    <w:rsid w:val="00FD760C"/>
    <w:rsid w:val="00FE187A"/>
    <w:rsid w:val="00FE2640"/>
    <w:rsid w:val="00FE2996"/>
    <w:rsid w:val="00FE2D9A"/>
    <w:rsid w:val="00FE35F1"/>
    <w:rsid w:val="00FE39FB"/>
    <w:rsid w:val="00FE3D13"/>
    <w:rsid w:val="00FE497B"/>
    <w:rsid w:val="00FE4E04"/>
    <w:rsid w:val="00FE549E"/>
    <w:rsid w:val="00FE5687"/>
    <w:rsid w:val="00FE5A49"/>
    <w:rsid w:val="00FE5B69"/>
    <w:rsid w:val="00FE5FDD"/>
    <w:rsid w:val="00FE64A8"/>
    <w:rsid w:val="00FE756F"/>
    <w:rsid w:val="00FF04B5"/>
    <w:rsid w:val="00FF208B"/>
    <w:rsid w:val="00FF39BC"/>
    <w:rsid w:val="00FF455A"/>
    <w:rsid w:val="00FF6574"/>
    <w:rsid w:val="00FF7891"/>
  </w:rsids>
  <m:mathPr>
    <m:mathFont m:val="Cambria Math"/>
    <m:brkBin m:val="before"/>
    <m:brkBinSub m:val="--"/>
    <m:smallFrac/>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9633"/>
    <o:shapelayout v:ext="edit">
      <o:idmap v:ext="edit" data="1"/>
    </o:shapelayout>
  </w:shapeDefaults>
  <w:decimalSymbol w:val=","/>
  <w:listSeparator w:val=";"/>
  <w15:docId w15:val="{49248AA2-77D8-4B2D-99EE-0641045DAE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SimSun" w:hAnsi="Calibri" w:cs="Times New Roman"/>
        <w:lang w:val="bg-BG" w:eastAsia="bg-BG"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36846"/>
    <w:pPr>
      <w:spacing w:after="200" w:line="276" w:lineRule="auto"/>
    </w:pPr>
    <w:rPr>
      <w:sz w:val="22"/>
      <w:szCs w:val="22"/>
      <w:lang w:val="en-US" w:eastAsia="en-US"/>
    </w:rPr>
  </w:style>
  <w:style w:type="paragraph" w:styleId="Heading1">
    <w:name w:val="heading 1"/>
    <w:basedOn w:val="Normal"/>
    <w:next w:val="Normal"/>
    <w:link w:val="Heading1Char"/>
    <w:uiPriority w:val="9"/>
    <w:qFormat/>
    <w:rsid w:val="00230D6B"/>
    <w:pPr>
      <w:keepNext/>
      <w:spacing w:before="240" w:after="60" w:line="280" w:lineRule="atLeast"/>
      <w:outlineLvl w:val="0"/>
    </w:pPr>
    <w:rPr>
      <w:rFonts w:ascii="Arial" w:hAnsi="Arial"/>
      <w:b/>
      <w:kern w:val="32"/>
      <w:sz w:val="32"/>
      <w:szCs w:val="20"/>
      <w:lang w:val="en-GB"/>
    </w:rPr>
  </w:style>
  <w:style w:type="paragraph" w:styleId="Heading2">
    <w:name w:val="heading 2"/>
    <w:basedOn w:val="Normal"/>
    <w:next w:val="Normal"/>
    <w:link w:val="Heading2Char"/>
    <w:uiPriority w:val="9"/>
    <w:qFormat/>
    <w:rsid w:val="001A38D4"/>
    <w:pPr>
      <w:keepNext/>
      <w:spacing w:before="240" w:after="60" w:line="280" w:lineRule="atLeast"/>
      <w:outlineLvl w:val="1"/>
    </w:pPr>
    <w:rPr>
      <w:rFonts w:ascii="Arial" w:hAnsi="Arial"/>
      <w:b/>
      <w:i/>
      <w:sz w:val="28"/>
      <w:szCs w:val="20"/>
      <w:lang w:val="en-GB"/>
    </w:rPr>
  </w:style>
  <w:style w:type="paragraph" w:styleId="Heading3">
    <w:name w:val="heading 3"/>
    <w:basedOn w:val="Normal"/>
    <w:next w:val="Normal"/>
    <w:link w:val="Heading3Char"/>
    <w:uiPriority w:val="9"/>
    <w:qFormat/>
    <w:rsid w:val="002F5309"/>
    <w:pPr>
      <w:widowControl w:val="0"/>
      <w:numPr>
        <w:ilvl w:val="1"/>
        <w:numId w:val="8"/>
      </w:numPr>
      <w:overflowPunct w:val="0"/>
      <w:autoSpaceDE w:val="0"/>
      <w:autoSpaceDN w:val="0"/>
      <w:adjustRightInd w:val="0"/>
      <w:spacing w:before="120" w:after="120"/>
      <w:jc w:val="both"/>
      <w:textAlignment w:val="baseline"/>
      <w:outlineLvl w:val="2"/>
    </w:pPr>
    <w:rPr>
      <w:rFonts w:ascii="Verdana" w:hAnsi="Verdana" w:cs="Calibri"/>
      <w:b/>
      <w:color w:val="365F91"/>
      <w:lang w:val="bg-BG" w:eastAsia="cs-CZ"/>
    </w:rPr>
  </w:style>
  <w:style w:type="paragraph" w:styleId="Heading4">
    <w:name w:val="heading 4"/>
    <w:basedOn w:val="Normal"/>
    <w:next w:val="Normal"/>
    <w:link w:val="Heading4Char"/>
    <w:uiPriority w:val="9"/>
    <w:qFormat/>
    <w:rsid w:val="003710FB"/>
    <w:pPr>
      <w:keepNext/>
      <w:spacing w:before="240" w:after="60"/>
      <w:outlineLvl w:val="3"/>
    </w:pPr>
    <w:rPr>
      <w:rFonts w:eastAsia="Times New Roman"/>
      <w:b/>
      <w:bCs/>
      <w:sz w:val="28"/>
      <w:szCs w:val="28"/>
    </w:rPr>
  </w:style>
  <w:style w:type="paragraph" w:styleId="Heading5">
    <w:name w:val="heading 5"/>
    <w:basedOn w:val="Normal"/>
    <w:next w:val="Normal"/>
    <w:link w:val="Heading5Char"/>
    <w:uiPriority w:val="9"/>
    <w:qFormat/>
    <w:rsid w:val="003710FB"/>
    <w:pPr>
      <w:spacing w:before="240" w:after="60"/>
      <w:outlineLvl w:val="4"/>
    </w:pPr>
    <w:rPr>
      <w:rFonts w:eastAsia="Times New Roman"/>
      <w:b/>
      <w:bCs/>
      <w:i/>
      <w:iCs/>
      <w:sz w:val="26"/>
      <w:szCs w:val="26"/>
    </w:rPr>
  </w:style>
  <w:style w:type="paragraph" w:styleId="Heading7">
    <w:name w:val="heading 7"/>
    <w:basedOn w:val="Normal"/>
    <w:next w:val="Normal"/>
    <w:link w:val="Heading7Char"/>
    <w:uiPriority w:val="9"/>
    <w:semiHidden/>
    <w:unhideWhenUsed/>
    <w:qFormat/>
    <w:rsid w:val="0088514D"/>
    <w:pPr>
      <w:keepNext/>
      <w:keepLines/>
      <w:spacing w:before="200" w:after="0"/>
      <w:outlineLvl w:val="6"/>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locked/>
    <w:rsid w:val="00230D6B"/>
    <w:rPr>
      <w:rFonts w:ascii="Arial" w:hAnsi="Arial"/>
      <w:b/>
      <w:kern w:val="32"/>
      <w:sz w:val="32"/>
      <w:lang w:val="en-GB"/>
    </w:rPr>
  </w:style>
  <w:style w:type="character" w:customStyle="1" w:styleId="Heading2Char">
    <w:name w:val="Heading 2 Char"/>
    <w:link w:val="Heading2"/>
    <w:uiPriority w:val="9"/>
    <w:locked/>
    <w:rsid w:val="001A38D4"/>
    <w:rPr>
      <w:rFonts w:ascii="Arial" w:hAnsi="Arial"/>
      <w:b/>
      <w:i/>
      <w:sz w:val="28"/>
      <w:lang w:val="en-GB"/>
    </w:rPr>
  </w:style>
  <w:style w:type="character" w:customStyle="1" w:styleId="Heading3Char">
    <w:name w:val="Heading 3 Char"/>
    <w:link w:val="Heading3"/>
    <w:uiPriority w:val="9"/>
    <w:locked/>
    <w:rsid w:val="002F5309"/>
    <w:rPr>
      <w:rFonts w:ascii="Verdana" w:hAnsi="Verdana" w:cs="Calibri"/>
      <w:b/>
      <w:color w:val="365F91"/>
      <w:sz w:val="22"/>
      <w:szCs w:val="22"/>
      <w:lang w:eastAsia="cs-CZ"/>
    </w:rPr>
  </w:style>
  <w:style w:type="paragraph" w:styleId="TOC1">
    <w:name w:val="toc 1"/>
    <w:basedOn w:val="Normal"/>
    <w:next w:val="Normal"/>
    <w:autoRedefine/>
    <w:uiPriority w:val="39"/>
    <w:rsid w:val="002D04C4"/>
    <w:pPr>
      <w:tabs>
        <w:tab w:val="left" w:pos="450"/>
        <w:tab w:val="right" w:leader="dot" w:pos="9080"/>
      </w:tabs>
      <w:spacing w:after="0"/>
    </w:pPr>
    <w:rPr>
      <w:rFonts w:ascii="Times New Roman" w:hAnsi="Times New Roman"/>
      <w:b/>
      <w:bCs/>
      <w:caps/>
      <w:color w:val="0063B8"/>
      <w:sz w:val="20"/>
      <w:szCs w:val="20"/>
      <w:lang w:val="en-GB"/>
    </w:rPr>
  </w:style>
  <w:style w:type="paragraph" w:styleId="TOC2">
    <w:name w:val="toc 2"/>
    <w:basedOn w:val="Normal"/>
    <w:next w:val="Normal"/>
    <w:autoRedefine/>
    <w:uiPriority w:val="39"/>
    <w:rsid w:val="00E831CE"/>
    <w:pPr>
      <w:tabs>
        <w:tab w:val="left" w:pos="0"/>
        <w:tab w:val="right" w:leader="dot" w:pos="9080"/>
      </w:tabs>
      <w:spacing w:after="0"/>
    </w:pPr>
    <w:rPr>
      <w:rFonts w:ascii="Verdana" w:hAnsi="Verdana"/>
      <w:b/>
      <w:iCs/>
      <w:noProof/>
      <w:sz w:val="19"/>
      <w:szCs w:val="19"/>
      <w:lang w:val="bg-BG"/>
    </w:rPr>
  </w:style>
  <w:style w:type="paragraph" w:styleId="TOC3">
    <w:name w:val="toc 3"/>
    <w:basedOn w:val="Normal"/>
    <w:next w:val="Normal"/>
    <w:autoRedefine/>
    <w:uiPriority w:val="39"/>
    <w:rsid w:val="002F5309"/>
    <w:pPr>
      <w:spacing w:after="0" w:line="280" w:lineRule="atLeast"/>
      <w:ind w:left="440"/>
    </w:pPr>
    <w:rPr>
      <w:rFonts w:ascii="Verdana" w:hAnsi="Verdana"/>
      <w:i/>
      <w:iCs/>
      <w:sz w:val="20"/>
      <w:szCs w:val="20"/>
      <w:lang w:val="en-GB"/>
    </w:rPr>
  </w:style>
  <w:style w:type="character" w:styleId="Hyperlink">
    <w:name w:val="Hyperlink"/>
    <w:uiPriority w:val="99"/>
    <w:rsid w:val="00230D6B"/>
    <w:rPr>
      <w:color w:val="0000FF"/>
      <w:u w:val="single"/>
    </w:rPr>
  </w:style>
  <w:style w:type="paragraph" w:styleId="ListParagraph">
    <w:name w:val="List Paragraph"/>
    <w:aliases w:val="List Paragraph11,List Paragraph111"/>
    <w:basedOn w:val="Normal"/>
    <w:link w:val="ListParagraphChar"/>
    <w:uiPriority w:val="34"/>
    <w:qFormat/>
    <w:rsid w:val="001D5D60"/>
    <w:pPr>
      <w:ind w:left="720"/>
    </w:pPr>
  </w:style>
  <w:style w:type="table" w:styleId="TableGrid">
    <w:name w:val="Table Grid"/>
    <w:aliases w:val="TabelEcorys"/>
    <w:basedOn w:val="TableNormal"/>
    <w:uiPriority w:val="99"/>
    <w:rsid w:val="007069A4"/>
    <w:rPr>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aliases w:val="stile 1,Footnote,Footnote1,Footnote2,Footnote3,Footnote4,Footnote5,Footnote6,Footnote7,Footnote8,Footnote9,Footnote10,Footnote11,Footnote21,Footnote31,Footnote41,Footnote51,Footnote61,Footnote71,Footnote81,Footnote91,fn,Fußnotentext arial"/>
    <w:basedOn w:val="Normal"/>
    <w:link w:val="FootnoteTextChar"/>
    <w:uiPriority w:val="99"/>
    <w:qFormat/>
    <w:rsid w:val="007069A4"/>
    <w:pPr>
      <w:spacing w:after="0" w:line="240" w:lineRule="auto"/>
    </w:pPr>
    <w:rPr>
      <w:rFonts w:ascii="Times New Roman" w:hAnsi="Times New Roman"/>
      <w:sz w:val="20"/>
      <w:szCs w:val="20"/>
      <w:lang w:val="cs-CZ" w:eastAsia="cs-CZ"/>
    </w:rPr>
  </w:style>
  <w:style w:type="character" w:customStyle="1" w:styleId="FootnoteTextChar">
    <w:name w:val="Footnote Text Char"/>
    <w:aliases w:val="stile 1 Char1,Footnote Char1,Footnote1 Char1,Footnote2 Char1,Footnote3 Char1,Footnote4 Char1,Footnote5 Char1,Footnote6 Char1,Footnote7 Char1,Footnote8 Char1,Footnote9 Char1,Footnote10 Char1,Footnote11 Char1,Footnote21 Char1,fn Char1"/>
    <w:link w:val="FootnoteText"/>
    <w:uiPriority w:val="99"/>
    <w:locked/>
    <w:rsid w:val="007069A4"/>
    <w:rPr>
      <w:rFonts w:ascii="Times New Roman" w:hAnsi="Times New Roman"/>
      <w:lang w:val="cs-CZ" w:eastAsia="cs-CZ"/>
    </w:rPr>
  </w:style>
  <w:style w:type="character" w:styleId="FootnoteReference">
    <w:name w:val="footnote reference"/>
    <w:aliases w:val="ftref, BVI fnr,BVI fnr,Footnote symbol,SUPERS,EN Footnote Reference,Footnote number,de nota al pie,Ref,Voetnootmarkering,Char1,Nota,fr,o,(NECG) Footnote Reference,Signature Char,Zchn Zchn Char Char,SUPERS Car,Ref Car,Nota Car,callout"/>
    <w:uiPriority w:val="99"/>
    <w:rsid w:val="007069A4"/>
    <w:rPr>
      <w:vertAlign w:val="superscript"/>
    </w:rPr>
  </w:style>
  <w:style w:type="paragraph" w:styleId="Header">
    <w:name w:val="header"/>
    <w:basedOn w:val="Normal"/>
    <w:link w:val="HeaderChar"/>
    <w:uiPriority w:val="99"/>
    <w:unhideWhenUsed/>
    <w:rsid w:val="007069A4"/>
    <w:pPr>
      <w:tabs>
        <w:tab w:val="center" w:pos="4703"/>
        <w:tab w:val="right" w:pos="9406"/>
      </w:tabs>
    </w:pPr>
    <w:rPr>
      <w:szCs w:val="20"/>
    </w:rPr>
  </w:style>
  <w:style w:type="character" w:customStyle="1" w:styleId="HeaderChar">
    <w:name w:val="Header Char"/>
    <w:link w:val="Header"/>
    <w:uiPriority w:val="99"/>
    <w:locked/>
    <w:rsid w:val="007069A4"/>
    <w:rPr>
      <w:sz w:val="22"/>
    </w:rPr>
  </w:style>
  <w:style w:type="paragraph" w:styleId="Footer">
    <w:name w:val="footer"/>
    <w:basedOn w:val="Normal"/>
    <w:link w:val="FooterChar"/>
    <w:uiPriority w:val="99"/>
    <w:unhideWhenUsed/>
    <w:rsid w:val="007069A4"/>
    <w:pPr>
      <w:tabs>
        <w:tab w:val="center" w:pos="4703"/>
        <w:tab w:val="right" w:pos="9406"/>
      </w:tabs>
    </w:pPr>
    <w:rPr>
      <w:szCs w:val="20"/>
    </w:rPr>
  </w:style>
  <w:style w:type="character" w:customStyle="1" w:styleId="FooterChar">
    <w:name w:val="Footer Char"/>
    <w:link w:val="Footer"/>
    <w:uiPriority w:val="99"/>
    <w:locked/>
    <w:rsid w:val="007069A4"/>
    <w:rPr>
      <w:sz w:val="22"/>
    </w:rPr>
  </w:style>
  <w:style w:type="paragraph" w:customStyle="1" w:styleId="wygtext">
    <w:name w:val="wyg text"/>
    <w:basedOn w:val="Normal"/>
    <w:link w:val="wygtextChar"/>
    <w:rsid w:val="007342D5"/>
    <w:pPr>
      <w:spacing w:after="120" w:line="240" w:lineRule="auto"/>
      <w:jc w:val="both"/>
    </w:pPr>
    <w:rPr>
      <w:rFonts w:ascii="Tahoma" w:hAnsi="Tahoma"/>
      <w:sz w:val="20"/>
      <w:szCs w:val="20"/>
      <w:lang w:val="bg-BG" w:eastAsia="bg-BG"/>
    </w:rPr>
  </w:style>
  <w:style w:type="character" w:customStyle="1" w:styleId="wygtextChar">
    <w:name w:val="wyg text Char"/>
    <w:link w:val="wygtext"/>
    <w:locked/>
    <w:rsid w:val="007342D5"/>
    <w:rPr>
      <w:rFonts w:ascii="Tahoma" w:hAnsi="Tahoma" w:cs="Tahoma"/>
      <w:lang w:val="bg-BG" w:eastAsia="bg-BG"/>
    </w:rPr>
  </w:style>
  <w:style w:type="paragraph" w:styleId="BodyText">
    <w:name w:val="Body Text"/>
    <w:basedOn w:val="Normal"/>
    <w:link w:val="BodyTextChar"/>
    <w:uiPriority w:val="99"/>
    <w:rsid w:val="007342D5"/>
    <w:pPr>
      <w:spacing w:after="120" w:line="240" w:lineRule="auto"/>
    </w:pPr>
    <w:rPr>
      <w:rFonts w:ascii="Times New Roman" w:hAnsi="Times New Roman"/>
      <w:sz w:val="24"/>
      <w:szCs w:val="24"/>
      <w:lang w:val="bg-BG" w:eastAsia="bg-BG"/>
    </w:rPr>
  </w:style>
  <w:style w:type="character" w:customStyle="1" w:styleId="BodyTextChar">
    <w:name w:val="Body Text Char"/>
    <w:link w:val="BodyText"/>
    <w:uiPriority w:val="99"/>
    <w:locked/>
    <w:rsid w:val="007342D5"/>
    <w:rPr>
      <w:rFonts w:ascii="Times New Roman" w:hAnsi="Times New Roman" w:cs="Times New Roman"/>
      <w:sz w:val="24"/>
      <w:szCs w:val="24"/>
      <w:lang w:val="bg-BG" w:eastAsia="bg-BG"/>
    </w:rPr>
  </w:style>
  <w:style w:type="character" w:styleId="Strong">
    <w:name w:val="Strong"/>
    <w:uiPriority w:val="22"/>
    <w:qFormat/>
    <w:rsid w:val="007342D5"/>
    <w:rPr>
      <w:rFonts w:cs="Times New Roman"/>
      <w:b/>
      <w:bCs/>
    </w:rPr>
  </w:style>
  <w:style w:type="paragraph" w:styleId="NormalWeb">
    <w:name w:val="Normal (Web)"/>
    <w:basedOn w:val="Normal"/>
    <w:uiPriority w:val="99"/>
    <w:rsid w:val="007342D5"/>
    <w:pPr>
      <w:suppressAutoHyphens/>
      <w:spacing w:before="280" w:after="280" w:line="240" w:lineRule="auto"/>
    </w:pPr>
    <w:rPr>
      <w:rFonts w:ascii="Times New Roman" w:hAnsi="Times New Roman"/>
      <w:sz w:val="24"/>
      <w:szCs w:val="24"/>
      <w:lang w:eastAsia="ar-SA"/>
    </w:rPr>
  </w:style>
  <w:style w:type="paragraph" w:customStyle="1" w:styleId="category">
    <w:name w:val="category"/>
    <w:basedOn w:val="Normal"/>
    <w:rsid w:val="007342D5"/>
    <w:pPr>
      <w:spacing w:before="100" w:beforeAutospacing="1" w:after="100" w:afterAutospacing="1" w:line="240" w:lineRule="auto"/>
    </w:pPr>
    <w:rPr>
      <w:rFonts w:ascii="Times New Roman" w:hAnsi="Times New Roman"/>
      <w:sz w:val="24"/>
      <w:szCs w:val="24"/>
      <w:lang w:val="en-GB" w:eastAsia="en-GB"/>
    </w:rPr>
  </w:style>
  <w:style w:type="paragraph" w:customStyle="1" w:styleId="wygbullets">
    <w:name w:val="wyg bullets"/>
    <w:basedOn w:val="Normal"/>
    <w:rsid w:val="007342D5"/>
    <w:pPr>
      <w:numPr>
        <w:numId w:val="1"/>
      </w:numPr>
      <w:spacing w:after="120" w:line="240" w:lineRule="auto"/>
      <w:jc w:val="both"/>
    </w:pPr>
    <w:rPr>
      <w:rFonts w:ascii="Tahoma" w:hAnsi="Tahoma" w:cs="Tahoma"/>
      <w:bCs/>
      <w:sz w:val="20"/>
      <w:szCs w:val="20"/>
      <w:lang w:val="bg-BG" w:eastAsia="bg-BG"/>
    </w:rPr>
  </w:style>
  <w:style w:type="paragraph" w:customStyle="1" w:styleId="wygheadinglevel1">
    <w:name w:val="wyg heading level 1"/>
    <w:basedOn w:val="Normal"/>
    <w:next w:val="wygtext"/>
    <w:rsid w:val="00ED5C1D"/>
    <w:pPr>
      <w:pageBreakBefore/>
      <w:numPr>
        <w:numId w:val="2"/>
      </w:numPr>
      <w:spacing w:before="240" w:after="120" w:line="240" w:lineRule="auto"/>
    </w:pPr>
    <w:rPr>
      <w:rFonts w:ascii="Tahoma" w:hAnsi="Tahoma" w:cs="Tahoma"/>
      <w:b/>
      <w:caps/>
      <w:color w:val="9EC3DE"/>
      <w:szCs w:val="20"/>
      <w:lang w:val="bg-BG" w:eastAsia="bg-BG"/>
    </w:rPr>
  </w:style>
  <w:style w:type="paragraph" w:customStyle="1" w:styleId="wygheadinglevel2">
    <w:name w:val="wyg heading level 2"/>
    <w:basedOn w:val="wygtext"/>
    <w:next w:val="wygtext"/>
    <w:rsid w:val="00ED5C1D"/>
    <w:pPr>
      <w:numPr>
        <w:ilvl w:val="1"/>
        <w:numId w:val="2"/>
      </w:numPr>
      <w:spacing w:before="120"/>
    </w:pPr>
    <w:rPr>
      <w:b/>
      <w:color w:val="9EC3DE"/>
    </w:rPr>
  </w:style>
  <w:style w:type="paragraph" w:customStyle="1" w:styleId="wygheadinglevel3">
    <w:name w:val="wyg heading level 3"/>
    <w:basedOn w:val="wygheadinglevel2"/>
    <w:next w:val="wygtext"/>
    <w:rsid w:val="00ED5C1D"/>
    <w:pPr>
      <w:numPr>
        <w:ilvl w:val="2"/>
      </w:numPr>
    </w:pPr>
  </w:style>
  <w:style w:type="paragraph" w:styleId="Caption">
    <w:name w:val="caption"/>
    <w:basedOn w:val="Normal"/>
    <w:next w:val="Normal"/>
    <w:uiPriority w:val="35"/>
    <w:qFormat/>
    <w:rsid w:val="00CA5035"/>
    <w:pPr>
      <w:spacing w:after="0" w:line="240" w:lineRule="auto"/>
    </w:pPr>
    <w:rPr>
      <w:rFonts w:ascii="Tahoma" w:hAnsi="Tahoma"/>
      <w:b/>
      <w:bCs/>
      <w:sz w:val="20"/>
      <w:szCs w:val="20"/>
      <w:lang w:val="bg-BG" w:eastAsia="bg-BG"/>
    </w:rPr>
  </w:style>
  <w:style w:type="paragraph" w:customStyle="1" w:styleId="wygbulletstyle1">
    <w:name w:val="wyg bullet style 1"/>
    <w:basedOn w:val="wygtext"/>
    <w:link w:val="wygbulletstyle1Char"/>
    <w:rsid w:val="00EF43F2"/>
  </w:style>
  <w:style w:type="character" w:customStyle="1" w:styleId="wygbulletstyle1Char">
    <w:name w:val="wyg bullet style 1 Char"/>
    <w:basedOn w:val="wygtextChar"/>
    <w:link w:val="wygbulletstyle1"/>
    <w:locked/>
    <w:rsid w:val="00EF43F2"/>
    <w:rPr>
      <w:rFonts w:ascii="Tahoma" w:hAnsi="Tahoma" w:cs="Tahoma"/>
      <w:lang w:val="bg-BG" w:eastAsia="bg-BG"/>
    </w:rPr>
  </w:style>
  <w:style w:type="paragraph" w:customStyle="1" w:styleId="wygtext0">
    <w:name w:val="wygtext"/>
    <w:basedOn w:val="Normal"/>
    <w:rsid w:val="00EF43F2"/>
    <w:pPr>
      <w:spacing w:after="120" w:line="240" w:lineRule="auto"/>
      <w:jc w:val="both"/>
    </w:pPr>
    <w:rPr>
      <w:rFonts w:ascii="Tahoma" w:hAnsi="Tahoma" w:cs="Tahoma"/>
      <w:sz w:val="20"/>
      <w:szCs w:val="20"/>
      <w:lang w:val="bg-BG" w:eastAsia="bg-BG"/>
    </w:rPr>
  </w:style>
  <w:style w:type="character" w:styleId="CommentReference">
    <w:name w:val="annotation reference"/>
    <w:uiPriority w:val="99"/>
    <w:semiHidden/>
    <w:unhideWhenUsed/>
    <w:rsid w:val="00F61A99"/>
    <w:rPr>
      <w:rFonts w:cs="Times New Roman"/>
      <w:sz w:val="16"/>
      <w:szCs w:val="16"/>
    </w:rPr>
  </w:style>
  <w:style w:type="paragraph" w:styleId="CommentText">
    <w:name w:val="annotation text"/>
    <w:basedOn w:val="Normal"/>
    <w:link w:val="CommentTextChar"/>
    <w:unhideWhenUsed/>
    <w:rsid w:val="00F61A99"/>
    <w:rPr>
      <w:sz w:val="20"/>
      <w:szCs w:val="20"/>
    </w:rPr>
  </w:style>
  <w:style w:type="character" w:customStyle="1" w:styleId="CommentTextChar">
    <w:name w:val="Comment Text Char"/>
    <w:link w:val="CommentText"/>
    <w:locked/>
    <w:rsid w:val="00F61A99"/>
    <w:rPr>
      <w:rFonts w:cs="Times New Roman"/>
      <w:lang w:val="en-US" w:eastAsia="en-US"/>
    </w:rPr>
  </w:style>
  <w:style w:type="paragraph" w:styleId="CommentSubject">
    <w:name w:val="annotation subject"/>
    <w:basedOn w:val="CommentText"/>
    <w:next w:val="CommentText"/>
    <w:link w:val="CommentSubjectChar"/>
    <w:unhideWhenUsed/>
    <w:rsid w:val="00F61A99"/>
    <w:rPr>
      <w:b/>
      <w:bCs/>
    </w:rPr>
  </w:style>
  <w:style w:type="character" w:customStyle="1" w:styleId="CommentSubjectChar">
    <w:name w:val="Comment Subject Char"/>
    <w:link w:val="CommentSubject"/>
    <w:locked/>
    <w:rsid w:val="00F61A99"/>
    <w:rPr>
      <w:rFonts w:cs="Times New Roman"/>
      <w:b/>
      <w:bCs/>
      <w:lang w:val="en-US" w:eastAsia="en-US"/>
    </w:rPr>
  </w:style>
  <w:style w:type="paragraph" w:styleId="BalloonText">
    <w:name w:val="Balloon Text"/>
    <w:basedOn w:val="Normal"/>
    <w:link w:val="BalloonTextChar"/>
    <w:uiPriority w:val="99"/>
    <w:semiHidden/>
    <w:unhideWhenUsed/>
    <w:rsid w:val="00F61A99"/>
    <w:pPr>
      <w:spacing w:after="0" w:line="240" w:lineRule="auto"/>
    </w:pPr>
    <w:rPr>
      <w:rFonts w:ascii="Tahoma" w:hAnsi="Tahoma"/>
      <w:sz w:val="16"/>
      <w:szCs w:val="16"/>
    </w:rPr>
  </w:style>
  <w:style w:type="character" w:customStyle="1" w:styleId="BalloonTextChar">
    <w:name w:val="Balloon Text Char"/>
    <w:link w:val="BalloonText"/>
    <w:uiPriority w:val="99"/>
    <w:semiHidden/>
    <w:locked/>
    <w:rsid w:val="00F61A99"/>
    <w:rPr>
      <w:rFonts w:ascii="Tahoma" w:hAnsi="Tahoma" w:cs="Tahoma"/>
      <w:sz w:val="16"/>
      <w:szCs w:val="16"/>
      <w:lang w:val="en-US" w:eastAsia="en-US"/>
    </w:rPr>
  </w:style>
  <w:style w:type="paragraph" w:customStyle="1" w:styleId="OPACtext">
    <w:name w:val="OPAC text"/>
    <w:basedOn w:val="Normal"/>
    <w:rsid w:val="00F239C7"/>
    <w:pPr>
      <w:spacing w:before="120" w:after="120" w:line="240" w:lineRule="auto"/>
      <w:ind w:firstLine="709"/>
      <w:jc w:val="both"/>
    </w:pPr>
    <w:rPr>
      <w:rFonts w:ascii="Times New Roman" w:eastAsia="MS Mincho" w:hAnsi="Times New Roman"/>
      <w:sz w:val="24"/>
      <w:szCs w:val="16"/>
      <w:lang w:val="bg-BG"/>
    </w:rPr>
  </w:style>
  <w:style w:type="paragraph" w:styleId="ListBullet">
    <w:name w:val="List Bullet"/>
    <w:basedOn w:val="Normal"/>
    <w:rsid w:val="00C8252C"/>
    <w:pPr>
      <w:numPr>
        <w:numId w:val="3"/>
      </w:numPr>
      <w:spacing w:after="240" w:line="240" w:lineRule="auto"/>
      <w:jc w:val="both"/>
    </w:pPr>
    <w:rPr>
      <w:rFonts w:ascii="Times New Roman" w:hAnsi="Times New Roman"/>
      <w:sz w:val="24"/>
      <w:szCs w:val="20"/>
      <w:lang w:val="en-GB"/>
    </w:rPr>
  </w:style>
  <w:style w:type="paragraph" w:customStyle="1" w:styleId="Davidstyle3">
    <w:name w:val="David style 3"/>
    <w:basedOn w:val="Normal"/>
    <w:rsid w:val="00721D06"/>
    <w:pPr>
      <w:spacing w:after="240" w:line="240" w:lineRule="auto"/>
      <w:jc w:val="both"/>
    </w:pPr>
    <w:rPr>
      <w:rFonts w:ascii="Arial" w:eastAsia="Calibri" w:hAnsi="Arial" w:cs="Arial"/>
      <w:lang w:val="en-GB"/>
    </w:rPr>
  </w:style>
  <w:style w:type="character" w:customStyle="1" w:styleId="FootnoteTextChar1">
    <w:name w:val="Footnote Text Char1"/>
    <w:aliases w:val="stile 1 Char,Footnote Char,Footnote1 Char,Footnote2 Char,Footnote3 Char,Footnote4 Char,Footnote5 Char,Footnote6 Char,Footnote7 Char,Footnote8 Char,Footnote9 Char,Footnote10 Char,Footnote11 Char,Footnote21 Char,Footnote31 Char,fn Char"/>
    <w:uiPriority w:val="99"/>
    <w:rsid w:val="00B20AE8"/>
    <w:rPr>
      <w:rFonts w:ascii="Arial" w:eastAsia="Calibri" w:hAnsi="Arial" w:cs="Arial"/>
      <w:lang w:val="en-GB" w:eastAsia="en-GB" w:bidi="ar-SA"/>
    </w:rPr>
  </w:style>
  <w:style w:type="paragraph" w:styleId="TOCHeading">
    <w:name w:val="TOC Heading"/>
    <w:basedOn w:val="Heading1"/>
    <w:next w:val="Normal"/>
    <w:uiPriority w:val="39"/>
    <w:qFormat/>
    <w:rsid w:val="005448DD"/>
    <w:pPr>
      <w:keepLines/>
      <w:spacing w:before="480" w:after="0" w:line="276" w:lineRule="auto"/>
      <w:outlineLvl w:val="9"/>
    </w:pPr>
    <w:rPr>
      <w:rFonts w:ascii="Cambria" w:eastAsia="MS Gothic" w:hAnsi="Cambria"/>
      <w:color w:val="365F91"/>
      <w:kern w:val="0"/>
      <w:sz w:val="28"/>
      <w:szCs w:val="28"/>
      <w:lang w:val="en-US" w:eastAsia="ja-JP"/>
    </w:rPr>
  </w:style>
  <w:style w:type="paragraph" w:styleId="NoSpacing">
    <w:name w:val="No Spacing"/>
    <w:uiPriority w:val="1"/>
    <w:qFormat/>
    <w:rsid w:val="00D5183C"/>
    <w:rPr>
      <w:sz w:val="22"/>
      <w:szCs w:val="22"/>
      <w:lang w:val="en-US" w:eastAsia="en-US"/>
    </w:rPr>
  </w:style>
  <w:style w:type="character" w:customStyle="1" w:styleId="Heading4Char">
    <w:name w:val="Heading 4 Char"/>
    <w:link w:val="Heading4"/>
    <w:uiPriority w:val="9"/>
    <w:semiHidden/>
    <w:rsid w:val="003710FB"/>
    <w:rPr>
      <w:rFonts w:ascii="Calibri" w:eastAsia="Times New Roman" w:hAnsi="Calibri" w:cs="Times New Roman"/>
      <w:b/>
      <w:bCs/>
      <w:sz w:val="28"/>
      <w:szCs w:val="28"/>
    </w:rPr>
  </w:style>
  <w:style w:type="character" w:customStyle="1" w:styleId="Heading5Char">
    <w:name w:val="Heading 5 Char"/>
    <w:link w:val="Heading5"/>
    <w:uiPriority w:val="9"/>
    <w:semiHidden/>
    <w:rsid w:val="003710FB"/>
    <w:rPr>
      <w:rFonts w:ascii="Calibri" w:eastAsia="Times New Roman" w:hAnsi="Calibri" w:cs="Times New Roman"/>
      <w:b/>
      <w:bCs/>
      <w:i/>
      <w:iCs/>
      <w:sz w:val="26"/>
      <w:szCs w:val="26"/>
    </w:rPr>
  </w:style>
  <w:style w:type="paragraph" w:customStyle="1" w:styleId="TableText">
    <w:name w:val="Table Text"/>
    <w:aliases w:val="TT"/>
    <w:basedOn w:val="Normal"/>
    <w:link w:val="TableTextChar"/>
    <w:rsid w:val="004B1E7C"/>
    <w:pPr>
      <w:spacing w:after="240" w:line="280" w:lineRule="atLeast"/>
      <w:jc w:val="both"/>
    </w:pPr>
    <w:rPr>
      <w:rFonts w:ascii="Arial" w:eastAsia="Calibri" w:hAnsi="Arial"/>
      <w:sz w:val="16"/>
      <w:szCs w:val="16"/>
      <w:lang w:val="en-GB"/>
    </w:rPr>
  </w:style>
  <w:style w:type="character" w:customStyle="1" w:styleId="TableTextChar">
    <w:name w:val="Table Text Char"/>
    <w:link w:val="TableText"/>
    <w:locked/>
    <w:rsid w:val="004B1E7C"/>
    <w:rPr>
      <w:rFonts w:ascii="Arial" w:eastAsia="Calibri" w:hAnsi="Arial" w:cs="Arial"/>
      <w:sz w:val="16"/>
      <w:szCs w:val="16"/>
      <w:lang w:val="en-GB"/>
    </w:rPr>
  </w:style>
  <w:style w:type="paragraph" w:customStyle="1" w:styleId="Default">
    <w:name w:val="Default"/>
    <w:rsid w:val="004B1E7C"/>
    <w:pPr>
      <w:autoSpaceDE w:val="0"/>
      <w:autoSpaceDN w:val="0"/>
      <w:adjustRightInd w:val="0"/>
    </w:pPr>
    <w:rPr>
      <w:rFonts w:ascii="Times New Roman" w:hAnsi="Times New Roman"/>
      <w:color w:val="000000"/>
      <w:sz w:val="24"/>
      <w:szCs w:val="24"/>
      <w:lang w:val="en-US" w:eastAsia="en-US"/>
    </w:rPr>
  </w:style>
  <w:style w:type="paragraph" w:customStyle="1" w:styleId="Eaoaeaa">
    <w:name w:val="Eaoae?aa"/>
    <w:basedOn w:val="Normal"/>
    <w:rsid w:val="004B1E7C"/>
    <w:pPr>
      <w:widowControl w:val="0"/>
      <w:tabs>
        <w:tab w:val="center" w:pos="4153"/>
        <w:tab w:val="right" w:pos="8306"/>
      </w:tabs>
      <w:spacing w:after="0" w:line="240" w:lineRule="auto"/>
    </w:pPr>
    <w:rPr>
      <w:rFonts w:ascii="Times New Roman" w:eastAsia="MS Mincho" w:hAnsi="Times New Roman"/>
      <w:sz w:val="20"/>
      <w:szCs w:val="20"/>
    </w:rPr>
  </w:style>
  <w:style w:type="paragraph" w:customStyle="1" w:styleId="CharChar">
    <w:name w:val="Знак Знак Char Char"/>
    <w:basedOn w:val="Normal"/>
    <w:rsid w:val="00185CBE"/>
    <w:pPr>
      <w:tabs>
        <w:tab w:val="left" w:pos="709"/>
      </w:tabs>
      <w:spacing w:after="0" w:line="240" w:lineRule="auto"/>
    </w:pPr>
    <w:rPr>
      <w:rFonts w:ascii="Tahoma" w:hAnsi="Tahoma"/>
      <w:sz w:val="24"/>
      <w:szCs w:val="24"/>
      <w:lang w:val="pl-PL" w:eastAsia="pl-PL"/>
    </w:rPr>
  </w:style>
  <w:style w:type="paragraph" w:customStyle="1" w:styleId="Style1">
    <w:name w:val="Style1"/>
    <w:basedOn w:val="Normal"/>
    <w:link w:val="Style1CharChar"/>
    <w:rsid w:val="00185CBE"/>
    <w:pPr>
      <w:numPr>
        <w:numId w:val="4"/>
      </w:numPr>
      <w:spacing w:before="120" w:after="120" w:line="360" w:lineRule="auto"/>
      <w:jc w:val="both"/>
    </w:pPr>
    <w:rPr>
      <w:rFonts w:ascii="Arial Narrow" w:hAnsi="Arial Narrow"/>
      <w:sz w:val="24"/>
      <w:szCs w:val="24"/>
      <w:lang w:val="bg-BG"/>
    </w:rPr>
  </w:style>
  <w:style w:type="character" w:customStyle="1" w:styleId="Style1CharChar">
    <w:name w:val="Style1 Char Char"/>
    <w:basedOn w:val="DefaultParagraphFont"/>
    <w:link w:val="Style1"/>
    <w:rsid w:val="00185CBE"/>
    <w:rPr>
      <w:rFonts w:ascii="Arial Narrow" w:hAnsi="Arial Narrow"/>
      <w:sz w:val="24"/>
      <w:szCs w:val="24"/>
      <w:lang w:eastAsia="en-US"/>
    </w:rPr>
  </w:style>
  <w:style w:type="paragraph" w:customStyle="1" w:styleId="CarCar4">
    <w:name w:val="Car Car4"/>
    <w:basedOn w:val="Normal"/>
    <w:rsid w:val="00D61619"/>
    <w:pPr>
      <w:tabs>
        <w:tab w:val="left" w:pos="709"/>
      </w:tabs>
      <w:spacing w:after="0" w:line="240" w:lineRule="auto"/>
    </w:pPr>
    <w:rPr>
      <w:rFonts w:ascii="Tahoma" w:hAnsi="Tahoma"/>
      <w:sz w:val="24"/>
      <w:szCs w:val="24"/>
      <w:lang w:val="pl-PL" w:eastAsia="pl-PL"/>
    </w:rPr>
  </w:style>
  <w:style w:type="character" w:styleId="Emphasis">
    <w:name w:val="Emphasis"/>
    <w:basedOn w:val="DefaultParagraphFont"/>
    <w:uiPriority w:val="20"/>
    <w:qFormat/>
    <w:rsid w:val="002113BD"/>
    <w:rPr>
      <w:b/>
      <w:bCs/>
      <w:i w:val="0"/>
      <w:iCs w:val="0"/>
    </w:rPr>
  </w:style>
  <w:style w:type="paragraph" w:customStyle="1" w:styleId="CharChar1Char">
    <w:name w:val="Char Char1 Char"/>
    <w:basedOn w:val="Normal"/>
    <w:rsid w:val="00BB2F54"/>
    <w:pPr>
      <w:tabs>
        <w:tab w:val="left" w:pos="709"/>
      </w:tabs>
      <w:spacing w:after="0" w:line="240" w:lineRule="auto"/>
    </w:pPr>
    <w:rPr>
      <w:rFonts w:ascii="Tahoma" w:hAnsi="Tahoma"/>
      <w:sz w:val="24"/>
      <w:szCs w:val="24"/>
      <w:lang w:val="pl-PL" w:eastAsia="pl-PL"/>
    </w:rPr>
  </w:style>
  <w:style w:type="paragraph" w:customStyle="1" w:styleId="CVNormal">
    <w:name w:val="CV Normal"/>
    <w:basedOn w:val="Normal"/>
    <w:rsid w:val="00BB2F54"/>
    <w:pPr>
      <w:suppressAutoHyphens/>
      <w:spacing w:after="0" w:line="240" w:lineRule="auto"/>
      <w:ind w:left="113" w:right="113"/>
    </w:pPr>
    <w:rPr>
      <w:rFonts w:ascii="Arial Narrow" w:hAnsi="Arial Narrow"/>
      <w:sz w:val="20"/>
      <w:szCs w:val="20"/>
      <w:lang w:val="bg-BG" w:eastAsia="ar-SA"/>
    </w:rPr>
  </w:style>
  <w:style w:type="paragraph" w:customStyle="1" w:styleId="normaltableau">
    <w:name w:val="normal_tableau"/>
    <w:basedOn w:val="Normal"/>
    <w:link w:val="normaltableauChar"/>
    <w:rsid w:val="00BB2F54"/>
    <w:pPr>
      <w:widowControl w:val="0"/>
      <w:suppressAutoHyphens/>
      <w:spacing w:before="120" w:after="120" w:line="240" w:lineRule="auto"/>
      <w:jc w:val="both"/>
    </w:pPr>
    <w:rPr>
      <w:rFonts w:ascii="Optima" w:eastAsia="DejaVu Sans" w:hAnsi="Optima" w:cs="DejaVu Sans"/>
      <w:kern w:val="1"/>
      <w:szCs w:val="24"/>
      <w:lang w:val="en-GB" w:eastAsia="hi-IN" w:bidi="hi-IN"/>
    </w:rPr>
  </w:style>
  <w:style w:type="character" w:customStyle="1" w:styleId="normaltableauChar">
    <w:name w:val="normal_tableau Char"/>
    <w:basedOn w:val="DefaultParagraphFont"/>
    <w:link w:val="normaltableau"/>
    <w:locked/>
    <w:rsid w:val="00BB2F54"/>
    <w:rPr>
      <w:rFonts w:ascii="Optima" w:eastAsia="DejaVu Sans" w:hAnsi="Optima" w:cs="DejaVu Sans"/>
      <w:kern w:val="1"/>
      <w:sz w:val="22"/>
      <w:szCs w:val="24"/>
      <w:lang w:val="en-GB" w:eastAsia="hi-IN" w:bidi="hi-IN"/>
    </w:rPr>
  </w:style>
  <w:style w:type="paragraph" w:customStyle="1" w:styleId="CVNormal-FirstLine">
    <w:name w:val="CV Normal - First Line"/>
    <w:basedOn w:val="CVNormal"/>
    <w:next w:val="CVNormal"/>
    <w:rsid w:val="00BB2F54"/>
    <w:pPr>
      <w:spacing w:before="74"/>
    </w:pPr>
  </w:style>
  <w:style w:type="character" w:customStyle="1" w:styleId="filetitle">
    <w:name w:val="file_title"/>
    <w:basedOn w:val="DefaultParagraphFont"/>
    <w:rsid w:val="004B33BD"/>
    <w:rPr>
      <w:rFonts w:ascii="Arial" w:hAnsi="Arial"/>
      <w:lang w:val="en-GB" w:eastAsia="en-US" w:bidi="ar-SA"/>
    </w:rPr>
  </w:style>
  <w:style w:type="paragraph" w:styleId="DocumentMap">
    <w:name w:val="Document Map"/>
    <w:basedOn w:val="Normal"/>
    <w:link w:val="DocumentMapChar"/>
    <w:uiPriority w:val="99"/>
    <w:semiHidden/>
    <w:unhideWhenUsed/>
    <w:rsid w:val="004A3ADC"/>
    <w:rPr>
      <w:rFonts w:ascii="Tahoma" w:hAnsi="Tahoma" w:cs="Tahoma"/>
      <w:sz w:val="16"/>
      <w:szCs w:val="16"/>
    </w:rPr>
  </w:style>
  <w:style w:type="character" w:customStyle="1" w:styleId="DocumentMapChar">
    <w:name w:val="Document Map Char"/>
    <w:basedOn w:val="DefaultParagraphFont"/>
    <w:link w:val="DocumentMap"/>
    <w:uiPriority w:val="99"/>
    <w:semiHidden/>
    <w:rsid w:val="004A3ADC"/>
    <w:rPr>
      <w:rFonts w:ascii="Tahoma" w:hAnsi="Tahoma" w:cs="Tahoma"/>
      <w:sz w:val="16"/>
      <w:szCs w:val="16"/>
      <w:lang w:val="en-US" w:eastAsia="en-US"/>
    </w:rPr>
  </w:style>
  <w:style w:type="paragraph" w:customStyle="1" w:styleId="a">
    <w:name w:val="Стил"/>
    <w:uiPriority w:val="99"/>
    <w:rsid w:val="007B3BCA"/>
    <w:pPr>
      <w:widowControl w:val="0"/>
      <w:autoSpaceDE w:val="0"/>
      <w:autoSpaceDN w:val="0"/>
      <w:adjustRightInd w:val="0"/>
      <w:ind w:left="140" w:right="140" w:firstLine="840"/>
      <w:jc w:val="both"/>
    </w:pPr>
    <w:rPr>
      <w:rFonts w:ascii="Times New Roman" w:hAnsi="Times New Roman"/>
      <w:sz w:val="24"/>
      <w:szCs w:val="24"/>
    </w:rPr>
  </w:style>
  <w:style w:type="character" w:customStyle="1" w:styleId="ListParagraphChar">
    <w:name w:val="List Paragraph Char"/>
    <w:aliases w:val="List Paragraph11 Char,List Paragraph111 Char"/>
    <w:basedOn w:val="DefaultParagraphFont"/>
    <w:link w:val="ListParagraph"/>
    <w:uiPriority w:val="34"/>
    <w:locked/>
    <w:rsid w:val="007B3BCA"/>
    <w:rPr>
      <w:sz w:val="22"/>
      <w:szCs w:val="22"/>
      <w:lang w:val="en-US" w:eastAsia="en-US"/>
    </w:rPr>
  </w:style>
  <w:style w:type="character" w:customStyle="1" w:styleId="apple-converted-space">
    <w:name w:val="apple-converted-space"/>
    <w:basedOn w:val="DefaultParagraphFont"/>
    <w:rsid w:val="004C5475"/>
  </w:style>
  <w:style w:type="character" w:styleId="FollowedHyperlink">
    <w:name w:val="FollowedHyperlink"/>
    <w:basedOn w:val="DefaultParagraphFont"/>
    <w:uiPriority w:val="99"/>
    <w:semiHidden/>
    <w:unhideWhenUsed/>
    <w:rsid w:val="0065397E"/>
    <w:rPr>
      <w:color w:val="800080"/>
      <w:u w:val="single"/>
    </w:rPr>
  </w:style>
  <w:style w:type="paragraph" w:styleId="TableofFigures">
    <w:name w:val="table of figures"/>
    <w:basedOn w:val="Normal"/>
    <w:next w:val="Normal"/>
    <w:uiPriority w:val="99"/>
    <w:unhideWhenUsed/>
    <w:rsid w:val="001B2740"/>
    <w:pPr>
      <w:spacing w:after="0"/>
    </w:pPr>
  </w:style>
  <w:style w:type="table" w:customStyle="1" w:styleId="TableGrid1">
    <w:name w:val="Table Grid1"/>
    <w:basedOn w:val="TableNormal"/>
    <w:next w:val="TableGrid"/>
    <w:uiPriority w:val="59"/>
    <w:rsid w:val="006621A0"/>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resizabletext">
    <w:name w:val="resizable_text"/>
    <w:basedOn w:val="DefaultParagraphFont"/>
    <w:rsid w:val="00AF516D"/>
  </w:style>
  <w:style w:type="paragraph" w:customStyle="1" w:styleId="3CharCharCharCharCharChar">
    <w:name w:val="3 Знак Char Char Знак Char Char Char Char"/>
    <w:aliases w:val="3 Знак Char Char Знак Char Char Знак Char Char Знак"/>
    <w:basedOn w:val="Normal"/>
    <w:rsid w:val="00FD5AF8"/>
    <w:pPr>
      <w:tabs>
        <w:tab w:val="left" w:pos="709"/>
      </w:tabs>
      <w:spacing w:after="0" w:line="360" w:lineRule="auto"/>
    </w:pPr>
    <w:rPr>
      <w:rFonts w:ascii="Tahoma" w:eastAsia="Times New Roman" w:hAnsi="Tahoma"/>
      <w:sz w:val="24"/>
      <w:szCs w:val="24"/>
      <w:lang w:val="pl-PL" w:eastAsia="pl-PL"/>
    </w:rPr>
  </w:style>
  <w:style w:type="paragraph" w:styleId="Title">
    <w:name w:val="Title"/>
    <w:basedOn w:val="Normal"/>
    <w:link w:val="TitleChar"/>
    <w:qFormat/>
    <w:rsid w:val="00907B4E"/>
    <w:pPr>
      <w:spacing w:after="0" w:line="240" w:lineRule="auto"/>
      <w:jc w:val="center"/>
    </w:pPr>
    <w:rPr>
      <w:rFonts w:ascii="TmsCyr" w:eastAsia="Times New Roman" w:hAnsi="TmsCyr"/>
      <w:b/>
      <w:bCs/>
      <w:sz w:val="24"/>
      <w:szCs w:val="24"/>
      <w:lang w:val="bg-BG"/>
    </w:rPr>
  </w:style>
  <w:style w:type="character" w:customStyle="1" w:styleId="TitleChar">
    <w:name w:val="Title Char"/>
    <w:basedOn w:val="DefaultParagraphFont"/>
    <w:link w:val="Title"/>
    <w:rsid w:val="00907B4E"/>
    <w:rPr>
      <w:rFonts w:ascii="TmsCyr" w:eastAsia="Times New Roman" w:hAnsi="TmsCyr"/>
      <w:b/>
      <w:bCs/>
      <w:sz w:val="24"/>
      <w:szCs w:val="24"/>
      <w:lang w:eastAsia="en-US"/>
    </w:rPr>
  </w:style>
  <w:style w:type="character" w:customStyle="1" w:styleId="hps">
    <w:name w:val="hps"/>
    <w:basedOn w:val="DefaultParagraphFont"/>
    <w:rsid w:val="00907B4E"/>
  </w:style>
  <w:style w:type="character" w:customStyle="1" w:styleId="FooterChar1">
    <w:name w:val="Footer Char1"/>
    <w:basedOn w:val="DefaultParagraphFont"/>
    <w:locked/>
    <w:rsid w:val="00B75D91"/>
    <w:rPr>
      <w:rFonts w:ascii="Times New Roman" w:eastAsia="Calibri" w:hAnsi="Times New Roman" w:cs="Times New Roman"/>
      <w:lang w:val="en-GB" w:eastAsia="en-US"/>
    </w:rPr>
  </w:style>
  <w:style w:type="paragraph" w:customStyle="1" w:styleId="Tiret0">
    <w:name w:val="Tiret 0"/>
    <w:basedOn w:val="Normal"/>
    <w:rsid w:val="00822A59"/>
    <w:pPr>
      <w:numPr>
        <w:numId w:val="9"/>
      </w:numPr>
      <w:spacing w:before="120" w:after="120" w:line="240" w:lineRule="auto"/>
      <w:jc w:val="both"/>
    </w:pPr>
    <w:rPr>
      <w:rFonts w:ascii="Times New Roman" w:eastAsia="Times New Roman" w:hAnsi="Times New Roman"/>
      <w:sz w:val="24"/>
      <w:szCs w:val="24"/>
      <w:lang w:val="en-GB"/>
    </w:rPr>
  </w:style>
  <w:style w:type="paragraph" w:customStyle="1" w:styleId="Tiret1">
    <w:name w:val="Tiret 1"/>
    <w:basedOn w:val="Normal"/>
    <w:rsid w:val="00822A59"/>
    <w:pPr>
      <w:tabs>
        <w:tab w:val="num" w:pos="850"/>
      </w:tabs>
      <w:spacing w:before="120" w:after="120" w:line="240" w:lineRule="auto"/>
      <w:ind w:left="850" w:hanging="850"/>
      <w:jc w:val="both"/>
    </w:pPr>
    <w:rPr>
      <w:rFonts w:ascii="Times New Roman" w:eastAsia="Times New Roman" w:hAnsi="Times New Roman"/>
      <w:sz w:val="24"/>
      <w:szCs w:val="24"/>
      <w:lang w:val="en-GB"/>
    </w:rPr>
  </w:style>
  <w:style w:type="paragraph" w:customStyle="1" w:styleId="Tiret2">
    <w:name w:val="Tiret 2"/>
    <w:basedOn w:val="Normal"/>
    <w:rsid w:val="00822A59"/>
    <w:pPr>
      <w:numPr>
        <w:numId w:val="10"/>
      </w:numPr>
      <w:spacing w:before="120" w:after="120" w:line="240" w:lineRule="auto"/>
      <w:jc w:val="both"/>
    </w:pPr>
    <w:rPr>
      <w:rFonts w:ascii="Times New Roman" w:eastAsia="Times New Roman" w:hAnsi="Times New Roman"/>
      <w:sz w:val="24"/>
      <w:szCs w:val="24"/>
      <w:lang w:val="en-GB"/>
    </w:rPr>
  </w:style>
  <w:style w:type="paragraph" w:customStyle="1" w:styleId="yiv1705386060msonormal">
    <w:name w:val="yiv1705386060msonormal"/>
    <w:basedOn w:val="Normal"/>
    <w:rsid w:val="00103AED"/>
    <w:pPr>
      <w:spacing w:before="100" w:beforeAutospacing="1" w:after="100" w:afterAutospacing="1" w:line="240" w:lineRule="auto"/>
    </w:pPr>
    <w:rPr>
      <w:rFonts w:ascii="Times New Roman" w:eastAsia="Times New Roman" w:hAnsi="Times New Roman"/>
      <w:sz w:val="24"/>
      <w:szCs w:val="24"/>
    </w:rPr>
  </w:style>
  <w:style w:type="character" w:customStyle="1" w:styleId="A4">
    <w:name w:val="A4"/>
    <w:uiPriority w:val="99"/>
    <w:rsid w:val="00806861"/>
    <w:rPr>
      <w:rFonts w:cs="PF Square Sans Pro Medium"/>
      <w:color w:val="000000"/>
      <w:sz w:val="42"/>
      <w:szCs w:val="42"/>
    </w:rPr>
  </w:style>
  <w:style w:type="table" w:customStyle="1" w:styleId="MediumShading1-Accent11">
    <w:name w:val="Medium Shading 1 - Accent 11"/>
    <w:basedOn w:val="TableNormal"/>
    <w:uiPriority w:val="63"/>
    <w:rsid w:val="00986D40"/>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CM1">
    <w:name w:val="CM1"/>
    <w:basedOn w:val="Default"/>
    <w:next w:val="Default"/>
    <w:uiPriority w:val="99"/>
    <w:rsid w:val="003E3235"/>
    <w:rPr>
      <w:rFonts w:ascii="EUAlbertina" w:hAnsi="EUAlbertina"/>
      <w:color w:val="auto"/>
      <w:lang w:val="bg-BG" w:eastAsia="bg-BG"/>
    </w:rPr>
  </w:style>
  <w:style w:type="paragraph" w:customStyle="1" w:styleId="CM3">
    <w:name w:val="CM3"/>
    <w:basedOn w:val="Default"/>
    <w:next w:val="Default"/>
    <w:uiPriority w:val="99"/>
    <w:rsid w:val="003E3235"/>
    <w:rPr>
      <w:rFonts w:ascii="EUAlbertina" w:hAnsi="EUAlbertina"/>
      <w:color w:val="auto"/>
      <w:lang w:val="bg-BG" w:eastAsia="bg-BG"/>
    </w:rPr>
  </w:style>
  <w:style w:type="paragraph" w:customStyle="1" w:styleId="CM4">
    <w:name w:val="CM4"/>
    <w:basedOn w:val="Default"/>
    <w:next w:val="Default"/>
    <w:uiPriority w:val="99"/>
    <w:rsid w:val="003E3235"/>
    <w:rPr>
      <w:rFonts w:ascii="EUAlbertina" w:hAnsi="EUAlbertina"/>
      <w:color w:val="auto"/>
      <w:lang w:val="bg-BG" w:eastAsia="bg-BG"/>
    </w:rPr>
  </w:style>
  <w:style w:type="paragraph" w:customStyle="1" w:styleId="ListParagraph1">
    <w:name w:val="List Paragraph1"/>
    <w:aliases w:val="List1,Списък на абзаци"/>
    <w:basedOn w:val="Normal"/>
    <w:uiPriority w:val="34"/>
    <w:qFormat/>
    <w:rsid w:val="00BE63CF"/>
    <w:pPr>
      <w:spacing w:after="240" w:line="240" w:lineRule="auto"/>
      <w:ind w:left="720"/>
      <w:jc w:val="both"/>
    </w:pPr>
    <w:rPr>
      <w:rFonts w:ascii="Times New Roman" w:eastAsia="Times New Roman" w:hAnsi="Times New Roman"/>
      <w:sz w:val="24"/>
      <w:szCs w:val="20"/>
      <w:lang w:val="en-GB"/>
    </w:rPr>
  </w:style>
  <w:style w:type="paragraph" w:customStyle="1" w:styleId="Text1">
    <w:name w:val="Text 1"/>
    <w:basedOn w:val="Normal"/>
    <w:rsid w:val="00A33263"/>
    <w:pPr>
      <w:spacing w:after="240" w:line="240" w:lineRule="auto"/>
      <w:ind w:left="482"/>
      <w:jc w:val="both"/>
    </w:pPr>
    <w:rPr>
      <w:rFonts w:ascii="Times New Roman" w:eastAsia="Calibri" w:hAnsi="Times New Roman"/>
      <w:sz w:val="20"/>
      <w:szCs w:val="20"/>
      <w:lang w:val="en-GB" w:eastAsia="en-GB"/>
    </w:rPr>
  </w:style>
  <w:style w:type="character" w:customStyle="1" w:styleId="Heading7Char">
    <w:name w:val="Heading 7 Char"/>
    <w:basedOn w:val="DefaultParagraphFont"/>
    <w:link w:val="Heading7"/>
    <w:uiPriority w:val="9"/>
    <w:semiHidden/>
    <w:rsid w:val="0088514D"/>
    <w:rPr>
      <w:rFonts w:asciiTheme="majorHAnsi" w:eastAsiaTheme="majorEastAsia" w:hAnsiTheme="majorHAnsi" w:cstheme="majorBidi"/>
      <w:i/>
      <w:iCs/>
      <w:color w:val="404040" w:themeColor="text1" w:themeTint="BF"/>
      <w:sz w:val="22"/>
      <w:szCs w:val="22"/>
      <w:lang w:val="en-US" w:eastAsia="en-US"/>
    </w:rPr>
  </w:style>
  <w:style w:type="table" w:customStyle="1" w:styleId="Ikastyle">
    <w:name w:val="Ika_style"/>
    <w:basedOn w:val="TableContemporary"/>
    <w:uiPriority w:val="99"/>
    <w:rsid w:val="00E655E4"/>
    <w:rPr>
      <w:rFonts w:ascii="Cambria" w:eastAsiaTheme="minorHAnsi" w:hAnsi="Cambria" w:cstheme="minorBidi"/>
      <w:color w:val="000000" w:themeColor="text1"/>
      <w:sz w:val="18"/>
      <w:lang w:val="en-US"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pPr>
        <w:jc w:val="center"/>
      </w:pPr>
      <w:rPr>
        <w:b/>
        <w:bCs/>
        <w:color w:val="FFFFFF" w:themeColor="background1"/>
      </w:rPr>
      <w:tblPr/>
      <w:tcPr>
        <w:tcBorders>
          <w:tl2br w:val="none" w:sz="0" w:space="0" w:color="auto"/>
          <w:tr2bl w:val="none" w:sz="0" w:space="0" w:color="auto"/>
        </w:tcBorders>
        <w:shd w:val="clear" w:color="auto" w:fill="E36C0A" w:themeFill="accent6" w:themeFillShade="BF"/>
      </w:tcPr>
    </w:tblStylePr>
    <w:tblStylePr w:type="firstCol">
      <w:pPr>
        <w:jc w:val="left"/>
      </w:pPr>
      <w:tblPr/>
      <w:tcPr>
        <w:vAlign w:val="center"/>
      </w:tcPr>
    </w:tblStylePr>
    <w:tblStylePr w:type="band1Horz">
      <w:pPr>
        <w:jc w:val="right"/>
      </w:pPr>
      <w:rPr>
        <w:color w:val="auto"/>
      </w:rPr>
      <w:tblPr/>
      <w:tcPr>
        <w:tcBorders>
          <w:tl2br w:val="none" w:sz="0" w:space="0" w:color="auto"/>
          <w:tr2bl w:val="none" w:sz="0" w:space="0" w:color="auto"/>
        </w:tcBorders>
        <w:shd w:val="pct5" w:color="000000" w:fill="FFFFFF"/>
        <w:vAlign w:val="center"/>
      </w:tcPr>
    </w:tblStylePr>
    <w:tblStylePr w:type="band2Horz">
      <w:pPr>
        <w:jc w:val="right"/>
      </w:pPr>
      <w:rPr>
        <w:color w:val="auto"/>
      </w:rPr>
      <w:tblPr/>
      <w:tcPr>
        <w:tcBorders>
          <w:tl2br w:val="none" w:sz="0" w:space="0" w:color="auto"/>
          <w:tr2bl w:val="none" w:sz="0" w:space="0" w:color="auto"/>
        </w:tcBorders>
        <w:shd w:val="pct20" w:color="000000" w:fill="FFFFFF"/>
        <w:vAlign w:val="center"/>
      </w:tcPr>
    </w:tblStylePr>
  </w:style>
  <w:style w:type="table" w:styleId="TableContemporary">
    <w:name w:val="Table Contemporary"/>
    <w:basedOn w:val="TableNormal"/>
    <w:uiPriority w:val="99"/>
    <w:semiHidden/>
    <w:unhideWhenUsed/>
    <w:rsid w:val="00E655E4"/>
    <w:pPr>
      <w:spacing w:after="200" w:line="276" w:lineRule="auto"/>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ParagrahAnswer">
    <w:name w:val="ParagrahAnswer"/>
    <w:basedOn w:val="Normal"/>
    <w:autoRedefine/>
    <w:rsid w:val="00496549"/>
    <w:pPr>
      <w:keepNext/>
      <w:keepLines/>
      <w:spacing w:before="60" w:after="60" w:line="240" w:lineRule="auto"/>
    </w:pPr>
    <w:rPr>
      <w:rFonts w:ascii="Arial" w:eastAsia="Times New Roman" w:hAnsi="Arial"/>
      <w:i/>
      <w:noProof/>
      <w:sz w:val="20"/>
      <w:szCs w:val="24"/>
      <w:lang w:val="en-GB"/>
    </w:rPr>
  </w:style>
  <w:style w:type="paragraph" w:customStyle="1" w:styleId="ChartTableHeader">
    <w:name w:val="ChartTableHeader"/>
    <w:basedOn w:val="Normal"/>
    <w:next w:val="Normal"/>
    <w:autoRedefine/>
    <w:rsid w:val="00273D43"/>
    <w:pPr>
      <w:spacing w:after="0" w:line="240" w:lineRule="auto"/>
    </w:pPr>
    <w:rPr>
      <w:rFonts w:ascii="Arial" w:eastAsia="Times New Roman" w:hAnsi="Arial"/>
      <w:b/>
      <w:noProof/>
      <w:sz w:val="20"/>
      <w:szCs w:val="24"/>
      <w:lang w:val="nl-BE"/>
    </w:rPr>
  </w:style>
  <w:style w:type="paragraph" w:customStyle="1" w:styleId="ChartTableFooter">
    <w:name w:val="ChartTableFooter"/>
    <w:basedOn w:val="ChartTableHeader"/>
    <w:autoRedefine/>
    <w:rsid w:val="00273D43"/>
    <w:pPr>
      <w:jc w:val="right"/>
    </w:pPr>
  </w:style>
  <w:style w:type="table" w:customStyle="1" w:styleId="IkaTable">
    <w:name w:val="IkaTable"/>
    <w:uiPriority w:val="99"/>
    <w:qFormat/>
    <w:rsid w:val="001D5F1A"/>
    <w:pPr>
      <w:spacing w:after="60"/>
    </w:pPr>
    <w:rPr>
      <w:rFonts w:ascii="Cambria" w:eastAsiaTheme="minorHAnsi" w:hAnsi="Cambria" w:cstheme="minorBidi"/>
      <w:sz w:val="18"/>
      <w:lang w:val="en-US" w:eastAsia="en-US"/>
    </w:rPr>
    <w:tblPr>
      <w:tblStyleRowBandSize w:val="1"/>
      <w:tblBorders>
        <w:top w:val="single" w:sz="4" w:space="0" w:color="6E5A64"/>
        <w:left w:val="single" w:sz="4" w:space="0" w:color="6E5A64"/>
        <w:bottom w:val="single" w:sz="4" w:space="0" w:color="6E5A64"/>
        <w:right w:val="single" w:sz="4" w:space="0" w:color="6E5A64"/>
        <w:insideH w:val="single" w:sz="4" w:space="0" w:color="6E5A64"/>
        <w:insideV w:val="single" w:sz="4" w:space="0" w:color="6E5A64"/>
      </w:tblBorders>
      <w:tblCellMar>
        <w:top w:w="0" w:type="dxa"/>
        <w:left w:w="0" w:type="dxa"/>
        <w:bottom w:w="0" w:type="dxa"/>
        <w:right w:w="0" w:type="dxa"/>
      </w:tblCellMar>
    </w:tblPr>
    <w:tcPr>
      <w:vAlign w:val="center"/>
    </w:tcPr>
    <w:tblStylePr w:type="firstRow">
      <w:pPr>
        <w:wordWrap/>
        <w:spacing w:afterLines="0" w:afterAutospacing="0"/>
      </w:pPr>
      <w:rPr>
        <w:rFonts w:ascii="DotumChe" w:hAnsi="DotumChe"/>
        <w:b/>
        <w:color w:val="FFFFFF" w:themeColor="background1"/>
        <w:sz w:val="20"/>
      </w:rPr>
      <w:tblPr/>
      <w:tcPr>
        <w:tcBorders>
          <w:top w:val="nil"/>
          <w:left w:val="nil"/>
          <w:bottom w:val="nil"/>
          <w:right w:val="nil"/>
          <w:insideH w:val="nil"/>
          <w:insideV w:val="nil"/>
          <w:tl2br w:val="nil"/>
          <w:tr2bl w:val="nil"/>
        </w:tcBorders>
        <w:shd w:val="clear" w:color="auto" w:fill="6E5A64"/>
      </w:tcPr>
    </w:tblStylePr>
    <w:tblStylePr w:type="band1Horz">
      <w:tblPr/>
      <w:tcPr>
        <w:shd w:val="clear" w:color="auto" w:fill="F5F5F5"/>
      </w:tcPr>
    </w:tblStylePr>
    <w:tblStylePr w:type="band2Horz">
      <w:tblPr/>
      <w:tcPr>
        <w:shd w:val="clear" w:color="auto" w:fill="E6DCF0"/>
      </w:tcPr>
    </w:tblStylePr>
  </w:style>
  <w:style w:type="paragraph" w:customStyle="1" w:styleId="no-heading-blue-1">
    <w:name w:val="no-heading-blue-1"/>
    <w:basedOn w:val="Normal"/>
    <w:next w:val="Normal"/>
    <w:rsid w:val="004E1162"/>
    <w:pPr>
      <w:spacing w:after="840" w:line="280" w:lineRule="atLeast"/>
    </w:pPr>
    <w:rPr>
      <w:rFonts w:ascii="Arial" w:eastAsia="Times New Roman" w:hAnsi="Arial"/>
      <w:b/>
      <w:color w:val="006DB6"/>
      <w:sz w:val="36"/>
      <w:szCs w:val="24"/>
      <w:lang w:val="bg-BG" w:eastAsia="nl-NL"/>
    </w:rPr>
  </w:style>
  <w:style w:type="paragraph" w:customStyle="1" w:styleId="broodtekstbold">
    <w:name w:val="broodtekstbold"/>
    <w:basedOn w:val="Normal"/>
    <w:next w:val="Normal"/>
    <w:rsid w:val="004E1162"/>
    <w:pPr>
      <w:spacing w:after="0" w:line="280" w:lineRule="atLeast"/>
    </w:pPr>
    <w:rPr>
      <w:rFonts w:ascii="Arial" w:eastAsia="Times New Roman" w:hAnsi="Arial"/>
      <w:b/>
      <w:sz w:val="18"/>
      <w:szCs w:val="24"/>
      <w:lang w:val="bg-BG" w:eastAsia="nl-NL"/>
    </w:rPr>
  </w:style>
  <w:style w:type="paragraph" w:customStyle="1" w:styleId="broodtekst">
    <w:name w:val="broodtekst"/>
    <w:basedOn w:val="Normal"/>
    <w:link w:val="broodtekstChar"/>
    <w:uiPriority w:val="99"/>
    <w:rsid w:val="001A66A0"/>
    <w:pPr>
      <w:spacing w:after="0" w:line="280" w:lineRule="atLeast"/>
    </w:pPr>
    <w:rPr>
      <w:rFonts w:ascii="Arial" w:hAnsi="Arial" w:cs="Arial"/>
      <w:sz w:val="18"/>
      <w:szCs w:val="18"/>
      <w:lang w:val="bg-BG" w:eastAsia="nl-NL"/>
    </w:rPr>
  </w:style>
  <w:style w:type="character" w:customStyle="1" w:styleId="broodtekstChar">
    <w:name w:val="broodtekst Char"/>
    <w:basedOn w:val="DefaultParagraphFont"/>
    <w:link w:val="broodtekst"/>
    <w:uiPriority w:val="99"/>
    <w:rsid w:val="001A66A0"/>
    <w:rPr>
      <w:rFonts w:ascii="Arial" w:hAnsi="Arial" w:cs="Arial"/>
      <w:sz w:val="18"/>
      <w:szCs w:val="18"/>
      <w:lang w:eastAsia="nl-NL"/>
    </w:rPr>
  </w:style>
  <w:style w:type="paragraph" w:customStyle="1" w:styleId="ListDash">
    <w:name w:val="List Dash"/>
    <w:basedOn w:val="Normal"/>
    <w:rsid w:val="00F356CE"/>
    <w:pPr>
      <w:numPr>
        <w:numId w:val="103"/>
      </w:numPr>
      <w:spacing w:after="240" w:line="240" w:lineRule="auto"/>
      <w:jc w:val="both"/>
    </w:pPr>
    <w:rPr>
      <w:rFonts w:ascii="Times New Roman" w:eastAsia="Times New Roman" w:hAnsi="Times New Roman"/>
      <w:sz w:val="24"/>
      <w:szCs w:val="20"/>
      <w:lang w:val="bg-B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413312">
      <w:bodyDiv w:val="1"/>
      <w:marLeft w:val="0"/>
      <w:marRight w:val="0"/>
      <w:marTop w:val="0"/>
      <w:marBottom w:val="0"/>
      <w:divBdr>
        <w:top w:val="none" w:sz="0" w:space="0" w:color="auto"/>
        <w:left w:val="none" w:sz="0" w:space="0" w:color="auto"/>
        <w:bottom w:val="none" w:sz="0" w:space="0" w:color="auto"/>
        <w:right w:val="none" w:sz="0" w:space="0" w:color="auto"/>
      </w:divBdr>
    </w:div>
    <w:div w:id="61607113">
      <w:bodyDiv w:val="1"/>
      <w:marLeft w:val="0"/>
      <w:marRight w:val="0"/>
      <w:marTop w:val="0"/>
      <w:marBottom w:val="0"/>
      <w:divBdr>
        <w:top w:val="none" w:sz="0" w:space="0" w:color="auto"/>
        <w:left w:val="none" w:sz="0" w:space="0" w:color="auto"/>
        <w:bottom w:val="none" w:sz="0" w:space="0" w:color="auto"/>
        <w:right w:val="none" w:sz="0" w:space="0" w:color="auto"/>
      </w:divBdr>
    </w:div>
    <w:div w:id="75593682">
      <w:bodyDiv w:val="1"/>
      <w:marLeft w:val="0"/>
      <w:marRight w:val="0"/>
      <w:marTop w:val="0"/>
      <w:marBottom w:val="0"/>
      <w:divBdr>
        <w:top w:val="none" w:sz="0" w:space="0" w:color="auto"/>
        <w:left w:val="none" w:sz="0" w:space="0" w:color="auto"/>
        <w:bottom w:val="none" w:sz="0" w:space="0" w:color="auto"/>
        <w:right w:val="none" w:sz="0" w:space="0" w:color="auto"/>
      </w:divBdr>
      <w:divsChild>
        <w:div w:id="831069166">
          <w:marLeft w:val="0"/>
          <w:marRight w:val="0"/>
          <w:marTop w:val="0"/>
          <w:marBottom w:val="0"/>
          <w:divBdr>
            <w:top w:val="none" w:sz="0" w:space="0" w:color="auto"/>
            <w:left w:val="none" w:sz="0" w:space="0" w:color="auto"/>
            <w:bottom w:val="none" w:sz="0" w:space="0" w:color="auto"/>
            <w:right w:val="none" w:sz="0" w:space="0" w:color="auto"/>
          </w:divBdr>
          <w:divsChild>
            <w:div w:id="1824202125">
              <w:marLeft w:val="0"/>
              <w:marRight w:val="0"/>
              <w:marTop w:val="300"/>
              <w:marBottom w:val="300"/>
              <w:divBdr>
                <w:top w:val="none" w:sz="0" w:space="0" w:color="auto"/>
                <w:left w:val="none" w:sz="0" w:space="0" w:color="auto"/>
                <w:bottom w:val="none" w:sz="0" w:space="0" w:color="auto"/>
                <w:right w:val="none" w:sz="0" w:space="0" w:color="auto"/>
              </w:divBdr>
              <w:divsChild>
                <w:div w:id="546571456">
                  <w:marLeft w:val="0"/>
                  <w:marRight w:val="0"/>
                  <w:marTop w:val="0"/>
                  <w:marBottom w:val="0"/>
                  <w:divBdr>
                    <w:top w:val="none" w:sz="0" w:space="0" w:color="auto"/>
                    <w:left w:val="none" w:sz="0" w:space="0" w:color="auto"/>
                    <w:bottom w:val="none" w:sz="0" w:space="0" w:color="auto"/>
                    <w:right w:val="none" w:sz="0" w:space="0" w:color="auto"/>
                  </w:divBdr>
                </w:div>
                <w:div w:id="1224216763">
                  <w:marLeft w:val="0"/>
                  <w:marRight w:val="0"/>
                  <w:marTop w:val="0"/>
                  <w:marBottom w:val="0"/>
                  <w:divBdr>
                    <w:top w:val="none" w:sz="0" w:space="0" w:color="auto"/>
                    <w:left w:val="none" w:sz="0" w:space="0" w:color="auto"/>
                    <w:bottom w:val="none" w:sz="0" w:space="0" w:color="auto"/>
                    <w:right w:val="none" w:sz="0" w:space="0" w:color="auto"/>
                  </w:divBdr>
                </w:div>
                <w:div w:id="1606965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377819">
      <w:bodyDiv w:val="1"/>
      <w:marLeft w:val="0"/>
      <w:marRight w:val="0"/>
      <w:marTop w:val="0"/>
      <w:marBottom w:val="0"/>
      <w:divBdr>
        <w:top w:val="none" w:sz="0" w:space="0" w:color="auto"/>
        <w:left w:val="none" w:sz="0" w:space="0" w:color="auto"/>
        <w:bottom w:val="none" w:sz="0" w:space="0" w:color="auto"/>
        <w:right w:val="none" w:sz="0" w:space="0" w:color="auto"/>
      </w:divBdr>
    </w:div>
    <w:div w:id="146408450">
      <w:bodyDiv w:val="1"/>
      <w:marLeft w:val="0"/>
      <w:marRight w:val="0"/>
      <w:marTop w:val="0"/>
      <w:marBottom w:val="0"/>
      <w:divBdr>
        <w:top w:val="none" w:sz="0" w:space="0" w:color="auto"/>
        <w:left w:val="none" w:sz="0" w:space="0" w:color="auto"/>
        <w:bottom w:val="none" w:sz="0" w:space="0" w:color="auto"/>
        <w:right w:val="none" w:sz="0" w:space="0" w:color="auto"/>
      </w:divBdr>
    </w:div>
    <w:div w:id="258754108">
      <w:bodyDiv w:val="1"/>
      <w:marLeft w:val="0"/>
      <w:marRight w:val="0"/>
      <w:marTop w:val="0"/>
      <w:marBottom w:val="0"/>
      <w:divBdr>
        <w:top w:val="none" w:sz="0" w:space="0" w:color="auto"/>
        <w:left w:val="none" w:sz="0" w:space="0" w:color="auto"/>
        <w:bottom w:val="none" w:sz="0" w:space="0" w:color="auto"/>
        <w:right w:val="none" w:sz="0" w:space="0" w:color="auto"/>
      </w:divBdr>
      <w:divsChild>
        <w:div w:id="157186774">
          <w:marLeft w:val="109"/>
          <w:marRight w:val="0"/>
          <w:marTop w:val="0"/>
          <w:marBottom w:val="0"/>
          <w:divBdr>
            <w:top w:val="single" w:sz="48" w:space="0" w:color="FFFFFF"/>
            <w:left w:val="single" w:sz="12" w:space="0" w:color="FFFFFF"/>
            <w:bottom w:val="none" w:sz="0" w:space="0" w:color="auto"/>
            <w:right w:val="single" w:sz="12" w:space="0" w:color="FFFFFF"/>
          </w:divBdr>
          <w:divsChild>
            <w:div w:id="457458296">
              <w:marLeft w:val="0"/>
              <w:marRight w:val="27"/>
              <w:marTop w:val="0"/>
              <w:marBottom w:val="0"/>
              <w:divBdr>
                <w:top w:val="none" w:sz="0" w:space="0" w:color="auto"/>
                <w:left w:val="none" w:sz="0" w:space="0" w:color="auto"/>
                <w:bottom w:val="none" w:sz="0" w:space="0" w:color="auto"/>
                <w:right w:val="none" w:sz="0" w:space="0" w:color="auto"/>
              </w:divBdr>
              <w:divsChild>
                <w:div w:id="1353920136">
                  <w:marLeft w:val="0"/>
                  <w:marRight w:val="27"/>
                  <w:marTop w:val="0"/>
                  <w:marBottom w:val="0"/>
                  <w:divBdr>
                    <w:top w:val="none" w:sz="0" w:space="0" w:color="auto"/>
                    <w:left w:val="none" w:sz="0" w:space="0" w:color="auto"/>
                    <w:bottom w:val="none" w:sz="0" w:space="0" w:color="auto"/>
                    <w:right w:val="none" w:sz="0" w:space="0" w:color="auto"/>
                  </w:divBdr>
                  <w:divsChild>
                    <w:div w:id="1875462284">
                      <w:marLeft w:val="0"/>
                      <w:marRight w:val="0"/>
                      <w:marTop w:val="0"/>
                      <w:marBottom w:val="0"/>
                      <w:divBdr>
                        <w:top w:val="none" w:sz="0" w:space="0" w:color="auto"/>
                        <w:left w:val="none" w:sz="0" w:space="0" w:color="auto"/>
                        <w:bottom w:val="none" w:sz="0" w:space="0" w:color="auto"/>
                        <w:right w:val="none" w:sz="0" w:space="0" w:color="auto"/>
                      </w:divBdr>
                      <w:divsChild>
                        <w:div w:id="271861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7594534">
      <w:bodyDiv w:val="1"/>
      <w:marLeft w:val="0"/>
      <w:marRight w:val="0"/>
      <w:marTop w:val="0"/>
      <w:marBottom w:val="0"/>
      <w:divBdr>
        <w:top w:val="none" w:sz="0" w:space="0" w:color="auto"/>
        <w:left w:val="none" w:sz="0" w:space="0" w:color="auto"/>
        <w:bottom w:val="none" w:sz="0" w:space="0" w:color="auto"/>
        <w:right w:val="none" w:sz="0" w:space="0" w:color="auto"/>
      </w:divBdr>
    </w:div>
    <w:div w:id="317343018">
      <w:bodyDiv w:val="1"/>
      <w:marLeft w:val="0"/>
      <w:marRight w:val="0"/>
      <w:marTop w:val="0"/>
      <w:marBottom w:val="0"/>
      <w:divBdr>
        <w:top w:val="none" w:sz="0" w:space="0" w:color="auto"/>
        <w:left w:val="none" w:sz="0" w:space="0" w:color="auto"/>
        <w:bottom w:val="none" w:sz="0" w:space="0" w:color="auto"/>
        <w:right w:val="none" w:sz="0" w:space="0" w:color="auto"/>
      </w:divBdr>
    </w:div>
    <w:div w:id="566494001">
      <w:bodyDiv w:val="1"/>
      <w:marLeft w:val="0"/>
      <w:marRight w:val="0"/>
      <w:marTop w:val="0"/>
      <w:marBottom w:val="0"/>
      <w:divBdr>
        <w:top w:val="none" w:sz="0" w:space="0" w:color="auto"/>
        <w:left w:val="none" w:sz="0" w:space="0" w:color="auto"/>
        <w:bottom w:val="none" w:sz="0" w:space="0" w:color="auto"/>
        <w:right w:val="none" w:sz="0" w:space="0" w:color="auto"/>
      </w:divBdr>
    </w:div>
    <w:div w:id="567039734">
      <w:bodyDiv w:val="1"/>
      <w:marLeft w:val="0"/>
      <w:marRight w:val="0"/>
      <w:marTop w:val="0"/>
      <w:marBottom w:val="0"/>
      <w:divBdr>
        <w:top w:val="none" w:sz="0" w:space="0" w:color="auto"/>
        <w:left w:val="none" w:sz="0" w:space="0" w:color="auto"/>
        <w:bottom w:val="none" w:sz="0" w:space="0" w:color="auto"/>
        <w:right w:val="none" w:sz="0" w:space="0" w:color="auto"/>
      </w:divBdr>
    </w:div>
    <w:div w:id="591747441">
      <w:bodyDiv w:val="1"/>
      <w:marLeft w:val="0"/>
      <w:marRight w:val="0"/>
      <w:marTop w:val="0"/>
      <w:marBottom w:val="0"/>
      <w:divBdr>
        <w:top w:val="none" w:sz="0" w:space="0" w:color="auto"/>
        <w:left w:val="none" w:sz="0" w:space="0" w:color="auto"/>
        <w:bottom w:val="none" w:sz="0" w:space="0" w:color="auto"/>
        <w:right w:val="none" w:sz="0" w:space="0" w:color="auto"/>
      </w:divBdr>
    </w:div>
    <w:div w:id="685908484">
      <w:bodyDiv w:val="1"/>
      <w:marLeft w:val="0"/>
      <w:marRight w:val="0"/>
      <w:marTop w:val="0"/>
      <w:marBottom w:val="0"/>
      <w:divBdr>
        <w:top w:val="none" w:sz="0" w:space="0" w:color="auto"/>
        <w:left w:val="none" w:sz="0" w:space="0" w:color="auto"/>
        <w:bottom w:val="none" w:sz="0" w:space="0" w:color="auto"/>
        <w:right w:val="none" w:sz="0" w:space="0" w:color="auto"/>
      </w:divBdr>
    </w:div>
    <w:div w:id="712194695">
      <w:bodyDiv w:val="1"/>
      <w:marLeft w:val="0"/>
      <w:marRight w:val="0"/>
      <w:marTop w:val="0"/>
      <w:marBottom w:val="0"/>
      <w:divBdr>
        <w:top w:val="none" w:sz="0" w:space="0" w:color="auto"/>
        <w:left w:val="none" w:sz="0" w:space="0" w:color="auto"/>
        <w:bottom w:val="none" w:sz="0" w:space="0" w:color="auto"/>
        <w:right w:val="none" w:sz="0" w:space="0" w:color="auto"/>
      </w:divBdr>
    </w:div>
    <w:div w:id="733313080">
      <w:bodyDiv w:val="1"/>
      <w:marLeft w:val="0"/>
      <w:marRight w:val="0"/>
      <w:marTop w:val="0"/>
      <w:marBottom w:val="0"/>
      <w:divBdr>
        <w:top w:val="none" w:sz="0" w:space="0" w:color="auto"/>
        <w:left w:val="none" w:sz="0" w:space="0" w:color="auto"/>
        <w:bottom w:val="none" w:sz="0" w:space="0" w:color="auto"/>
        <w:right w:val="none" w:sz="0" w:space="0" w:color="auto"/>
      </w:divBdr>
    </w:div>
    <w:div w:id="748230450">
      <w:bodyDiv w:val="1"/>
      <w:marLeft w:val="0"/>
      <w:marRight w:val="0"/>
      <w:marTop w:val="0"/>
      <w:marBottom w:val="0"/>
      <w:divBdr>
        <w:top w:val="none" w:sz="0" w:space="0" w:color="auto"/>
        <w:left w:val="none" w:sz="0" w:space="0" w:color="auto"/>
        <w:bottom w:val="none" w:sz="0" w:space="0" w:color="auto"/>
        <w:right w:val="none" w:sz="0" w:space="0" w:color="auto"/>
      </w:divBdr>
      <w:divsChild>
        <w:div w:id="1977757187">
          <w:marLeft w:val="0"/>
          <w:marRight w:val="95"/>
          <w:marTop w:val="0"/>
          <w:marBottom w:val="0"/>
          <w:divBdr>
            <w:top w:val="single" w:sz="6" w:space="0" w:color="D1D1D1"/>
            <w:left w:val="single" w:sz="6" w:space="0" w:color="D1D1D1"/>
            <w:bottom w:val="none" w:sz="0" w:space="0" w:color="auto"/>
            <w:right w:val="none" w:sz="0" w:space="0" w:color="auto"/>
          </w:divBdr>
          <w:divsChild>
            <w:div w:id="1948849877">
              <w:marLeft w:val="0"/>
              <w:marRight w:val="0"/>
              <w:marTop w:val="0"/>
              <w:marBottom w:val="0"/>
              <w:divBdr>
                <w:top w:val="none" w:sz="0" w:space="0" w:color="auto"/>
                <w:left w:val="none" w:sz="0" w:space="0" w:color="auto"/>
                <w:bottom w:val="none" w:sz="0" w:space="0" w:color="auto"/>
                <w:right w:val="none" w:sz="0" w:space="0" w:color="auto"/>
              </w:divBdr>
              <w:divsChild>
                <w:div w:id="650914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1585627">
      <w:bodyDiv w:val="1"/>
      <w:marLeft w:val="0"/>
      <w:marRight w:val="0"/>
      <w:marTop w:val="50"/>
      <w:marBottom w:val="50"/>
      <w:divBdr>
        <w:top w:val="none" w:sz="0" w:space="0" w:color="auto"/>
        <w:left w:val="none" w:sz="0" w:space="0" w:color="auto"/>
        <w:bottom w:val="none" w:sz="0" w:space="0" w:color="auto"/>
        <w:right w:val="none" w:sz="0" w:space="0" w:color="auto"/>
      </w:divBdr>
      <w:divsChild>
        <w:div w:id="1465344301">
          <w:marLeft w:val="0"/>
          <w:marRight w:val="0"/>
          <w:marTop w:val="0"/>
          <w:marBottom w:val="0"/>
          <w:divBdr>
            <w:top w:val="none" w:sz="0" w:space="0" w:color="auto"/>
            <w:left w:val="none" w:sz="0" w:space="0" w:color="auto"/>
            <w:bottom w:val="none" w:sz="0" w:space="0" w:color="auto"/>
            <w:right w:val="none" w:sz="0" w:space="0" w:color="auto"/>
          </w:divBdr>
          <w:divsChild>
            <w:div w:id="1490710078">
              <w:marLeft w:val="0"/>
              <w:marRight w:val="0"/>
              <w:marTop w:val="0"/>
              <w:marBottom w:val="0"/>
              <w:divBdr>
                <w:top w:val="none" w:sz="0" w:space="0" w:color="auto"/>
                <w:left w:val="none" w:sz="0" w:space="0" w:color="auto"/>
                <w:bottom w:val="none" w:sz="0" w:space="0" w:color="auto"/>
                <w:right w:val="none" w:sz="0" w:space="0" w:color="auto"/>
              </w:divBdr>
              <w:divsChild>
                <w:div w:id="658116775">
                  <w:marLeft w:val="0"/>
                  <w:marRight w:val="0"/>
                  <w:marTop w:val="0"/>
                  <w:marBottom w:val="0"/>
                  <w:divBdr>
                    <w:top w:val="none" w:sz="0" w:space="0" w:color="auto"/>
                    <w:left w:val="none" w:sz="0" w:space="0" w:color="auto"/>
                    <w:bottom w:val="none" w:sz="0" w:space="0" w:color="auto"/>
                    <w:right w:val="none" w:sz="0" w:space="0" w:color="auto"/>
                  </w:divBdr>
                  <w:divsChild>
                    <w:div w:id="291445299">
                      <w:marLeft w:val="0"/>
                      <w:marRight w:val="0"/>
                      <w:marTop w:val="0"/>
                      <w:marBottom w:val="0"/>
                      <w:divBdr>
                        <w:top w:val="none" w:sz="0" w:space="0" w:color="auto"/>
                        <w:left w:val="none" w:sz="0" w:space="0" w:color="auto"/>
                        <w:bottom w:val="none" w:sz="0" w:space="0" w:color="auto"/>
                        <w:right w:val="none" w:sz="0" w:space="0" w:color="auto"/>
                      </w:divBdr>
                      <w:divsChild>
                        <w:div w:id="858011415">
                          <w:marLeft w:val="0"/>
                          <w:marRight w:val="0"/>
                          <w:marTop w:val="0"/>
                          <w:marBottom w:val="0"/>
                          <w:divBdr>
                            <w:top w:val="none" w:sz="0" w:space="0" w:color="auto"/>
                            <w:left w:val="none" w:sz="0" w:space="0" w:color="auto"/>
                            <w:bottom w:val="none" w:sz="0" w:space="0" w:color="auto"/>
                            <w:right w:val="none" w:sz="0" w:space="0" w:color="auto"/>
                          </w:divBdr>
                          <w:divsChild>
                            <w:div w:id="260840521">
                              <w:marLeft w:val="2897"/>
                              <w:marRight w:val="4253"/>
                              <w:marTop w:val="0"/>
                              <w:marBottom w:val="0"/>
                              <w:divBdr>
                                <w:top w:val="none" w:sz="0" w:space="0" w:color="auto"/>
                                <w:left w:val="single" w:sz="6" w:space="0" w:color="D3E1F9"/>
                                <w:bottom w:val="none" w:sz="0" w:space="0" w:color="auto"/>
                                <w:right w:val="none" w:sz="0" w:space="0" w:color="auto"/>
                              </w:divBdr>
                              <w:divsChild>
                                <w:div w:id="1040591882">
                                  <w:marLeft w:val="0"/>
                                  <w:marRight w:val="0"/>
                                  <w:marTop w:val="0"/>
                                  <w:marBottom w:val="0"/>
                                  <w:divBdr>
                                    <w:top w:val="none" w:sz="0" w:space="0" w:color="auto"/>
                                    <w:left w:val="none" w:sz="0" w:space="0" w:color="auto"/>
                                    <w:bottom w:val="none" w:sz="0" w:space="0" w:color="auto"/>
                                    <w:right w:val="none" w:sz="0" w:space="0" w:color="auto"/>
                                  </w:divBdr>
                                  <w:divsChild>
                                    <w:div w:id="1833374176">
                                      <w:marLeft w:val="0"/>
                                      <w:marRight w:val="0"/>
                                      <w:marTop w:val="0"/>
                                      <w:marBottom w:val="0"/>
                                      <w:divBdr>
                                        <w:top w:val="none" w:sz="0" w:space="0" w:color="auto"/>
                                        <w:left w:val="none" w:sz="0" w:space="0" w:color="auto"/>
                                        <w:bottom w:val="none" w:sz="0" w:space="0" w:color="auto"/>
                                        <w:right w:val="none" w:sz="0" w:space="0" w:color="auto"/>
                                      </w:divBdr>
                                      <w:divsChild>
                                        <w:div w:id="1821146337">
                                          <w:marLeft w:val="0"/>
                                          <w:marRight w:val="0"/>
                                          <w:marTop w:val="0"/>
                                          <w:marBottom w:val="0"/>
                                          <w:divBdr>
                                            <w:top w:val="none" w:sz="0" w:space="0" w:color="auto"/>
                                            <w:left w:val="none" w:sz="0" w:space="0" w:color="auto"/>
                                            <w:bottom w:val="none" w:sz="0" w:space="0" w:color="auto"/>
                                            <w:right w:val="none" w:sz="0" w:space="0" w:color="auto"/>
                                          </w:divBdr>
                                          <w:divsChild>
                                            <w:div w:id="963197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14102421">
      <w:bodyDiv w:val="1"/>
      <w:marLeft w:val="0"/>
      <w:marRight w:val="0"/>
      <w:marTop w:val="0"/>
      <w:marBottom w:val="0"/>
      <w:divBdr>
        <w:top w:val="none" w:sz="0" w:space="0" w:color="auto"/>
        <w:left w:val="none" w:sz="0" w:space="0" w:color="auto"/>
        <w:bottom w:val="none" w:sz="0" w:space="0" w:color="auto"/>
        <w:right w:val="none" w:sz="0" w:space="0" w:color="auto"/>
      </w:divBdr>
    </w:div>
    <w:div w:id="826550445">
      <w:bodyDiv w:val="1"/>
      <w:marLeft w:val="0"/>
      <w:marRight w:val="0"/>
      <w:marTop w:val="0"/>
      <w:marBottom w:val="0"/>
      <w:divBdr>
        <w:top w:val="none" w:sz="0" w:space="0" w:color="auto"/>
        <w:left w:val="none" w:sz="0" w:space="0" w:color="auto"/>
        <w:bottom w:val="none" w:sz="0" w:space="0" w:color="auto"/>
        <w:right w:val="none" w:sz="0" w:space="0" w:color="auto"/>
      </w:divBdr>
    </w:div>
    <w:div w:id="895820654">
      <w:bodyDiv w:val="1"/>
      <w:marLeft w:val="0"/>
      <w:marRight w:val="0"/>
      <w:marTop w:val="0"/>
      <w:marBottom w:val="0"/>
      <w:divBdr>
        <w:top w:val="none" w:sz="0" w:space="0" w:color="auto"/>
        <w:left w:val="none" w:sz="0" w:space="0" w:color="auto"/>
        <w:bottom w:val="none" w:sz="0" w:space="0" w:color="auto"/>
        <w:right w:val="none" w:sz="0" w:space="0" w:color="auto"/>
      </w:divBdr>
    </w:div>
    <w:div w:id="953757144">
      <w:bodyDiv w:val="1"/>
      <w:marLeft w:val="0"/>
      <w:marRight w:val="0"/>
      <w:marTop w:val="0"/>
      <w:marBottom w:val="0"/>
      <w:divBdr>
        <w:top w:val="none" w:sz="0" w:space="0" w:color="auto"/>
        <w:left w:val="none" w:sz="0" w:space="0" w:color="auto"/>
        <w:bottom w:val="none" w:sz="0" w:space="0" w:color="auto"/>
        <w:right w:val="none" w:sz="0" w:space="0" w:color="auto"/>
      </w:divBdr>
    </w:div>
    <w:div w:id="1043138644">
      <w:bodyDiv w:val="1"/>
      <w:marLeft w:val="0"/>
      <w:marRight w:val="0"/>
      <w:marTop w:val="0"/>
      <w:marBottom w:val="0"/>
      <w:divBdr>
        <w:top w:val="none" w:sz="0" w:space="0" w:color="auto"/>
        <w:left w:val="none" w:sz="0" w:space="0" w:color="auto"/>
        <w:bottom w:val="none" w:sz="0" w:space="0" w:color="auto"/>
        <w:right w:val="none" w:sz="0" w:space="0" w:color="auto"/>
      </w:divBdr>
    </w:div>
    <w:div w:id="1072504145">
      <w:bodyDiv w:val="1"/>
      <w:marLeft w:val="0"/>
      <w:marRight w:val="0"/>
      <w:marTop w:val="0"/>
      <w:marBottom w:val="0"/>
      <w:divBdr>
        <w:top w:val="none" w:sz="0" w:space="0" w:color="auto"/>
        <w:left w:val="none" w:sz="0" w:space="0" w:color="auto"/>
        <w:bottom w:val="none" w:sz="0" w:space="0" w:color="auto"/>
        <w:right w:val="none" w:sz="0" w:space="0" w:color="auto"/>
      </w:divBdr>
    </w:div>
    <w:div w:id="1156801386">
      <w:bodyDiv w:val="1"/>
      <w:marLeft w:val="0"/>
      <w:marRight w:val="0"/>
      <w:marTop w:val="0"/>
      <w:marBottom w:val="0"/>
      <w:divBdr>
        <w:top w:val="none" w:sz="0" w:space="0" w:color="auto"/>
        <w:left w:val="none" w:sz="0" w:space="0" w:color="auto"/>
        <w:bottom w:val="none" w:sz="0" w:space="0" w:color="auto"/>
        <w:right w:val="none" w:sz="0" w:space="0" w:color="auto"/>
      </w:divBdr>
    </w:div>
    <w:div w:id="1231845514">
      <w:bodyDiv w:val="1"/>
      <w:marLeft w:val="0"/>
      <w:marRight w:val="0"/>
      <w:marTop w:val="0"/>
      <w:marBottom w:val="0"/>
      <w:divBdr>
        <w:top w:val="none" w:sz="0" w:space="0" w:color="auto"/>
        <w:left w:val="none" w:sz="0" w:space="0" w:color="auto"/>
        <w:bottom w:val="none" w:sz="0" w:space="0" w:color="auto"/>
        <w:right w:val="none" w:sz="0" w:space="0" w:color="auto"/>
      </w:divBdr>
      <w:divsChild>
        <w:div w:id="341783314">
          <w:marLeft w:val="619"/>
          <w:marRight w:val="0"/>
          <w:marTop w:val="134"/>
          <w:marBottom w:val="0"/>
          <w:divBdr>
            <w:top w:val="none" w:sz="0" w:space="0" w:color="auto"/>
            <w:left w:val="none" w:sz="0" w:space="0" w:color="auto"/>
            <w:bottom w:val="none" w:sz="0" w:space="0" w:color="auto"/>
            <w:right w:val="none" w:sz="0" w:space="0" w:color="auto"/>
          </w:divBdr>
        </w:div>
        <w:div w:id="565259510">
          <w:marLeft w:val="619"/>
          <w:marRight w:val="0"/>
          <w:marTop w:val="134"/>
          <w:marBottom w:val="0"/>
          <w:divBdr>
            <w:top w:val="none" w:sz="0" w:space="0" w:color="auto"/>
            <w:left w:val="none" w:sz="0" w:space="0" w:color="auto"/>
            <w:bottom w:val="none" w:sz="0" w:space="0" w:color="auto"/>
            <w:right w:val="none" w:sz="0" w:space="0" w:color="auto"/>
          </w:divBdr>
        </w:div>
      </w:divsChild>
    </w:div>
    <w:div w:id="1240170235">
      <w:bodyDiv w:val="1"/>
      <w:marLeft w:val="0"/>
      <w:marRight w:val="0"/>
      <w:marTop w:val="0"/>
      <w:marBottom w:val="0"/>
      <w:divBdr>
        <w:top w:val="none" w:sz="0" w:space="0" w:color="auto"/>
        <w:left w:val="none" w:sz="0" w:space="0" w:color="auto"/>
        <w:bottom w:val="none" w:sz="0" w:space="0" w:color="auto"/>
        <w:right w:val="none" w:sz="0" w:space="0" w:color="auto"/>
      </w:divBdr>
    </w:div>
    <w:div w:id="1248538010">
      <w:bodyDiv w:val="1"/>
      <w:marLeft w:val="0"/>
      <w:marRight w:val="0"/>
      <w:marTop w:val="0"/>
      <w:marBottom w:val="0"/>
      <w:divBdr>
        <w:top w:val="none" w:sz="0" w:space="0" w:color="auto"/>
        <w:left w:val="none" w:sz="0" w:space="0" w:color="auto"/>
        <w:bottom w:val="none" w:sz="0" w:space="0" w:color="auto"/>
        <w:right w:val="none" w:sz="0" w:space="0" w:color="auto"/>
      </w:divBdr>
    </w:div>
    <w:div w:id="1263417121">
      <w:bodyDiv w:val="1"/>
      <w:marLeft w:val="0"/>
      <w:marRight w:val="0"/>
      <w:marTop w:val="0"/>
      <w:marBottom w:val="0"/>
      <w:divBdr>
        <w:top w:val="none" w:sz="0" w:space="0" w:color="auto"/>
        <w:left w:val="none" w:sz="0" w:space="0" w:color="auto"/>
        <w:bottom w:val="none" w:sz="0" w:space="0" w:color="auto"/>
        <w:right w:val="none" w:sz="0" w:space="0" w:color="auto"/>
      </w:divBdr>
    </w:div>
    <w:div w:id="1367220654">
      <w:bodyDiv w:val="1"/>
      <w:marLeft w:val="0"/>
      <w:marRight w:val="0"/>
      <w:marTop w:val="0"/>
      <w:marBottom w:val="0"/>
      <w:divBdr>
        <w:top w:val="none" w:sz="0" w:space="0" w:color="auto"/>
        <w:left w:val="none" w:sz="0" w:space="0" w:color="auto"/>
        <w:bottom w:val="none" w:sz="0" w:space="0" w:color="auto"/>
        <w:right w:val="none" w:sz="0" w:space="0" w:color="auto"/>
      </w:divBdr>
    </w:div>
    <w:div w:id="1368986840">
      <w:bodyDiv w:val="1"/>
      <w:marLeft w:val="0"/>
      <w:marRight w:val="0"/>
      <w:marTop w:val="0"/>
      <w:marBottom w:val="0"/>
      <w:divBdr>
        <w:top w:val="none" w:sz="0" w:space="0" w:color="auto"/>
        <w:left w:val="none" w:sz="0" w:space="0" w:color="auto"/>
        <w:bottom w:val="none" w:sz="0" w:space="0" w:color="auto"/>
        <w:right w:val="none" w:sz="0" w:space="0" w:color="auto"/>
      </w:divBdr>
      <w:divsChild>
        <w:div w:id="1658261387">
          <w:marLeft w:val="0"/>
          <w:marRight w:val="0"/>
          <w:marTop w:val="0"/>
          <w:marBottom w:val="0"/>
          <w:divBdr>
            <w:top w:val="none" w:sz="0" w:space="0" w:color="auto"/>
            <w:left w:val="none" w:sz="0" w:space="0" w:color="auto"/>
            <w:bottom w:val="none" w:sz="0" w:space="0" w:color="auto"/>
            <w:right w:val="none" w:sz="0" w:space="0" w:color="auto"/>
          </w:divBdr>
        </w:div>
      </w:divsChild>
    </w:div>
    <w:div w:id="1389915388">
      <w:bodyDiv w:val="1"/>
      <w:marLeft w:val="0"/>
      <w:marRight w:val="0"/>
      <w:marTop w:val="0"/>
      <w:marBottom w:val="0"/>
      <w:divBdr>
        <w:top w:val="none" w:sz="0" w:space="0" w:color="auto"/>
        <w:left w:val="none" w:sz="0" w:space="0" w:color="auto"/>
        <w:bottom w:val="none" w:sz="0" w:space="0" w:color="auto"/>
        <w:right w:val="none" w:sz="0" w:space="0" w:color="auto"/>
      </w:divBdr>
      <w:divsChild>
        <w:div w:id="1231815512">
          <w:marLeft w:val="0"/>
          <w:marRight w:val="0"/>
          <w:marTop w:val="0"/>
          <w:marBottom w:val="0"/>
          <w:divBdr>
            <w:top w:val="none" w:sz="0" w:space="0" w:color="auto"/>
            <w:left w:val="none" w:sz="0" w:space="0" w:color="auto"/>
            <w:bottom w:val="none" w:sz="0" w:space="0" w:color="auto"/>
            <w:right w:val="none" w:sz="0" w:space="0" w:color="auto"/>
          </w:divBdr>
          <w:divsChild>
            <w:div w:id="2060278092">
              <w:marLeft w:val="0"/>
              <w:marRight w:val="0"/>
              <w:marTop w:val="300"/>
              <w:marBottom w:val="300"/>
              <w:divBdr>
                <w:top w:val="none" w:sz="0" w:space="0" w:color="auto"/>
                <w:left w:val="none" w:sz="0" w:space="0" w:color="auto"/>
                <w:bottom w:val="none" w:sz="0" w:space="0" w:color="auto"/>
                <w:right w:val="none" w:sz="0" w:space="0" w:color="auto"/>
              </w:divBdr>
              <w:divsChild>
                <w:div w:id="679623777">
                  <w:marLeft w:val="0"/>
                  <w:marRight w:val="0"/>
                  <w:marTop w:val="0"/>
                  <w:marBottom w:val="0"/>
                  <w:divBdr>
                    <w:top w:val="none" w:sz="0" w:space="0" w:color="auto"/>
                    <w:left w:val="none" w:sz="0" w:space="0" w:color="auto"/>
                    <w:bottom w:val="none" w:sz="0" w:space="0" w:color="auto"/>
                    <w:right w:val="none" w:sz="0" w:space="0" w:color="auto"/>
                  </w:divBdr>
                </w:div>
                <w:div w:id="701707862">
                  <w:marLeft w:val="0"/>
                  <w:marRight w:val="0"/>
                  <w:marTop w:val="0"/>
                  <w:marBottom w:val="0"/>
                  <w:divBdr>
                    <w:top w:val="none" w:sz="0" w:space="0" w:color="auto"/>
                    <w:left w:val="none" w:sz="0" w:space="0" w:color="auto"/>
                    <w:bottom w:val="none" w:sz="0" w:space="0" w:color="auto"/>
                    <w:right w:val="none" w:sz="0" w:space="0" w:color="auto"/>
                  </w:divBdr>
                </w:div>
                <w:div w:id="734161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6969619">
      <w:bodyDiv w:val="1"/>
      <w:marLeft w:val="0"/>
      <w:marRight w:val="0"/>
      <w:marTop w:val="0"/>
      <w:marBottom w:val="0"/>
      <w:divBdr>
        <w:top w:val="none" w:sz="0" w:space="0" w:color="auto"/>
        <w:left w:val="none" w:sz="0" w:space="0" w:color="auto"/>
        <w:bottom w:val="none" w:sz="0" w:space="0" w:color="auto"/>
        <w:right w:val="none" w:sz="0" w:space="0" w:color="auto"/>
      </w:divBdr>
    </w:div>
    <w:div w:id="1412893632">
      <w:bodyDiv w:val="1"/>
      <w:marLeft w:val="0"/>
      <w:marRight w:val="0"/>
      <w:marTop w:val="0"/>
      <w:marBottom w:val="0"/>
      <w:divBdr>
        <w:top w:val="none" w:sz="0" w:space="0" w:color="auto"/>
        <w:left w:val="none" w:sz="0" w:space="0" w:color="auto"/>
        <w:bottom w:val="none" w:sz="0" w:space="0" w:color="auto"/>
        <w:right w:val="none" w:sz="0" w:space="0" w:color="auto"/>
      </w:divBdr>
    </w:div>
    <w:div w:id="1414087991">
      <w:bodyDiv w:val="1"/>
      <w:marLeft w:val="0"/>
      <w:marRight w:val="0"/>
      <w:marTop w:val="0"/>
      <w:marBottom w:val="0"/>
      <w:divBdr>
        <w:top w:val="none" w:sz="0" w:space="0" w:color="auto"/>
        <w:left w:val="none" w:sz="0" w:space="0" w:color="auto"/>
        <w:bottom w:val="none" w:sz="0" w:space="0" w:color="auto"/>
        <w:right w:val="none" w:sz="0" w:space="0" w:color="auto"/>
      </w:divBdr>
    </w:div>
    <w:div w:id="1444225856">
      <w:bodyDiv w:val="1"/>
      <w:marLeft w:val="0"/>
      <w:marRight w:val="0"/>
      <w:marTop w:val="0"/>
      <w:marBottom w:val="0"/>
      <w:divBdr>
        <w:top w:val="none" w:sz="0" w:space="0" w:color="auto"/>
        <w:left w:val="none" w:sz="0" w:space="0" w:color="auto"/>
        <w:bottom w:val="none" w:sz="0" w:space="0" w:color="auto"/>
        <w:right w:val="none" w:sz="0" w:space="0" w:color="auto"/>
      </w:divBdr>
      <w:divsChild>
        <w:div w:id="492334767">
          <w:marLeft w:val="0"/>
          <w:marRight w:val="0"/>
          <w:marTop w:val="0"/>
          <w:marBottom w:val="0"/>
          <w:divBdr>
            <w:top w:val="none" w:sz="0" w:space="0" w:color="auto"/>
            <w:left w:val="none" w:sz="0" w:space="0" w:color="auto"/>
            <w:bottom w:val="none" w:sz="0" w:space="0" w:color="auto"/>
            <w:right w:val="none" w:sz="0" w:space="0" w:color="auto"/>
          </w:divBdr>
          <w:divsChild>
            <w:div w:id="681662347">
              <w:marLeft w:val="0"/>
              <w:marRight w:val="0"/>
              <w:marTop w:val="300"/>
              <w:marBottom w:val="300"/>
              <w:divBdr>
                <w:top w:val="none" w:sz="0" w:space="0" w:color="auto"/>
                <w:left w:val="none" w:sz="0" w:space="0" w:color="auto"/>
                <w:bottom w:val="none" w:sz="0" w:space="0" w:color="auto"/>
                <w:right w:val="none" w:sz="0" w:space="0" w:color="auto"/>
              </w:divBdr>
              <w:divsChild>
                <w:div w:id="2516447">
                  <w:marLeft w:val="0"/>
                  <w:marRight w:val="0"/>
                  <w:marTop w:val="0"/>
                  <w:marBottom w:val="0"/>
                  <w:divBdr>
                    <w:top w:val="none" w:sz="0" w:space="0" w:color="auto"/>
                    <w:left w:val="none" w:sz="0" w:space="0" w:color="auto"/>
                    <w:bottom w:val="none" w:sz="0" w:space="0" w:color="auto"/>
                    <w:right w:val="none" w:sz="0" w:space="0" w:color="auto"/>
                  </w:divBdr>
                </w:div>
                <w:div w:id="1050376948">
                  <w:marLeft w:val="0"/>
                  <w:marRight w:val="0"/>
                  <w:marTop w:val="0"/>
                  <w:marBottom w:val="0"/>
                  <w:divBdr>
                    <w:top w:val="none" w:sz="0" w:space="0" w:color="auto"/>
                    <w:left w:val="none" w:sz="0" w:space="0" w:color="auto"/>
                    <w:bottom w:val="none" w:sz="0" w:space="0" w:color="auto"/>
                    <w:right w:val="none" w:sz="0" w:space="0" w:color="auto"/>
                  </w:divBdr>
                </w:div>
                <w:div w:id="1221016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0859963">
      <w:bodyDiv w:val="1"/>
      <w:marLeft w:val="0"/>
      <w:marRight w:val="0"/>
      <w:marTop w:val="0"/>
      <w:marBottom w:val="0"/>
      <w:divBdr>
        <w:top w:val="none" w:sz="0" w:space="0" w:color="auto"/>
        <w:left w:val="none" w:sz="0" w:space="0" w:color="auto"/>
        <w:bottom w:val="none" w:sz="0" w:space="0" w:color="auto"/>
        <w:right w:val="none" w:sz="0" w:space="0" w:color="auto"/>
      </w:divBdr>
    </w:div>
    <w:div w:id="1524318864">
      <w:bodyDiv w:val="1"/>
      <w:marLeft w:val="0"/>
      <w:marRight w:val="0"/>
      <w:marTop w:val="0"/>
      <w:marBottom w:val="0"/>
      <w:divBdr>
        <w:top w:val="none" w:sz="0" w:space="0" w:color="auto"/>
        <w:left w:val="none" w:sz="0" w:space="0" w:color="auto"/>
        <w:bottom w:val="none" w:sz="0" w:space="0" w:color="auto"/>
        <w:right w:val="none" w:sz="0" w:space="0" w:color="auto"/>
      </w:divBdr>
    </w:div>
    <w:div w:id="1524633357">
      <w:bodyDiv w:val="1"/>
      <w:marLeft w:val="0"/>
      <w:marRight w:val="0"/>
      <w:marTop w:val="0"/>
      <w:marBottom w:val="0"/>
      <w:divBdr>
        <w:top w:val="none" w:sz="0" w:space="0" w:color="auto"/>
        <w:left w:val="none" w:sz="0" w:space="0" w:color="auto"/>
        <w:bottom w:val="none" w:sz="0" w:space="0" w:color="auto"/>
        <w:right w:val="none" w:sz="0" w:space="0" w:color="auto"/>
      </w:divBdr>
      <w:divsChild>
        <w:div w:id="453209792">
          <w:marLeft w:val="0"/>
          <w:marRight w:val="0"/>
          <w:marTop w:val="100"/>
          <w:marBottom w:val="100"/>
          <w:divBdr>
            <w:top w:val="none" w:sz="0" w:space="0" w:color="auto"/>
            <w:left w:val="none" w:sz="0" w:space="0" w:color="auto"/>
            <w:bottom w:val="none" w:sz="0" w:space="0" w:color="auto"/>
            <w:right w:val="none" w:sz="0" w:space="0" w:color="auto"/>
          </w:divBdr>
          <w:divsChild>
            <w:div w:id="860511940">
              <w:marLeft w:val="64"/>
              <w:marRight w:val="0"/>
              <w:marTop w:val="0"/>
              <w:marBottom w:val="0"/>
              <w:divBdr>
                <w:top w:val="none" w:sz="0" w:space="0" w:color="auto"/>
                <w:left w:val="none" w:sz="0" w:space="0" w:color="auto"/>
                <w:bottom w:val="none" w:sz="0" w:space="0" w:color="auto"/>
                <w:right w:val="none" w:sz="0" w:space="0" w:color="auto"/>
              </w:divBdr>
              <w:divsChild>
                <w:div w:id="1181432891">
                  <w:marLeft w:val="0"/>
                  <w:marRight w:val="0"/>
                  <w:marTop w:val="0"/>
                  <w:marBottom w:val="0"/>
                  <w:divBdr>
                    <w:top w:val="none" w:sz="0" w:space="0" w:color="auto"/>
                    <w:left w:val="none" w:sz="0" w:space="0" w:color="auto"/>
                    <w:bottom w:val="none" w:sz="0" w:space="0" w:color="auto"/>
                    <w:right w:val="none" w:sz="0" w:space="0" w:color="auto"/>
                  </w:divBdr>
                  <w:divsChild>
                    <w:div w:id="2053070102">
                      <w:marLeft w:val="0"/>
                      <w:marRight w:val="0"/>
                      <w:marTop w:val="0"/>
                      <w:marBottom w:val="0"/>
                      <w:divBdr>
                        <w:top w:val="none" w:sz="0" w:space="0" w:color="auto"/>
                        <w:left w:val="none" w:sz="0" w:space="0" w:color="auto"/>
                        <w:bottom w:val="single" w:sz="4" w:space="4" w:color="CBCFD8"/>
                        <w:right w:val="none" w:sz="0" w:space="0" w:color="auto"/>
                      </w:divBdr>
                    </w:div>
                  </w:divsChild>
                </w:div>
              </w:divsChild>
            </w:div>
          </w:divsChild>
        </w:div>
      </w:divsChild>
    </w:div>
    <w:div w:id="1634290947">
      <w:bodyDiv w:val="1"/>
      <w:marLeft w:val="0"/>
      <w:marRight w:val="0"/>
      <w:marTop w:val="0"/>
      <w:marBottom w:val="0"/>
      <w:divBdr>
        <w:top w:val="none" w:sz="0" w:space="0" w:color="auto"/>
        <w:left w:val="none" w:sz="0" w:space="0" w:color="auto"/>
        <w:bottom w:val="none" w:sz="0" w:space="0" w:color="auto"/>
        <w:right w:val="none" w:sz="0" w:space="0" w:color="auto"/>
      </w:divBdr>
    </w:div>
    <w:div w:id="1652977988">
      <w:bodyDiv w:val="1"/>
      <w:marLeft w:val="0"/>
      <w:marRight w:val="0"/>
      <w:marTop w:val="0"/>
      <w:marBottom w:val="0"/>
      <w:divBdr>
        <w:top w:val="none" w:sz="0" w:space="0" w:color="auto"/>
        <w:left w:val="none" w:sz="0" w:space="0" w:color="auto"/>
        <w:bottom w:val="none" w:sz="0" w:space="0" w:color="auto"/>
        <w:right w:val="none" w:sz="0" w:space="0" w:color="auto"/>
      </w:divBdr>
    </w:div>
    <w:div w:id="1660840570">
      <w:bodyDiv w:val="1"/>
      <w:marLeft w:val="0"/>
      <w:marRight w:val="0"/>
      <w:marTop w:val="0"/>
      <w:marBottom w:val="0"/>
      <w:divBdr>
        <w:top w:val="none" w:sz="0" w:space="0" w:color="auto"/>
        <w:left w:val="none" w:sz="0" w:space="0" w:color="auto"/>
        <w:bottom w:val="none" w:sz="0" w:space="0" w:color="auto"/>
        <w:right w:val="none" w:sz="0" w:space="0" w:color="auto"/>
      </w:divBdr>
    </w:div>
    <w:div w:id="1663968699">
      <w:bodyDiv w:val="1"/>
      <w:marLeft w:val="0"/>
      <w:marRight w:val="0"/>
      <w:marTop w:val="0"/>
      <w:marBottom w:val="0"/>
      <w:divBdr>
        <w:top w:val="none" w:sz="0" w:space="0" w:color="auto"/>
        <w:left w:val="none" w:sz="0" w:space="0" w:color="auto"/>
        <w:bottom w:val="none" w:sz="0" w:space="0" w:color="auto"/>
        <w:right w:val="none" w:sz="0" w:space="0" w:color="auto"/>
      </w:divBdr>
    </w:div>
    <w:div w:id="1676345700">
      <w:bodyDiv w:val="1"/>
      <w:marLeft w:val="0"/>
      <w:marRight w:val="0"/>
      <w:marTop w:val="0"/>
      <w:marBottom w:val="0"/>
      <w:divBdr>
        <w:top w:val="none" w:sz="0" w:space="0" w:color="auto"/>
        <w:left w:val="none" w:sz="0" w:space="0" w:color="auto"/>
        <w:bottom w:val="none" w:sz="0" w:space="0" w:color="auto"/>
        <w:right w:val="none" w:sz="0" w:space="0" w:color="auto"/>
      </w:divBdr>
    </w:div>
    <w:div w:id="1698778624">
      <w:bodyDiv w:val="1"/>
      <w:marLeft w:val="0"/>
      <w:marRight w:val="0"/>
      <w:marTop w:val="0"/>
      <w:marBottom w:val="0"/>
      <w:divBdr>
        <w:top w:val="none" w:sz="0" w:space="0" w:color="auto"/>
        <w:left w:val="none" w:sz="0" w:space="0" w:color="auto"/>
        <w:bottom w:val="none" w:sz="0" w:space="0" w:color="auto"/>
        <w:right w:val="none" w:sz="0" w:space="0" w:color="auto"/>
      </w:divBdr>
    </w:div>
    <w:div w:id="1706176454">
      <w:bodyDiv w:val="1"/>
      <w:marLeft w:val="0"/>
      <w:marRight w:val="0"/>
      <w:marTop w:val="0"/>
      <w:marBottom w:val="0"/>
      <w:divBdr>
        <w:top w:val="none" w:sz="0" w:space="0" w:color="auto"/>
        <w:left w:val="none" w:sz="0" w:space="0" w:color="auto"/>
        <w:bottom w:val="none" w:sz="0" w:space="0" w:color="auto"/>
        <w:right w:val="none" w:sz="0" w:space="0" w:color="auto"/>
      </w:divBdr>
      <w:divsChild>
        <w:div w:id="1753114991">
          <w:marLeft w:val="0"/>
          <w:marRight w:val="0"/>
          <w:marTop w:val="100"/>
          <w:marBottom w:val="100"/>
          <w:divBdr>
            <w:top w:val="none" w:sz="0" w:space="0" w:color="auto"/>
            <w:left w:val="none" w:sz="0" w:space="0" w:color="auto"/>
            <w:bottom w:val="none" w:sz="0" w:space="0" w:color="auto"/>
            <w:right w:val="none" w:sz="0" w:space="0" w:color="auto"/>
          </w:divBdr>
          <w:divsChild>
            <w:div w:id="887454481">
              <w:marLeft w:val="64"/>
              <w:marRight w:val="0"/>
              <w:marTop w:val="0"/>
              <w:marBottom w:val="0"/>
              <w:divBdr>
                <w:top w:val="none" w:sz="0" w:space="0" w:color="auto"/>
                <w:left w:val="none" w:sz="0" w:space="0" w:color="auto"/>
                <w:bottom w:val="none" w:sz="0" w:space="0" w:color="auto"/>
                <w:right w:val="none" w:sz="0" w:space="0" w:color="auto"/>
              </w:divBdr>
              <w:divsChild>
                <w:div w:id="580674501">
                  <w:marLeft w:val="0"/>
                  <w:marRight w:val="0"/>
                  <w:marTop w:val="0"/>
                  <w:marBottom w:val="0"/>
                  <w:divBdr>
                    <w:top w:val="none" w:sz="0" w:space="0" w:color="auto"/>
                    <w:left w:val="none" w:sz="0" w:space="0" w:color="auto"/>
                    <w:bottom w:val="none" w:sz="0" w:space="0" w:color="auto"/>
                    <w:right w:val="none" w:sz="0" w:space="0" w:color="auto"/>
                  </w:divBdr>
                  <w:divsChild>
                    <w:div w:id="290983791">
                      <w:marLeft w:val="0"/>
                      <w:marRight w:val="0"/>
                      <w:marTop w:val="0"/>
                      <w:marBottom w:val="0"/>
                      <w:divBdr>
                        <w:top w:val="none" w:sz="0" w:space="0" w:color="auto"/>
                        <w:left w:val="none" w:sz="0" w:space="0" w:color="auto"/>
                        <w:bottom w:val="single" w:sz="4" w:space="4" w:color="CBCFD8"/>
                        <w:right w:val="none" w:sz="0" w:space="0" w:color="auto"/>
                      </w:divBdr>
                    </w:div>
                  </w:divsChild>
                </w:div>
              </w:divsChild>
            </w:div>
          </w:divsChild>
        </w:div>
      </w:divsChild>
    </w:div>
    <w:div w:id="1765615863">
      <w:bodyDiv w:val="1"/>
      <w:marLeft w:val="0"/>
      <w:marRight w:val="0"/>
      <w:marTop w:val="0"/>
      <w:marBottom w:val="0"/>
      <w:divBdr>
        <w:top w:val="none" w:sz="0" w:space="0" w:color="auto"/>
        <w:left w:val="none" w:sz="0" w:space="0" w:color="auto"/>
        <w:bottom w:val="none" w:sz="0" w:space="0" w:color="auto"/>
        <w:right w:val="none" w:sz="0" w:space="0" w:color="auto"/>
      </w:divBdr>
    </w:div>
    <w:div w:id="1770616249">
      <w:bodyDiv w:val="1"/>
      <w:marLeft w:val="0"/>
      <w:marRight w:val="0"/>
      <w:marTop w:val="0"/>
      <w:marBottom w:val="0"/>
      <w:divBdr>
        <w:top w:val="none" w:sz="0" w:space="0" w:color="auto"/>
        <w:left w:val="none" w:sz="0" w:space="0" w:color="auto"/>
        <w:bottom w:val="none" w:sz="0" w:space="0" w:color="auto"/>
        <w:right w:val="none" w:sz="0" w:space="0" w:color="auto"/>
      </w:divBdr>
    </w:div>
    <w:div w:id="1834368421">
      <w:bodyDiv w:val="1"/>
      <w:marLeft w:val="0"/>
      <w:marRight w:val="0"/>
      <w:marTop w:val="0"/>
      <w:marBottom w:val="0"/>
      <w:divBdr>
        <w:top w:val="none" w:sz="0" w:space="0" w:color="auto"/>
        <w:left w:val="none" w:sz="0" w:space="0" w:color="auto"/>
        <w:bottom w:val="none" w:sz="0" w:space="0" w:color="auto"/>
        <w:right w:val="none" w:sz="0" w:space="0" w:color="auto"/>
      </w:divBdr>
      <w:divsChild>
        <w:div w:id="1960791599">
          <w:marLeft w:val="0"/>
          <w:marRight w:val="0"/>
          <w:marTop w:val="0"/>
          <w:marBottom w:val="0"/>
          <w:divBdr>
            <w:top w:val="none" w:sz="0" w:space="0" w:color="auto"/>
            <w:left w:val="none" w:sz="0" w:space="0" w:color="auto"/>
            <w:bottom w:val="none" w:sz="0" w:space="0" w:color="auto"/>
            <w:right w:val="none" w:sz="0" w:space="0" w:color="auto"/>
          </w:divBdr>
          <w:divsChild>
            <w:div w:id="1203177429">
              <w:marLeft w:val="0"/>
              <w:marRight w:val="0"/>
              <w:marTop w:val="0"/>
              <w:marBottom w:val="0"/>
              <w:divBdr>
                <w:top w:val="none" w:sz="0" w:space="0" w:color="auto"/>
                <w:left w:val="none" w:sz="0" w:space="0" w:color="auto"/>
                <w:bottom w:val="none" w:sz="0" w:space="0" w:color="auto"/>
                <w:right w:val="none" w:sz="0" w:space="0" w:color="auto"/>
              </w:divBdr>
              <w:divsChild>
                <w:div w:id="1510676600">
                  <w:marLeft w:val="0"/>
                  <w:marRight w:val="0"/>
                  <w:marTop w:val="0"/>
                  <w:marBottom w:val="0"/>
                  <w:divBdr>
                    <w:top w:val="none" w:sz="0" w:space="0" w:color="auto"/>
                    <w:left w:val="none" w:sz="0" w:space="0" w:color="auto"/>
                    <w:bottom w:val="none" w:sz="0" w:space="0" w:color="auto"/>
                    <w:right w:val="none" w:sz="0" w:space="0" w:color="auto"/>
                  </w:divBdr>
                  <w:divsChild>
                    <w:div w:id="508451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1139008">
      <w:bodyDiv w:val="1"/>
      <w:marLeft w:val="0"/>
      <w:marRight w:val="0"/>
      <w:marTop w:val="0"/>
      <w:marBottom w:val="0"/>
      <w:divBdr>
        <w:top w:val="none" w:sz="0" w:space="0" w:color="auto"/>
        <w:left w:val="none" w:sz="0" w:space="0" w:color="auto"/>
        <w:bottom w:val="none" w:sz="0" w:space="0" w:color="auto"/>
        <w:right w:val="none" w:sz="0" w:space="0" w:color="auto"/>
      </w:divBdr>
    </w:div>
    <w:div w:id="1969584971">
      <w:bodyDiv w:val="1"/>
      <w:marLeft w:val="0"/>
      <w:marRight w:val="0"/>
      <w:marTop w:val="0"/>
      <w:marBottom w:val="0"/>
      <w:divBdr>
        <w:top w:val="none" w:sz="0" w:space="0" w:color="auto"/>
        <w:left w:val="none" w:sz="0" w:space="0" w:color="auto"/>
        <w:bottom w:val="none" w:sz="0" w:space="0" w:color="auto"/>
        <w:right w:val="none" w:sz="0" w:space="0" w:color="auto"/>
      </w:divBdr>
    </w:div>
    <w:div w:id="1985504285">
      <w:bodyDiv w:val="1"/>
      <w:marLeft w:val="0"/>
      <w:marRight w:val="0"/>
      <w:marTop w:val="0"/>
      <w:marBottom w:val="0"/>
      <w:divBdr>
        <w:top w:val="none" w:sz="0" w:space="0" w:color="auto"/>
        <w:left w:val="none" w:sz="0" w:space="0" w:color="auto"/>
        <w:bottom w:val="none" w:sz="0" w:space="0" w:color="auto"/>
        <w:right w:val="none" w:sz="0" w:space="0" w:color="auto"/>
      </w:divBdr>
    </w:div>
    <w:div w:id="2050493340">
      <w:bodyDiv w:val="1"/>
      <w:marLeft w:val="0"/>
      <w:marRight w:val="0"/>
      <w:marTop w:val="0"/>
      <w:marBottom w:val="0"/>
      <w:divBdr>
        <w:top w:val="none" w:sz="0" w:space="0" w:color="auto"/>
        <w:left w:val="none" w:sz="0" w:space="0" w:color="auto"/>
        <w:bottom w:val="none" w:sz="0" w:space="0" w:color="auto"/>
        <w:right w:val="none" w:sz="0" w:space="0" w:color="auto"/>
      </w:divBdr>
    </w:div>
    <w:div w:id="2067677677">
      <w:bodyDiv w:val="1"/>
      <w:marLeft w:val="0"/>
      <w:marRight w:val="0"/>
      <w:marTop w:val="0"/>
      <w:marBottom w:val="0"/>
      <w:divBdr>
        <w:top w:val="none" w:sz="0" w:space="0" w:color="auto"/>
        <w:left w:val="none" w:sz="0" w:space="0" w:color="auto"/>
        <w:bottom w:val="none" w:sz="0" w:space="0" w:color="auto"/>
        <w:right w:val="none" w:sz="0" w:space="0" w:color="auto"/>
      </w:divBdr>
    </w:div>
    <w:div w:id="2101948961">
      <w:bodyDiv w:val="1"/>
      <w:marLeft w:val="0"/>
      <w:marRight w:val="0"/>
      <w:marTop w:val="0"/>
      <w:marBottom w:val="0"/>
      <w:divBdr>
        <w:top w:val="none" w:sz="0" w:space="0" w:color="auto"/>
        <w:left w:val="none" w:sz="0" w:space="0" w:color="auto"/>
        <w:bottom w:val="none" w:sz="0" w:space="0" w:color="auto"/>
        <w:right w:val="none" w:sz="0" w:space="0" w:color="auto"/>
      </w:divBdr>
    </w:div>
    <w:div w:id="2129547258">
      <w:bodyDiv w:val="1"/>
      <w:marLeft w:val="0"/>
      <w:marRight w:val="0"/>
      <w:marTop w:val="0"/>
      <w:marBottom w:val="0"/>
      <w:divBdr>
        <w:top w:val="none" w:sz="0" w:space="0" w:color="auto"/>
        <w:left w:val="none" w:sz="0" w:space="0" w:color="auto"/>
        <w:bottom w:val="none" w:sz="0" w:space="0" w:color="auto"/>
        <w:right w:val="none" w:sz="0" w:space="0" w:color="auto"/>
      </w:divBdr>
    </w:div>
    <w:div w:id="2139910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117" Type="http://schemas.openxmlformats.org/officeDocument/2006/relationships/hyperlink" Target="http://www.mon.bg/?go=page&amp;pageId=7&amp;subpageId=57" TargetMode="External"/><Relationship Id="rId21" Type="http://schemas.openxmlformats.org/officeDocument/2006/relationships/image" Target="media/image6.png"/><Relationship Id="rId42" Type="http://schemas.openxmlformats.org/officeDocument/2006/relationships/image" Target="media/image15.png"/><Relationship Id="rId47" Type="http://schemas.openxmlformats.org/officeDocument/2006/relationships/header" Target="header4.xml"/><Relationship Id="rId63" Type="http://schemas.openxmlformats.org/officeDocument/2006/relationships/footer" Target="footer4.xml"/><Relationship Id="rId68" Type="http://schemas.openxmlformats.org/officeDocument/2006/relationships/hyperlink" Target="http://ec.europa.eu/enterprise/policies/industrial-competitiveness/industrial-policy/files/communication_on_industrial_policy_en.pdf" TargetMode="External"/><Relationship Id="rId84" Type="http://schemas.openxmlformats.org/officeDocument/2006/relationships/hyperlink" Target="http://www.strategy.bg/StrategicDocuments/View.aspx?lang=bg-BG&amp;Id=755" TargetMode="External"/><Relationship Id="rId89" Type="http://schemas.openxmlformats.org/officeDocument/2006/relationships/hyperlink" Target="http://www.strategy.bg/StrategicDocuments/View.aspx?lang=bg-BG&amp;Id=641" TargetMode="External"/><Relationship Id="rId112" Type="http://schemas.openxmlformats.org/officeDocument/2006/relationships/hyperlink" Target="http://www.eufunds.bg/bg/page/65" TargetMode="External"/><Relationship Id="rId133" Type="http://schemas.openxmlformats.org/officeDocument/2006/relationships/hyperlink" Target="http://www.eufunds.bg/bg/page/983" TargetMode="External"/><Relationship Id="rId138" Type="http://schemas.openxmlformats.org/officeDocument/2006/relationships/hyperlink" Target="http://www.strategy.bg/Publications/View.aspx?lang=bg-BG&amp;Id=90" TargetMode="External"/><Relationship Id="rId154" Type="http://schemas.openxmlformats.org/officeDocument/2006/relationships/theme" Target="theme/theme1.xml"/><Relationship Id="rId16" Type="http://schemas.openxmlformats.org/officeDocument/2006/relationships/image" Target="media/image4.emf"/><Relationship Id="rId107" Type="http://schemas.openxmlformats.org/officeDocument/2006/relationships/hyperlink" Target="http://www.eufunds.bg/bg/page/65" TargetMode="External"/><Relationship Id="rId11" Type="http://schemas.openxmlformats.org/officeDocument/2006/relationships/header" Target="header1.xml"/><Relationship Id="rId32" Type="http://schemas.openxmlformats.org/officeDocument/2006/relationships/hyperlink" Target="http://www.minedu.government.bg/opencms/export/sites/mon/left_menu/documents/law/zkn_obr_minimun.pdf" TargetMode="External"/><Relationship Id="rId37" Type="http://schemas.openxmlformats.org/officeDocument/2006/relationships/hyperlink" Target="http://www.minedu.government.bg/opencms/export/sites/mon/left_menu/documents/law/zkn_kreditirane_studenti_doktoranti.pdf" TargetMode="External"/><Relationship Id="rId53" Type="http://schemas.openxmlformats.org/officeDocument/2006/relationships/image" Target="media/image22.png"/><Relationship Id="rId58" Type="http://schemas.openxmlformats.org/officeDocument/2006/relationships/image" Target="media/image25.emf"/><Relationship Id="rId74" Type="http://schemas.openxmlformats.org/officeDocument/2006/relationships/hyperlink" Target="http://eur-lex.europa.eu/LexUriServ/LexUriServ.do?uri=COM:2011:0567:FIN:BG:PDF" TargetMode="External"/><Relationship Id="rId79" Type="http://schemas.openxmlformats.org/officeDocument/2006/relationships/hyperlink" Target="http://mail.nacid.bg/newdesign/bg_eu/att_files/suobshtenie_BG.pdf" TargetMode="External"/><Relationship Id="rId102" Type="http://schemas.openxmlformats.org/officeDocument/2006/relationships/hyperlink" Target="http://www.strategy.bg/Publications/View.aspx?lang=bg-BG&amp;Id=117" TargetMode="External"/><Relationship Id="rId123" Type="http://schemas.openxmlformats.org/officeDocument/2006/relationships/hyperlink" Target="http://www.eufunds.bg/bg/page/119" TargetMode="External"/><Relationship Id="rId128" Type="http://schemas.openxmlformats.org/officeDocument/2006/relationships/hyperlink" Target="http://www.eufunds.bg/bg/page/1022" TargetMode="External"/><Relationship Id="rId144" Type="http://schemas.openxmlformats.org/officeDocument/2006/relationships/hyperlink" Target="http://www.eufunds.bg/bg/page/884" TargetMode="External"/><Relationship Id="rId149" Type="http://schemas.openxmlformats.org/officeDocument/2006/relationships/hyperlink" Target="http://ec.europa.eu/regional_policy/information/evaluations/guidance_en.cfm" TargetMode="External"/><Relationship Id="rId5" Type="http://schemas.openxmlformats.org/officeDocument/2006/relationships/webSettings" Target="webSettings.xml"/><Relationship Id="rId90" Type="http://schemas.openxmlformats.org/officeDocument/2006/relationships/hyperlink" Target="http://www.strategy.bg/StrategicDocuments/View.aspx?lang=bg-BG&amp;Id=624" TargetMode="External"/><Relationship Id="rId95" Type="http://schemas.openxmlformats.org/officeDocument/2006/relationships/hyperlink" Target="http://www.strategy.bg/StrategicDocuments/View.aspx?lang=bg-BG&amp;Id=482" TargetMode="External"/><Relationship Id="rId22" Type="http://schemas.openxmlformats.org/officeDocument/2006/relationships/image" Target="media/image7.png"/><Relationship Id="rId27" Type="http://schemas.openxmlformats.org/officeDocument/2006/relationships/image" Target="media/image12.png"/><Relationship Id="rId43" Type="http://schemas.openxmlformats.org/officeDocument/2006/relationships/image" Target="media/image16.png"/><Relationship Id="rId48" Type="http://schemas.openxmlformats.org/officeDocument/2006/relationships/footer" Target="footer3.xml"/><Relationship Id="rId64" Type="http://schemas.openxmlformats.org/officeDocument/2006/relationships/hyperlink" Target="http://www.eufunds.bg/bg/page/985" TargetMode="External"/><Relationship Id="rId69" Type="http://schemas.openxmlformats.org/officeDocument/2006/relationships/hyperlink" Target="http://eur-lex.europa.eu/LexUriServ/LexUriServ.do?uri=COM:2010:0682:FIN:BG:PDF" TargetMode="External"/><Relationship Id="rId113" Type="http://schemas.openxmlformats.org/officeDocument/2006/relationships/hyperlink" Target="http://www.mon.bg/?go=page&amp;pageId=7&amp;subpageId=57" TargetMode="External"/><Relationship Id="rId118" Type="http://schemas.openxmlformats.org/officeDocument/2006/relationships/hyperlink" Target="http://www.mon.bg/?go=page&amp;pageId=7&amp;subpageId=57" TargetMode="External"/><Relationship Id="rId134" Type="http://schemas.openxmlformats.org/officeDocument/2006/relationships/hyperlink" Target="http://www.eufunds.bg/bg/page/982" TargetMode="External"/><Relationship Id="rId139" Type="http://schemas.openxmlformats.org/officeDocument/2006/relationships/hyperlink" Target="http://www.strategy.bg/StrategicDocuments/View.aspx?lang=bg-BG&amp;Id=789" TargetMode="External"/><Relationship Id="rId80" Type="http://schemas.openxmlformats.org/officeDocument/2006/relationships/hyperlink" Target="http://www.europarl.europa.eu/RegData/etudes/note/join/2012/474543/IPOL-CULT_NT(2012)474543(SUM01)_BG.pdf" TargetMode="External"/><Relationship Id="rId85" Type="http://schemas.openxmlformats.org/officeDocument/2006/relationships/hyperlink" Target="http://www.strategy.bg/PublicConsultations/View.aspx?@lang=bg-BG&amp;Id=278" TargetMode="External"/><Relationship Id="rId150" Type="http://schemas.openxmlformats.org/officeDocument/2006/relationships/hyperlink" Target="http://ec.europa.eu/regional_policy/information/evaluations/guidance_en.cfm" TargetMode="External"/><Relationship Id="rId12" Type="http://schemas.openxmlformats.org/officeDocument/2006/relationships/footer" Target="footer1.xml"/><Relationship Id="rId17" Type="http://schemas.openxmlformats.org/officeDocument/2006/relationships/oleObject" Target="embeddings/oleObject1.bin"/><Relationship Id="rId25" Type="http://schemas.openxmlformats.org/officeDocument/2006/relationships/image" Target="media/image10.png"/><Relationship Id="rId33" Type="http://schemas.openxmlformats.org/officeDocument/2006/relationships/hyperlink" Target="http://www.minedu.government.bg/opencms/export/sites/mon/left_menu/documents/law/zkn_prof_obucenieEU.pdf" TargetMode="External"/><Relationship Id="rId38" Type="http://schemas.openxmlformats.org/officeDocument/2006/relationships/hyperlink" Target="http://www.strategy.bg/StrategicDocuments/View.aspx?lang=bg-BG&amp;Id=476" TargetMode="External"/><Relationship Id="rId46" Type="http://schemas.openxmlformats.org/officeDocument/2006/relationships/header" Target="header3.xml"/><Relationship Id="rId59" Type="http://schemas.openxmlformats.org/officeDocument/2006/relationships/oleObject" Target="embeddings/oleObject4.bin"/><Relationship Id="rId67" Type="http://schemas.openxmlformats.org/officeDocument/2006/relationships/hyperlink" Target="http://ec.europa.eu/social/main.jsp?langId=bg&amp;catId=950" TargetMode="External"/><Relationship Id="rId103" Type="http://schemas.openxmlformats.org/officeDocument/2006/relationships/hyperlink" Target="http://www.mon.bg/?h=downloadFile&amp;fileId=3419" TargetMode="External"/><Relationship Id="rId108" Type="http://schemas.openxmlformats.org/officeDocument/2006/relationships/hyperlink" Target="http://www.eufunds.bg/bg/page/65" TargetMode="External"/><Relationship Id="rId116" Type="http://schemas.openxmlformats.org/officeDocument/2006/relationships/hyperlink" Target="http://www.parliament.bg/bg/bills/ID/14397/" TargetMode="External"/><Relationship Id="rId124" Type="http://schemas.openxmlformats.org/officeDocument/2006/relationships/hyperlink" Target="http://www.eufunds.bg/bg/page/37" TargetMode="External"/><Relationship Id="rId129" Type="http://schemas.openxmlformats.org/officeDocument/2006/relationships/hyperlink" Target="http://www.eufunds.bg/bg/page/990" TargetMode="External"/><Relationship Id="rId137" Type="http://schemas.openxmlformats.org/officeDocument/2006/relationships/hyperlink" Target="http://www.saveti.government.bg/web/guest" TargetMode="External"/><Relationship Id="rId20" Type="http://schemas.openxmlformats.org/officeDocument/2006/relationships/hyperlink" Target="http://www.checkmarket.com" TargetMode="External"/><Relationship Id="rId41" Type="http://schemas.openxmlformats.org/officeDocument/2006/relationships/header" Target="header2.xml"/><Relationship Id="rId54" Type="http://schemas.openxmlformats.org/officeDocument/2006/relationships/image" Target="media/image23.emf"/><Relationship Id="rId62" Type="http://schemas.openxmlformats.org/officeDocument/2006/relationships/header" Target="header5.xml"/><Relationship Id="rId70" Type="http://schemas.openxmlformats.org/officeDocument/2006/relationships/hyperlink" Target="http://ec.europa.eu/digital-agenda/" TargetMode="External"/><Relationship Id="rId75" Type="http://schemas.openxmlformats.org/officeDocument/2006/relationships/hyperlink" Target="http://www.strategy.bg/Publications/View.aspx?lang=bg-BG&amp;categoryId=&amp;Id=139&amp;y=&amp;m=&amp;d" TargetMode="External"/><Relationship Id="rId83" Type="http://schemas.openxmlformats.org/officeDocument/2006/relationships/hyperlink" Target="http://www.strategy.bg/StrategicDocuments/View.aspx?lang=bg-BG&amp;Id=762" TargetMode="External"/><Relationship Id="rId88" Type="http://schemas.openxmlformats.org/officeDocument/2006/relationships/hyperlink" Target="http://www.strategy.bg/StrategicDocuments/View.aspx?lang=bg-BG&amp;Id=393" TargetMode="External"/><Relationship Id="rId91" Type="http://schemas.openxmlformats.org/officeDocument/2006/relationships/hyperlink" Target="http://www.strategy.bg/StrategicDocuments/View.aspx?lang=bg-BG&amp;Id=396" TargetMode="External"/><Relationship Id="rId96" Type="http://schemas.openxmlformats.org/officeDocument/2006/relationships/hyperlink" Target="http://www.strategy.bg/StrategicDocuments/View.aspx?lang=bg-BG&amp;Id=778" TargetMode="External"/><Relationship Id="rId111" Type="http://schemas.openxmlformats.org/officeDocument/2006/relationships/hyperlink" Target="http://www.eufunds.bg/bg/page/65" TargetMode="External"/><Relationship Id="rId132" Type="http://schemas.openxmlformats.org/officeDocument/2006/relationships/hyperlink" Target="http://prsr.government.bg/index.php/bg/sections/l2/101" TargetMode="External"/><Relationship Id="rId140" Type="http://schemas.openxmlformats.org/officeDocument/2006/relationships/hyperlink" Target="http://www.eufunds.bg/bg/page/65" TargetMode="External"/><Relationship Id="rId145" Type="http://schemas.openxmlformats.org/officeDocument/2006/relationships/hyperlink" Target="http://www.eufunds.bg/document/5136" TargetMode="External"/><Relationship Id="rId15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strategy.bg/StrategicDocuments/View.aspx?lang=bg-BG&amp;Id=708" TargetMode="Externa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hyperlink" Target="http://www.minedu.government.bg/opencms/export/sites/mon/left_menu/documents/law/zkn_nauch_izsl.pdf" TargetMode="External"/><Relationship Id="rId49" Type="http://schemas.openxmlformats.org/officeDocument/2006/relationships/image" Target="media/image18.png"/><Relationship Id="rId57" Type="http://schemas.openxmlformats.org/officeDocument/2006/relationships/chart" Target="charts/chart1.xml"/><Relationship Id="rId106" Type="http://schemas.openxmlformats.org/officeDocument/2006/relationships/hyperlink" Target="http://www.strategy.bg/PublicConsultations/View.aspx?lang=bg-BG&amp;Id=1185" TargetMode="External"/><Relationship Id="rId114" Type="http://schemas.openxmlformats.org/officeDocument/2006/relationships/hyperlink" Target="http://www.mon.bg/?go=page&amp;pageId=7&amp;subpageId=57" TargetMode="External"/><Relationship Id="rId119" Type="http://schemas.openxmlformats.org/officeDocument/2006/relationships/hyperlink" Target="http://www.mon.bg/?go=page&amp;pageId=7&amp;subpageId=57" TargetMode="External"/><Relationship Id="rId127" Type="http://schemas.openxmlformats.org/officeDocument/2006/relationships/hyperlink" Target="http://www.eufunds.bg/bg/page/989" TargetMode="External"/><Relationship Id="rId10" Type="http://schemas.openxmlformats.org/officeDocument/2006/relationships/hyperlink" Target="mailto:EcorysSEE@ecorys." TargetMode="External"/><Relationship Id="rId31" Type="http://schemas.openxmlformats.org/officeDocument/2006/relationships/hyperlink" Target="http://www.minedu.government.bg/opencms/export/sites/mon/left_menu/documents/law/zkn_prosveta.pdf" TargetMode="External"/><Relationship Id="rId44" Type="http://schemas.openxmlformats.org/officeDocument/2006/relationships/hyperlink" Target="http://www.europarl.europa.eu/RegData/etudes/etudes/join/2013/495870/IPOL-REGI_ET%282013%29495870_EN.pdf" TargetMode="External"/><Relationship Id="rId52" Type="http://schemas.openxmlformats.org/officeDocument/2006/relationships/image" Target="media/image21.emf"/><Relationship Id="rId60" Type="http://schemas.openxmlformats.org/officeDocument/2006/relationships/image" Target="media/image26.emf"/><Relationship Id="rId65" Type="http://schemas.openxmlformats.org/officeDocument/2006/relationships/hyperlink" Target="http://ec.europa.eu/europe2020/europe-2020-in-a-nutshell/flagship-initiatives/index_bg.htm" TargetMode="External"/><Relationship Id="rId73" Type="http://schemas.openxmlformats.org/officeDocument/2006/relationships/hyperlink" Target="http://89.252.196.196/top_menu/higher/info/" TargetMode="External"/><Relationship Id="rId78" Type="http://schemas.openxmlformats.org/officeDocument/2006/relationships/hyperlink" Target="http://www.strategy.bg/StrategicDocuments/View.aspx?lang=bg-BG&amp;Id=719" TargetMode="External"/><Relationship Id="rId81" Type="http://schemas.openxmlformats.org/officeDocument/2006/relationships/hyperlink" Target="http://ec.europa.eu/justice/fundamental-rights/files/c_2013_778_en.pdf" TargetMode="External"/><Relationship Id="rId86" Type="http://schemas.openxmlformats.org/officeDocument/2006/relationships/hyperlink" Target="http://www.strategy.bg/StrategicDocuments/View.aspx?lang=bg-BG&amp;Id=476" TargetMode="External"/><Relationship Id="rId94" Type="http://schemas.openxmlformats.org/officeDocument/2006/relationships/hyperlink" Target="http://www.strategy.bg/StrategicDocuments/View.aspx?lang=bg-BG&amp;Id=569" TargetMode="External"/><Relationship Id="rId99" Type="http://schemas.openxmlformats.org/officeDocument/2006/relationships/hyperlink" Target="http://www.strategy.bg/StrategicDocuments/View.aspx?lang=bg-BG&amp;Id=464" TargetMode="External"/><Relationship Id="rId101" Type="http://schemas.openxmlformats.org/officeDocument/2006/relationships/hyperlink" Target="http://www.strategy.bg/StrategicDocuments/View.aspx?lang=bg-BG&amp;Id=657" TargetMode="External"/><Relationship Id="rId122" Type="http://schemas.openxmlformats.org/officeDocument/2006/relationships/hyperlink" Target="http://www.eufunds.bg/bg/page/119" TargetMode="External"/><Relationship Id="rId130" Type="http://schemas.openxmlformats.org/officeDocument/2006/relationships/hyperlink" Target="http://www.eufunds.bg/bg/page/987" TargetMode="External"/><Relationship Id="rId135" Type="http://schemas.openxmlformats.org/officeDocument/2006/relationships/hyperlink" Target="http://www.eufunds.bg/bg/page/993" TargetMode="External"/><Relationship Id="rId143" Type="http://schemas.openxmlformats.org/officeDocument/2006/relationships/hyperlink" Target="http://www.eufunds.bg/document/5138" TargetMode="External"/><Relationship Id="rId148" Type="http://schemas.openxmlformats.org/officeDocument/2006/relationships/hyperlink" Target="http://ec.europa.eu/social/BlobServlet?docId=7884&amp;langId=en" TargetMode="External"/><Relationship Id="rId151" Type="http://schemas.openxmlformats.org/officeDocument/2006/relationships/hyperlink" Target="http://ec.europa.eu/regional_policy/sources/docoffic/2014/working/wd_2014_en.pdf" TargetMode="External"/><Relationship Id="rId4" Type="http://schemas.openxmlformats.org/officeDocument/2006/relationships/settings" Target="settings.xml"/><Relationship Id="rId9" Type="http://schemas.openxmlformats.org/officeDocument/2006/relationships/hyperlink" Target="mailto:Mariana.%20Stefanova@ecorys.bg" TargetMode="External"/><Relationship Id="rId13" Type="http://schemas.openxmlformats.org/officeDocument/2006/relationships/footer" Target="footer2.xml"/><Relationship Id="rId18" Type="http://schemas.openxmlformats.org/officeDocument/2006/relationships/image" Target="media/image5.emf"/><Relationship Id="rId39" Type="http://schemas.openxmlformats.org/officeDocument/2006/relationships/hyperlink" Target="http://www.strategy.bg/StrategicDocuments/View.aspx?lang=bg-BG&amp;Id=708" TargetMode="External"/><Relationship Id="rId109" Type="http://schemas.openxmlformats.org/officeDocument/2006/relationships/hyperlink" Target="http://www.eufunds.bg/bg/page/65" TargetMode="External"/><Relationship Id="rId34" Type="http://schemas.openxmlformats.org/officeDocument/2006/relationships/hyperlink" Target="http://www.minedu.government.bg/opencms/export/sites/mon/left_menu/documents/law/zkn_vo.pdf" TargetMode="External"/><Relationship Id="rId50" Type="http://schemas.openxmlformats.org/officeDocument/2006/relationships/image" Target="media/image19.png"/><Relationship Id="rId55" Type="http://schemas.openxmlformats.org/officeDocument/2006/relationships/oleObject" Target="embeddings/oleObject3.bin"/><Relationship Id="rId76" Type="http://schemas.openxmlformats.org/officeDocument/2006/relationships/hyperlink" Target="http://ec.europa.eu/education/policy/vocational-policy/doc/brugescom_bg.pdf" TargetMode="External"/><Relationship Id="rId97" Type="http://schemas.openxmlformats.org/officeDocument/2006/relationships/hyperlink" Target="http://www.strategy.bg/StrategicDocuments/View.aspx?lang=bg-BG&amp;Id=445" TargetMode="External"/><Relationship Id="rId104" Type="http://schemas.openxmlformats.org/officeDocument/2006/relationships/hyperlink" Target="http://www.strategy.bg/PublicConsultations/View.aspx?lang=bg-BG&amp;Id=1085" TargetMode="External"/><Relationship Id="rId120" Type="http://schemas.openxmlformats.org/officeDocument/2006/relationships/hyperlink" Target="http://www.mon.bg/?go=page&amp;pageId=7&amp;subpageId=57" TargetMode="External"/><Relationship Id="rId125" Type="http://schemas.openxmlformats.org/officeDocument/2006/relationships/hyperlink" Target="http://www.eufunds.bg/bg/page/37" TargetMode="External"/><Relationship Id="rId141" Type="http://schemas.openxmlformats.org/officeDocument/2006/relationships/hyperlink" Target="http://www.eufunds.bg/bg/page/65" TargetMode="External"/><Relationship Id="rId146" Type="http://schemas.openxmlformats.org/officeDocument/2006/relationships/hyperlink" Target="http://www.eufunds.bg/bg/page/884" TargetMode="External"/><Relationship Id="rId7" Type="http://schemas.openxmlformats.org/officeDocument/2006/relationships/endnotes" Target="endnotes.xml"/><Relationship Id="rId71" Type="http://schemas.openxmlformats.org/officeDocument/2006/relationships/hyperlink" Target="http://eur-lex.europa.eu/LexUriServ/LexUriServ.do?uri=COM:2011:0021:FIN:BG:PDF" TargetMode="External"/><Relationship Id="rId92" Type="http://schemas.openxmlformats.org/officeDocument/2006/relationships/hyperlink" Target="http://www.strategy.bg/StrategicDocuments/View.aspx?lang=bg-BG&amp;Id=726" TargetMode="External"/><Relationship Id="rId2" Type="http://schemas.openxmlformats.org/officeDocument/2006/relationships/numbering" Target="numbering.xml"/><Relationship Id="rId29" Type="http://schemas.openxmlformats.org/officeDocument/2006/relationships/image" Target="media/image14.png"/><Relationship Id="rId24" Type="http://schemas.openxmlformats.org/officeDocument/2006/relationships/image" Target="media/image9.png"/><Relationship Id="rId40" Type="http://schemas.openxmlformats.org/officeDocument/2006/relationships/hyperlink" Target="http://www.strategy.bg/StrategicDocuments/View.aspx?lang=bg-BG&amp;Id=624" TargetMode="External"/><Relationship Id="rId45" Type="http://schemas.openxmlformats.org/officeDocument/2006/relationships/image" Target="media/image17.png"/><Relationship Id="rId66" Type="http://schemas.openxmlformats.org/officeDocument/2006/relationships/hyperlink" Target="http://eur-lex.europa.eu/LexUriServ/LexUriServ.do?uri=COM:2010:0546:FIN:BG:PDF" TargetMode="External"/><Relationship Id="rId87" Type="http://schemas.openxmlformats.org/officeDocument/2006/relationships/hyperlink" Target="http://www.strategy.bg/StrategicDocuments/View.aspx?lang=bg-BG&amp;Id=880" TargetMode="External"/><Relationship Id="rId110" Type="http://schemas.openxmlformats.org/officeDocument/2006/relationships/hyperlink" Target="http://www.eufunds.bg/bg/page/65" TargetMode="External"/><Relationship Id="rId115" Type="http://schemas.openxmlformats.org/officeDocument/2006/relationships/hyperlink" Target="http://www.mon.bg/?go=page&amp;pageId=7&amp;subpageId=57" TargetMode="External"/><Relationship Id="rId131" Type="http://schemas.openxmlformats.org/officeDocument/2006/relationships/hyperlink" Target="http://www.eufunds.bg/bg/page/986" TargetMode="External"/><Relationship Id="rId136" Type="http://schemas.openxmlformats.org/officeDocument/2006/relationships/hyperlink" Target="http://ec.europa.eu/regional_policy/what/future/pdf/partnership/bg_position_paper_bg.pdf" TargetMode="External"/><Relationship Id="rId61" Type="http://schemas.openxmlformats.org/officeDocument/2006/relationships/oleObject" Target="embeddings/oleObject5.bin"/><Relationship Id="rId82" Type="http://schemas.openxmlformats.org/officeDocument/2006/relationships/hyperlink" Target="http://www.strategy.bg/StrategicDocuments/View.aspx?lang=bg-BG&amp;Id=765" TargetMode="External"/><Relationship Id="rId152" Type="http://schemas.openxmlformats.org/officeDocument/2006/relationships/hyperlink" Target="http://s2b.mon.bg/i/analyse_researches_bg.pdf" TargetMode="External"/><Relationship Id="rId19" Type="http://schemas.openxmlformats.org/officeDocument/2006/relationships/oleObject" Target="embeddings/oleObject2.bin"/><Relationship Id="rId14" Type="http://schemas.openxmlformats.org/officeDocument/2006/relationships/hyperlink" Target="http://www.strategy.bg/StrategicDocuments/View.aspx?lang=bg-BG&amp;Id=476" TargetMode="External"/><Relationship Id="rId30" Type="http://schemas.openxmlformats.org/officeDocument/2006/relationships/hyperlink" Target="http://www.checkmarket.com" TargetMode="External"/><Relationship Id="rId35" Type="http://schemas.openxmlformats.org/officeDocument/2006/relationships/hyperlink" Target="http://www.minedu.government.bg/opencms/export/sites/mon/left_menu/documents/law/zkn_acad_satav.pdf" TargetMode="External"/><Relationship Id="rId56" Type="http://schemas.openxmlformats.org/officeDocument/2006/relationships/image" Target="media/image24.png"/><Relationship Id="rId77" Type="http://schemas.openxmlformats.org/officeDocument/2006/relationships/hyperlink" Target="http://mail.nacid.bg/newdesign/bg_eu/index.php?id=82" TargetMode="External"/><Relationship Id="rId100" Type="http://schemas.openxmlformats.org/officeDocument/2006/relationships/hyperlink" Target="http://www.strategy.bg/StrategicDocuments/View.aspx?lang=bg-BG&amp;Id=601" TargetMode="External"/><Relationship Id="rId105" Type="http://schemas.openxmlformats.org/officeDocument/2006/relationships/hyperlink" Target="http://www.strategy.bg/FileHandler.ashx?fileId=3302" TargetMode="External"/><Relationship Id="rId126" Type="http://schemas.openxmlformats.org/officeDocument/2006/relationships/hyperlink" Target="http://www.eufunds.bg/bg/page/37" TargetMode="External"/><Relationship Id="rId147" Type="http://schemas.openxmlformats.org/officeDocument/2006/relationships/hyperlink" Target="http://www.eufunds.bg/bg/page/884" TargetMode="External"/><Relationship Id="rId8" Type="http://schemas.openxmlformats.org/officeDocument/2006/relationships/hyperlink" Target="mailto:EcorysSEE@ecorys.com" TargetMode="External"/><Relationship Id="rId51" Type="http://schemas.openxmlformats.org/officeDocument/2006/relationships/image" Target="media/image20.emf"/><Relationship Id="rId72" Type="http://schemas.openxmlformats.org/officeDocument/2006/relationships/hyperlink" Target="http://mail.nacid.bg/newdesign/bg_eu/index.php?id=81" TargetMode="External"/><Relationship Id="rId93" Type="http://schemas.openxmlformats.org/officeDocument/2006/relationships/hyperlink" Target="http://www.strategy.bg/StrategicDocuments/View.aspx?lang=bg-BG&amp;Id=609" TargetMode="External"/><Relationship Id="rId98" Type="http://schemas.openxmlformats.org/officeDocument/2006/relationships/hyperlink" Target="http://www.strategy.bg/StrategicDocuments/View.aspx?lang=bg-BG&amp;Id=657" TargetMode="External"/><Relationship Id="rId121" Type="http://schemas.openxmlformats.org/officeDocument/2006/relationships/hyperlink" Target="http://iso-mf.minfin.bg/FukvoPublic/docList.aspx" TargetMode="External"/><Relationship Id="rId142" Type="http://schemas.openxmlformats.org/officeDocument/2006/relationships/hyperlink" Target="http://eacea.ec.europa.eu/education/eurydice/documents/thematic_reports/138BG.pdf" TargetMode="External"/><Relationship Id="rId3" Type="http://schemas.openxmlformats.org/officeDocument/2006/relationships/styles" Target="styles.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1" Type="http://schemas.openxmlformats.org/officeDocument/2006/relationships/image" Target="media/image3.png"/></Relationships>
</file>

<file path=word/_rels/footer4.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bg-BG" sz="1100"/>
              <a:t>Първоначална оценка на вероятност и влияние на отделните рискове</a:t>
            </a:r>
          </a:p>
        </c:rich>
      </c:tx>
      <c:layout/>
      <c:overlay val="0"/>
    </c:title>
    <c:autoTitleDeleted val="0"/>
    <c:plotArea>
      <c:layout/>
      <c:scatterChart>
        <c:scatterStyle val="lineMarker"/>
        <c:varyColors val="0"/>
        <c:ser>
          <c:idx val="0"/>
          <c:order val="0"/>
          <c:spPr>
            <a:ln w="28575">
              <a:noFill/>
            </a:ln>
          </c:spPr>
          <c:dLbls>
            <c:dLbl>
              <c:idx val="0"/>
              <c:layout/>
              <c:tx>
                <c:rich>
                  <a:bodyPr/>
                  <a:lstStyle/>
                  <a:p>
                    <a:r>
                      <a:rPr lang="en-US"/>
                      <a:t>1.1</a:t>
                    </a:r>
                  </a:p>
                </c:rich>
              </c:tx>
              <c:showLegendKey val="0"/>
              <c:showVal val="1"/>
              <c:showCatName val="0"/>
              <c:showSerName val="0"/>
              <c:showPercent val="0"/>
              <c:showBubbleSize val="0"/>
              <c:extLst>
                <c:ext xmlns:c15="http://schemas.microsoft.com/office/drawing/2012/chart" uri="{CE6537A1-D6FC-4f65-9D91-7224C49458BB}">
                  <c15:layout/>
                </c:ext>
              </c:extLst>
            </c:dLbl>
            <c:dLbl>
              <c:idx val="1"/>
              <c:layout/>
              <c:tx>
                <c:rich>
                  <a:bodyPr/>
                  <a:lstStyle/>
                  <a:p>
                    <a:r>
                      <a:rPr lang="en-US"/>
                      <a:t>1.2</a:t>
                    </a:r>
                  </a:p>
                </c:rich>
              </c:tx>
              <c:showLegendKey val="0"/>
              <c:showVal val="1"/>
              <c:showCatName val="0"/>
              <c:showSerName val="0"/>
              <c:showPercent val="0"/>
              <c:showBubbleSize val="0"/>
              <c:extLst>
                <c:ext xmlns:c15="http://schemas.microsoft.com/office/drawing/2012/chart" uri="{CE6537A1-D6FC-4f65-9D91-7224C49458BB}">
                  <c15:layout/>
                </c:ext>
              </c:extLst>
            </c:dLbl>
            <c:dLbl>
              <c:idx val="2"/>
              <c:layout/>
              <c:tx>
                <c:rich>
                  <a:bodyPr/>
                  <a:lstStyle/>
                  <a:p>
                    <a:r>
                      <a:rPr lang="en-US"/>
                      <a:t>2.1</a:t>
                    </a:r>
                  </a:p>
                </c:rich>
              </c:tx>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2.3497585542139137E-2"/>
                  <c:y val="-2.422310817763549E-2"/>
                </c:manualLayout>
              </c:layout>
              <c:tx>
                <c:rich>
                  <a:bodyPr/>
                  <a:lstStyle/>
                  <a:p>
                    <a:r>
                      <a:rPr lang="en-US"/>
                      <a:t>2.2</a:t>
                    </a:r>
                  </a:p>
                </c:rich>
              </c:tx>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1.4685990963836961E-3"/>
                  <c:y val="1.8167331133226619E-2"/>
                </c:manualLayout>
              </c:layout>
              <c:tx>
                <c:rich>
                  <a:bodyPr/>
                  <a:lstStyle/>
                  <a:p>
                    <a:r>
                      <a:rPr lang="en-US"/>
                      <a:t>2.3</a:t>
                    </a:r>
                  </a:p>
                </c:rich>
              </c:tx>
              <c:showLegendKey val="0"/>
              <c:showVal val="1"/>
              <c:showCatName val="0"/>
              <c:showSerName val="0"/>
              <c:showPercent val="0"/>
              <c:showBubbleSize val="0"/>
              <c:extLst>
                <c:ext xmlns:c15="http://schemas.microsoft.com/office/drawing/2012/chart" uri="{CE6537A1-D6FC-4f65-9D91-7224C49458BB}">
                  <c15:layout/>
                </c:ext>
              </c:extLst>
            </c:dLbl>
            <c:dLbl>
              <c:idx val="5"/>
              <c:layout>
                <c:manualLayout>
                  <c:x val="-1.4685990963836961E-3"/>
                  <c:y val="1.8167331133226619E-2"/>
                </c:manualLayout>
              </c:layout>
              <c:tx>
                <c:rich>
                  <a:bodyPr/>
                  <a:lstStyle/>
                  <a:p>
                    <a:r>
                      <a:rPr lang="en-US"/>
                      <a:t>3.1</a:t>
                    </a:r>
                  </a:p>
                </c:rich>
              </c:tx>
              <c:showLegendKey val="0"/>
              <c:showVal val="1"/>
              <c:showCatName val="0"/>
              <c:showSerName val="0"/>
              <c:showPercent val="0"/>
              <c:showBubbleSize val="0"/>
              <c:extLst>
                <c:ext xmlns:c15="http://schemas.microsoft.com/office/drawing/2012/chart" uri="{CE6537A1-D6FC-4f65-9D91-7224C49458BB}">
                  <c15:layout/>
                </c:ext>
              </c:extLst>
            </c:dLbl>
            <c:dLbl>
              <c:idx val="6"/>
              <c:layout>
                <c:manualLayout>
                  <c:x val="-1.4685990963836961E-3"/>
                  <c:y val="5.2483401051543567E-2"/>
                </c:manualLayout>
              </c:layout>
              <c:tx>
                <c:rich>
                  <a:bodyPr/>
                  <a:lstStyle/>
                  <a:p>
                    <a:r>
                      <a:rPr lang="en-US"/>
                      <a:t>3.2</a:t>
                    </a:r>
                  </a:p>
                </c:rich>
              </c:tx>
              <c:showLegendKey val="0"/>
              <c:showVal val="1"/>
              <c:showCatName val="0"/>
              <c:showSerName val="0"/>
              <c:showPercent val="0"/>
              <c:showBubbleSize val="0"/>
              <c:extLst>
                <c:ext xmlns:c15="http://schemas.microsoft.com/office/drawing/2012/chart" uri="{CE6537A1-D6FC-4f65-9D91-7224C49458BB}">
                  <c15:layout/>
                </c:ext>
              </c:extLst>
            </c:dLbl>
            <c:dLbl>
              <c:idx val="7"/>
              <c:layout>
                <c:manualLayout>
                  <c:x val="-2.3497585542139137E-2"/>
                  <c:y val="2.6241700525771818E-2"/>
                </c:manualLayout>
              </c:layout>
              <c:tx>
                <c:rich>
                  <a:bodyPr/>
                  <a:lstStyle/>
                  <a:p>
                    <a:r>
                      <a:rPr lang="en-US"/>
                      <a:t>3.3</a:t>
                    </a:r>
                  </a:p>
                </c:rich>
              </c:tx>
              <c:showLegendKey val="0"/>
              <c:showVal val="1"/>
              <c:showCatName val="0"/>
              <c:showSerName val="0"/>
              <c:showPercent val="0"/>
              <c:showBubbleSize val="0"/>
              <c:extLst>
                <c:ext xmlns:c15="http://schemas.microsoft.com/office/drawing/2012/chart" uri="{CE6537A1-D6FC-4f65-9D91-7224C49458BB}">
                  <c15:layout/>
                </c:ext>
              </c:extLst>
            </c:dLbl>
            <c:dLbl>
              <c:idx val="8"/>
              <c:layout>
                <c:manualLayout>
                  <c:x val="-1.4685990963836961E-3"/>
                  <c:y val="8.8818063317996798E-2"/>
                </c:manualLayout>
              </c:layout>
              <c:tx>
                <c:rich>
                  <a:bodyPr/>
                  <a:lstStyle/>
                  <a:p>
                    <a:r>
                      <a:rPr lang="en-US"/>
                      <a:t>3.4</a:t>
                    </a:r>
                  </a:p>
                </c:rich>
              </c:tx>
              <c:showLegendKey val="0"/>
              <c:showVal val="1"/>
              <c:showCatName val="0"/>
              <c:showSerName val="0"/>
              <c:showPercent val="0"/>
              <c:showBubbleSize val="0"/>
              <c:extLst>
                <c:ext xmlns:c15="http://schemas.microsoft.com/office/drawing/2012/chart" uri="{CE6537A1-D6FC-4f65-9D91-7224C49458BB}">
                  <c15:layout/>
                </c:ext>
              </c:extLst>
            </c:dLbl>
            <c:dLbl>
              <c:idx val="9"/>
              <c:layout>
                <c:manualLayout>
                  <c:x val="1.3217391867453266E-2"/>
                  <c:y val="-1.4130146436954037E-2"/>
                </c:manualLayout>
              </c:layout>
              <c:tx>
                <c:rich>
                  <a:bodyPr/>
                  <a:lstStyle/>
                  <a:p>
                    <a:r>
                      <a:rPr lang="en-US"/>
                      <a:t>4.1</a:t>
                    </a:r>
                  </a:p>
                </c:rich>
              </c:tx>
              <c:showLegendKey val="0"/>
              <c:showVal val="1"/>
              <c:showCatName val="0"/>
              <c:showSerName val="0"/>
              <c:showPercent val="0"/>
              <c:showBubbleSize val="0"/>
              <c:extLst>
                <c:ext xmlns:c15="http://schemas.microsoft.com/office/drawing/2012/chart" uri="{CE6537A1-D6FC-4f65-9D91-7224C49458BB}">
                  <c15:layout/>
                </c:ext>
              </c:extLst>
            </c:dLbl>
            <c:dLbl>
              <c:idx val="10"/>
              <c:layout>
                <c:manualLayout>
                  <c:x val="5.2869567469813063E-2"/>
                  <c:y val="-1.4130146436954037E-2"/>
                </c:manualLayout>
              </c:layout>
              <c:tx>
                <c:rich>
                  <a:bodyPr/>
                  <a:lstStyle/>
                  <a:p>
                    <a:r>
                      <a:rPr lang="en-US"/>
                      <a:t>4.2</a:t>
                    </a:r>
                  </a:p>
                </c:rich>
              </c:tx>
              <c:showLegendKey val="0"/>
              <c:showVal val="1"/>
              <c:showCatName val="0"/>
              <c:showSerName val="0"/>
              <c:showPercent val="0"/>
              <c:showBubbleSize val="0"/>
              <c:extLst>
                <c:ext xmlns:c15="http://schemas.microsoft.com/office/drawing/2012/chart" uri="{CE6537A1-D6FC-4f65-9D91-7224C49458BB}">
                  <c15:layout/>
                </c:ext>
              </c:extLst>
            </c:dLbl>
            <c:dLbl>
              <c:idx val="11"/>
              <c:layout>
                <c:manualLayout>
                  <c:x val="7.3429954819184805E-3"/>
                  <c:y val="3.4316069918316948E-2"/>
                </c:manualLayout>
              </c:layout>
              <c:tx>
                <c:rich>
                  <a:bodyPr/>
                  <a:lstStyle/>
                  <a:p>
                    <a:r>
                      <a:rPr lang="en-US"/>
                      <a:t>4.3</a:t>
                    </a:r>
                  </a:p>
                </c:rich>
              </c:tx>
              <c:showLegendKey val="0"/>
              <c:showVal val="1"/>
              <c:showCatName val="0"/>
              <c:showSerName val="0"/>
              <c:showPercent val="0"/>
              <c:showBubbleSize val="0"/>
              <c:extLst>
                <c:ext xmlns:c15="http://schemas.microsoft.com/office/drawing/2012/chart" uri="{CE6537A1-D6FC-4f65-9D91-7224C49458BB}">
                  <c15:layout/>
                </c:ext>
              </c:extLst>
            </c:dLbl>
            <c:dLbl>
              <c:idx val="12"/>
              <c:layout>
                <c:manualLayout>
                  <c:x val="5.8743963855347844E-2"/>
                  <c:y val="3.4316069918316948E-2"/>
                </c:manualLayout>
              </c:layout>
              <c:tx>
                <c:rich>
                  <a:bodyPr/>
                  <a:lstStyle/>
                  <a:p>
                    <a:r>
                      <a:rPr lang="en-US"/>
                      <a:t>4.4</a:t>
                    </a:r>
                  </a:p>
                </c:rich>
              </c:tx>
              <c:showLegendKey val="0"/>
              <c:showVal val="1"/>
              <c:showCatName val="0"/>
              <c:showSerName val="0"/>
              <c:showPercent val="0"/>
              <c:showBubbleSize val="0"/>
              <c:extLst>
                <c:ext xmlns:c15="http://schemas.microsoft.com/office/drawing/2012/chart" uri="{CE6537A1-D6FC-4f65-9D91-7224C49458BB}">
                  <c15:layout/>
                </c:ext>
              </c:extLst>
            </c:dLbl>
            <c:dLbl>
              <c:idx val="13"/>
              <c:layout>
                <c:manualLayout>
                  <c:x val="-2.2028986445755443E-2"/>
                  <c:y val="-3.2297477570180658E-2"/>
                </c:manualLayout>
              </c:layout>
              <c:tx>
                <c:rich>
                  <a:bodyPr/>
                  <a:lstStyle/>
                  <a:p>
                    <a:r>
                      <a:rPr lang="en-US"/>
                      <a:t>5.1</a:t>
                    </a:r>
                  </a:p>
                </c:rich>
              </c:tx>
              <c:showLegendKey val="0"/>
              <c:showVal val="1"/>
              <c:showCatName val="0"/>
              <c:showSerName val="0"/>
              <c:showPercent val="0"/>
              <c:showBubbleSize val="0"/>
              <c:extLst>
                <c:ext xmlns:c15="http://schemas.microsoft.com/office/drawing/2012/chart" uri="{CE6537A1-D6FC-4f65-9D91-7224C49458BB}">
                  <c15:layout/>
                </c:ext>
              </c:extLst>
            </c:dLbl>
            <c:dLbl>
              <c:idx val="14"/>
              <c:layout/>
              <c:tx>
                <c:rich>
                  <a:bodyPr/>
                  <a:lstStyle/>
                  <a:p>
                    <a:r>
                      <a:rPr lang="en-US"/>
                      <a:t>5.2</a:t>
                    </a:r>
                  </a:p>
                </c:rich>
              </c:tx>
              <c:showLegendKey val="0"/>
              <c:showVal val="1"/>
              <c:showCatName val="0"/>
              <c:showSerName val="0"/>
              <c:showPercent val="0"/>
              <c:showBubbleSize val="0"/>
              <c:extLst>
                <c:ext xmlns:c15="http://schemas.microsoft.com/office/drawing/2012/chart" uri="{CE6537A1-D6FC-4f65-9D91-7224C49458BB}">
                  <c15:layout/>
                </c:ext>
              </c:extLst>
            </c:dLbl>
            <c:dLbl>
              <c:idx val="15"/>
              <c:layout/>
              <c:tx>
                <c:rich>
                  <a:bodyPr/>
                  <a:lstStyle/>
                  <a:p>
                    <a:r>
                      <a:rPr lang="en-US"/>
                      <a:t>5.3</a:t>
                    </a:r>
                  </a:p>
                </c:rich>
              </c:tx>
              <c:showLegendKey val="0"/>
              <c:showVal val="1"/>
              <c:showCatName val="0"/>
              <c:showSerName val="0"/>
              <c:showPercent val="0"/>
              <c:showBubbleSize val="0"/>
              <c:extLst>
                <c:ext xmlns:c15="http://schemas.microsoft.com/office/drawing/2012/chart" uri="{CE6537A1-D6FC-4f65-9D91-7224C49458BB}">
                  <c15:layout/>
                </c:ext>
              </c:extLst>
            </c:dLbl>
            <c:dLbl>
              <c:idx val="16"/>
              <c:layout>
                <c:manualLayout>
                  <c:x val="-3.6714977409592404E-2"/>
                  <c:y val="1.0092961740681455E-2"/>
                </c:manualLayout>
              </c:layout>
              <c:tx>
                <c:rich>
                  <a:bodyPr/>
                  <a:lstStyle/>
                  <a:p>
                    <a:r>
                      <a:rPr lang="en-US"/>
                      <a:t>6.1</a:t>
                    </a:r>
                  </a:p>
                </c:rich>
              </c:tx>
              <c:showLegendKey val="0"/>
              <c:showVal val="1"/>
              <c:showCatName val="0"/>
              <c:showSerName val="0"/>
              <c:showPercent val="0"/>
              <c:showBubbleSize val="0"/>
              <c:extLst>
                <c:ext xmlns:c15="http://schemas.microsoft.com/office/drawing/2012/chart" uri="{CE6537A1-D6FC-4f65-9D91-7224C49458BB}">
                  <c15:layout/>
                </c:ext>
              </c:extLst>
            </c:dLbl>
            <c:dLbl>
              <c:idx val="17"/>
              <c:layout/>
              <c:tx>
                <c:rich>
                  <a:bodyPr/>
                  <a:lstStyle/>
                  <a:p>
                    <a:r>
                      <a:rPr lang="en-US"/>
                      <a:t>6.2</a:t>
                    </a:r>
                  </a:p>
                </c:rich>
              </c:tx>
              <c:showLegendKey val="0"/>
              <c:showVal val="1"/>
              <c:showCatName val="0"/>
              <c:showSerName val="0"/>
              <c:showPercent val="0"/>
              <c:showBubbleSize val="0"/>
              <c:extLst>
                <c:ext xmlns:c15="http://schemas.microsoft.com/office/drawing/2012/chart" uri="{CE6537A1-D6FC-4f65-9D91-7224C49458BB}">
                  <c15:layout/>
                </c:ext>
              </c:extLst>
            </c:dLbl>
            <c:dLbl>
              <c:idx val="18"/>
              <c:layout>
                <c:manualLayout>
                  <c:x val="-1.4685990963836961E-3"/>
                  <c:y val="-1.8167331133226619E-2"/>
                </c:manualLayout>
              </c:layout>
              <c:tx>
                <c:rich>
                  <a:bodyPr/>
                  <a:lstStyle/>
                  <a:p>
                    <a:r>
                      <a:rPr lang="en-US"/>
                      <a:t>7.1</a:t>
                    </a:r>
                  </a:p>
                </c:rich>
              </c:tx>
              <c:showLegendKey val="0"/>
              <c:showVal val="1"/>
              <c:showCatName val="0"/>
              <c:showSerName val="0"/>
              <c:showPercent val="0"/>
              <c:showBubbleSize val="0"/>
              <c:extLst>
                <c:ext xmlns:c15="http://schemas.microsoft.com/office/drawing/2012/chart" uri="{CE6537A1-D6FC-4f65-9D91-7224C49458BB}">
                  <c15:layout/>
                </c:ext>
              </c:extLst>
            </c:dLbl>
            <c:dLbl>
              <c:idx val="19"/>
              <c:layout>
                <c:manualLayout>
                  <c:x val="-4.2589373795127186E-2"/>
                  <c:y val="2.2204356885219819E-2"/>
                </c:manualLayout>
              </c:layout>
              <c:tx>
                <c:rich>
                  <a:bodyPr/>
                  <a:lstStyle/>
                  <a:p>
                    <a:r>
                      <a:rPr lang="en-US"/>
                      <a:t>7.2</a:t>
                    </a:r>
                  </a:p>
                </c:rich>
              </c:tx>
              <c:showLegendKey val="0"/>
              <c:showVal val="1"/>
              <c:showCatName val="0"/>
              <c:showSerName val="0"/>
              <c:showPercent val="0"/>
              <c:showBubbleSize val="0"/>
              <c:extLst>
                <c:ext xmlns:c15="http://schemas.microsoft.com/office/drawing/2012/chart" uri="{CE6537A1-D6FC-4f65-9D91-7224C49458BB}">
                  <c15:layout/>
                </c:ext>
              </c:extLst>
            </c:dLbl>
            <c:dLbl>
              <c:idx val="20"/>
              <c:layout>
                <c:manualLayout>
                  <c:x val="-4.2589373795127186E-2"/>
                  <c:y val="5.6520585747816147E-2"/>
                </c:manualLayout>
              </c:layout>
              <c:tx>
                <c:rich>
                  <a:bodyPr/>
                  <a:lstStyle/>
                  <a:p>
                    <a:r>
                      <a:rPr lang="en-US"/>
                      <a:t>7.3</a:t>
                    </a:r>
                  </a:p>
                </c:rich>
              </c:tx>
              <c:showLegendKey val="0"/>
              <c:showVal val="1"/>
              <c:showCatName val="0"/>
              <c:showSerName val="0"/>
              <c:showPercent val="0"/>
              <c:showBubbleSize val="0"/>
              <c:extLst>
                <c:ext xmlns:c15="http://schemas.microsoft.com/office/drawing/2012/chart" uri="{CE6537A1-D6FC-4f65-9D91-7224C49458BB}">
                  <c15:layout/>
                </c:ext>
              </c:extLst>
            </c:dLbl>
            <c:dLbl>
              <c:idx val="21"/>
              <c:layout>
                <c:manualLayout>
                  <c:x val="-4.2589373795127186E-2"/>
                  <c:y val="8.6799470969860515E-2"/>
                </c:manualLayout>
              </c:layout>
              <c:tx>
                <c:rich>
                  <a:bodyPr/>
                  <a:lstStyle/>
                  <a:p>
                    <a:r>
                      <a:rPr lang="en-US"/>
                      <a:t>7.4</a:t>
                    </a:r>
                  </a:p>
                </c:rich>
              </c:tx>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xVal>
            <c:numRef>
              <c:f>ОбобщениРезултати!$H$4:$H$25</c:f>
              <c:numCache>
                <c:formatCode>General</c:formatCode>
                <c:ptCount val="22"/>
                <c:pt idx="0">
                  <c:v>3</c:v>
                </c:pt>
                <c:pt idx="1">
                  <c:v>2</c:v>
                </c:pt>
                <c:pt idx="2">
                  <c:v>1</c:v>
                </c:pt>
                <c:pt idx="3">
                  <c:v>3</c:v>
                </c:pt>
                <c:pt idx="4">
                  <c:v>2</c:v>
                </c:pt>
                <c:pt idx="5">
                  <c:v>3</c:v>
                </c:pt>
                <c:pt idx="6">
                  <c:v>3</c:v>
                </c:pt>
                <c:pt idx="7">
                  <c:v>2</c:v>
                </c:pt>
                <c:pt idx="8">
                  <c:v>3</c:v>
                </c:pt>
                <c:pt idx="9">
                  <c:v>3</c:v>
                </c:pt>
                <c:pt idx="10">
                  <c:v>3</c:v>
                </c:pt>
                <c:pt idx="11">
                  <c:v>3</c:v>
                </c:pt>
                <c:pt idx="12">
                  <c:v>3</c:v>
                </c:pt>
                <c:pt idx="13">
                  <c:v>2</c:v>
                </c:pt>
                <c:pt idx="14">
                  <c:v>1</c:v>
                </c:pt>
                <c:pt idx="15">
                  <c:v>1</c:v>
                </c:pt>
                <c:pt idx="16">
                  <c:v>3</c:v>
                </c:pt>
                <c:pt idx="17">
                  <c:v>2</c:v>
                </c:pt>
                <c:pt idx="18">
                  <c:v>2</c:v>
                </c:pt>
                <c:pt idx="19">
                  <c:v>3</c:v>
                </c:pt>
                <c:pt idx="20">
                  <c:v>3</c:v>
                </c:pt>
                <c:pt idx="21">
                  <c:v>3</c:v>
                </c:pt>
              </c:numCache>
            </c:numRef>
          </c:xVal>
          <c:yVal>
            <c:numRef>
              <c:f>ОбобщениРезултати!$I$4:$I$25</c:f>
              <c:numCache>
                <c:formatCode>General</c:formatCode>
                <c:ptCount val="22"/>
                <c:pt idx="0">
                  <c:v>4</c:v>
                </c:pt>
                <c:pt idx="1">
                  <c:v>4</c:v>
                </c:pt>
                <c:pt idx="2">
                  <c:v>3</c:v>
                </c:pt>
                <c:pt idx="3">
                  <c:v>5</c:v>
                </c:pt>
                <c:pt idx="4">
                  <c:v>3</c:v>
                </c:pt>
                <c:pt idx="5">
                  <c:v>3</c:v>
                </c:pt>
                <c:pt idx="6">
                  <c:v>3</c:v>
                </c:pt>
                <c:pt idx="7">
                  <c:v>4</c:v>
                </c:pt>
                <c:pt idx="8">
                  <c:v>3</c:v>
                </c:pt>
                <c:pt idx="9">
                  <c:v>5</c:v>
                </c:pt>
                <c:pt idx="10">
                  <c:v>5</c:v>
                </c:pt>
                <c:pt idx="11">
                  <c:v>5</c:v>
                </c:pt>
                <c:pt idx="12">
                  <c:v>5</c:v>
                </c:pt>
                <c:pt idx="13">
                  <c:v>4</c:v>
                </c:pt>
                <c:pt idx="14">
                  <c:v>4</c:v>
                </c:pt>
                <c:pt idx="15">
                  <c:v>5</c:v>
                </c:pt>
                <c:pt idx="16">
                  <c:v>5</c:v>
                </c:pt>
                <c:pt idx="17">
                  <c:v>5</c:v>
                </c:pt>
                <c:pt idx="18">
                  <c:v>3</c:v>
                </c:pt>
                <c:pt idx="19">
                  <c:v>3</c:v>
                </c:pt>
                <c:pt idx="20">
                  <c:v>3</c:v>
                </c:pt>
                <c:pt idx="21">
                  <c:v>3</c:v>
                </c:pt>
              </c:numCache>
            </c:numRef>
          </c:yVal>
          <c:smooth val="0"/>
        </c:ser>
        <c:ser>
          <c:idx val="1"/>
          <c:order val="1"/>
          <c:spPr>
            <a:ln w="25400">
              <a:solidFill>
                <a:srgbClr val="FF0000"/>
              </a:solidFill>
              <a:prstDash val="solid"/>
            </a:ln>
          </c:spPr>
          <c:marker>
            <c:symbol val="none"/>
          </c:marker>
          <c:xVal>
            <c:numLit>
              <c:formatCode>General</c:formatCode>
              <c:ptCount val="4"/>
              <c:pt idx="0">
                <c:v>0</c:v>
              </c:pt>
              <c:pt idx="1">
                <c:v>1</c:v>
              </c:pt>
              <c:pt idx="2">
                <c:v>2</c:v>
              </c:pt>
              <c:pt idx="3">
                <c:v>3</c:v>
              </c:pt>
            </c:numLit>
          </c:xVal>
          <c:yVal>
            <c:numLit>
              <c:formatCode>General</c:formatCode>
              <c:ptCount val="4"/>
              <c:pt idx="0">
                <c:v>3</c:v>
              </c:pt>
              <c:pt idx="1">
                <c:v>3</c:v>
              </c:pt>
              <c:pt idx="2">
                <c:v>3</c:v>
              </c:pt>
              <c:pt idx="3">
                <c:v>3</c:v>
              </c:pt>
            </c:numLit>
          </c:yVal>
          <c:smooth val="0"/>
        </c:ser>
        <c:ser>
          <c:idx val="2"/>
          <c:order val="2"/>
          <c:spPr>
            <a:ln w="25400">
              <a:solidFill>
                <a:srgbClr val="FF0000"/>
              </a:solidFill>
              <a:prstDash val="solid"/>
            </a:ln>
          </c:spPr>
          <c:marker>
            <c:symbol val="none"/>
          </c:marker>
          <c:xVal>
            <c:numLit>
              <c:formatCode>General</c:formatCode>
              <c:ptCount val="4"/>
              <c:pt idx="0">
                <c:v>3</c:v>
              </c:pt>
              <c:pt idx="1">
                <c:v>3</c:v>
              </c:pt>
              <c:pt idx="2">
                <c:v>3</c:v>
              </c:pt>
              <c:pt idx="3">
                <c:v>3</c:v>
              </c:pt>
            </c:numLit>
          </c:xVal>
          <c:yVal>
            <c:numLit>
              <c:formatCode>General</c:formatCode>
              <c:ptCount val="4"/>
              <c:pt idx="0">
                <c:v>0</c:v>
              </c:pt>
              <c:pt idx="1">
                <c:v>1</c:v>
              </c:pt>
              <c:pt idx="2">
                <c:v>2</c:v>
              </c:pt>
              <c:pt idx="3">
                <c:v>3</c:v>
              </c:pt>
            </c:numLit>
          </c:yVal>
          <c:smooth val="0"/>
        </c:ser>
        <c:dLbls>
          <c:showLegendKey val="0"/>
          <c:showVal val="0"/>
          <c:showCatName val="0"/>
          <c:showSerName val="0"/>
          <c:showPercent val="0"/>
          <c:showBubbleSize val="0"/>
        </c:dLbls>
        <c:axId val="183443088"/>
        <c:axId val="183443472"/>
      </c:scatterChart>
      <c:valAx>
        <c:axId val="183443088"/>
        <c:scaling>
          <c:orientation val="minMax"/>
          <c:max val="5"/>
          <c:min val="0"/>
        </c:scaling>
        <c:delete val="0"/>
        <c:axPos val="b"/>
        <c:title>
          <c:tx>
            <c:rich>
              <a:bodyPr/>
              <a:lstStyle/>
              <a:p>
                <a:pPr>
                  <a:defRPr/>
                </a:pPr>
                <a:r>
                  <a:rPr lang="bg-BG"/>
                  <a:t>Вероятност</a:t>
                </a:r>
              </a:p>
            </c:rich>
          </c:tx>
          <c:layout/>
          <c:overlay val="0"/>
        </c:title>
        <c:numFmt formatCode="General" sourceLinked="1"/>
        <c:majorTickMark val="out"/>
        <c:minorTickMark val="none"/>
        <c:tickLblPos val="nextTo"/>
        <c:crossAx val="183443472"/>
        <c:crosses val="autoZero"/>
        <c:crossBetween val="midCat"/>
        <c:majorUnit val="1"/>
      </c:valAx>
      <c:valAx>
        <c:axId val="183443472"/>
        <c:scaling>
          <c:orientation val="minMax"/>
          <c:max val="5"/>
          <c:min val="0"/>
        </c:scaling>
        <c:delete val="0"/>
        <c:axPos val="l"/>
        <c:majorGridlines/>
        <c:title>
          <c:tx>
            <c:rich>
              <a:bodyPr/>
              <a:lstStyle/>
              <a:p>
                <a:pPr>
                  <a:defRPr/>
                </a:pPr>
                <a:r>
                  <a:rPr lang="bg-BG"/>
                  <a:t>Въздействие</a:t>
                </a:r>
              </a:p>
            </c:rich>
          </c:tx>
          <c:layout/>
          <c:overlay val="0"/>
        </c:title>
        <c:numFmt formatCode="General" sourceLinked="1"/>
        <c:majorTickMark val="out"/>
        <c:minorTickMark val="none"/>
        <c:tickLblPos val="nextTo"/>
        <c:crossAx val="183443088"/>
        <c:crosses val="autoZero"/>
        <c:crossBetween val="midCat"/>
        <c:majorUnit val="1"/>
      </c:valAx>
    </c:plotArea>
    <c:plotVisOnly val="1"/>
    <c:dispBlanksAs val="gap"/>
    <c:showDLblsOverMax val="0"/>
  </c:chart>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C671F0-5EF2-48AF-B94E-E0041EA6B2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108</TotalTime>
  <Pages>224</Pages>
  <Words>67938</Words>
  <Characters>387252</Characters>
  <Application>Microsoft Office Word</Application>
  <DocSecurity>0</DocSecurity>
  <Lines>3227</Lines>
  <Paragraphs>908</Paragraphs>
  <ScaleCrop>false</ScaleCrop>
  <HeadingPairs>
    <vt:vector size="2" baseType="variant">
      <vt:variant>
        <vt:lpstr>Title</vt:lpstr>
      </vt:variant>
      <vt:variant>
        <vt:i4>1</vt:i4>
      </vt:variant>
    </vt:vector>
  </HeadingPairs>
  <TitlesOfParts>
    <vt:vector size="1" baseType="lpstr">
      <vt:lpstr>СЪДЪРЖАНИЕ</vt:lpstr>
    </vt:vector>
  </TitlesOfParts>
  <Company/>
  <LinksUpToDate>false</LinksUpToDate>
  <CharactersWithSpaces>454282</CharactersWithSpaces>
  <SharedDoc>false</SharedDoc>
  <HLinks>
    <vt:vector size="600" baseType="variant">
      <vt:variant>
        <vt:i4>589896</vt:i4>
      </vt:variant>
      <vt:variant>
        <vt:i4>552</vt:i4>
      </vt:variant>
      <vt:variant>
        <vt:i4>0</vt:i4>
      </vt:variant>
      <vt:variant>
        <vt:i4>5</vt:i4>
      </vt:variant>
      <vt:variant>
        <vt:lpwstr>http://www.az.government.bg/internal.asp?CatID=28&amp;WA=Efunds/OPHRD/Soc%20Partners/Partners.htm</vt:lpwstr>
      </vt:variant>
      <vt:variant>
        <vt:lpwstr/>
      </vt:variant>
      <vt:variant>
        <vt:i4>3539040</vt:i4>
      </vt:variant>
      <vt:variant>
        <vt:i4>516</vt:i4>
      </vt:variant>
      <vt:variant>
        <vt:i4>0</vt:i4>
      </vt:variant>
      <vt:variant>
        <vt:i4>5</vt:i4>
      </vt:variant>
      <vt:variant>
        <vt:lpwstr>http://www.checkmarket.com/</vt:lpwstr>
      </vt:variant>
      <vt:variant>
        <vt:lpwstr/>
      </vt:variant>
      <vt:variant>
        <vt:i4>5701635</vt:i4>
      </vt:variant>
      <vt:variant>
        <vt:i4>504</vt:i4>
      </vt:variant>
      <vt:variant>
        <vt:i4>0</vt:i4>
      </vt:variant>
      <vt:variant>
        <vt:i4>5</vt:i4>
      </vt:variant>
      <vt:variant>
        <vt:lpwstr>http://www.strategy.bg/StrategicDocuments/View.aspx?lang=bg-BG&amp;Id=789</vt:lpwstr>
      </vt:variant>
      <vt:variant>
        <vt:lpwstr/>
      </vt:variant>
      <vt:variant>
        <vt:i4>5636103</vt:i4>
      </vt:variant>
      <vt:variant>
        <vt:i4>501</vt:i4>
      </vt:variant>
      <vt:variant>
        <vt:i4>0</vt:i4>
      </vt:variant>
      <vt:variant>
        <vt:i4>5</vt:i4>
      </vt:variant>
      <vt:variant>
        <vt:lpwstr>http://www.strategy.bg/StrategicDocuments/View.aspx?lang=bg-BG&amp;Id=396</vt:lpwstr>
      </vt:variant>
      <vt:variant>
        <vt:lpwstr/>
      </vt:variant>
      <vt:variant>
        <vt:i4>5767168</vt:i4>
      </vt:variant>
      <vt:variant>
        <vt:i4>498</vt:i4>
      </vt:variant>
      <vt:variant>
        <vt:i4>0</vt:i4>
      </vt:variant>
      <vt:variant>
        <vt:i4>5</vt:i4>
      </vt:variant>
      <vt:variant>
        <vt:lpwstr>http://www.strategy.bg/StrategicDocuments/View.aspx?lang=bg-BG&amp;Id=476</vt:lpwstr>
      </vt:variant>
      <vt:variant>
        <vt:lpwstr/>
      </vt:variant>
      <vt:variant>
        <vt:i4>5636103</vt:i4>
      </vt:variant>
      <vt:variant>
        <vt:i4>495</vt:i4>
      </vt:variant>
      <vt:variant>
        <vt:i4>0</vt:i4>
      </vt:variant>
      <vt:variant>
        <vt:i4>5</vt:i4>
      </vt:variant>
      <vt:variant>
        <vt:lpwstr>http://www.strategy.bg/StrategicDocuments/View.aspx?lang=bg-BG&amp;Id=393</vt:lpwstr>
      </vt:variant>
      <vt:variant>
        <vt:lpwstr/>
      </vt:variant>
      <vt:variant>
        <vt:i4>6094850</vt:i4>
      </vt:variant>
      <vt:variant>
        <vt:i4>492</vt:i4>
      </vt:variant>
      <vt:variant>
        <vt:i4>0</vt:i4>
      </vt:variant>
      <vt:variant>
        <vt:i4>5</vt:i4>
      </vt:variant>
      <vt:variant>
        <vt:lpwstr>http://www.strategy.bg/StrategicDocuments/View.aspx?lang=bg-BG&amp;Id=624</vt:lpwstr>
      </vt:variant>
      <vt:variant>
        <vt:lpwstr/>
      </vt:variant>
      <vt:variant>
        <vt:i4>6225923</vt:i4>
      </vt:variant>
      <vt:variant>
        <vt:i4>489</vt:i4>
      </vt:variant>
      <vt:variant>
        <vt:i4>0</vt:i4>
      </vt:variant>
      <vt:variant>
        <vt:i4>5</vt:i4>
      </vt:variant>
      <vt:variant>
        <vt:lpwstr>http://www.strategy.bg/StrategicDocuments/View.aspx?lang=bg-BG&amp;Id=708</vt:lpwstr>
      </vt:variant>
      <vt:variant>
        <vt:lpwstr/>
      </vt:variant>
      <vt:variant>
        <vt:i4>7340091</vt:i4>
      </vt:variant>
      <vt:variant>
        <vt:i4>486</vt:i4>
      </vt:variant>
      <vt:variant>
        <vt:i4>0</vt:i4>
      </vt:variant>
      <vt:variant>
        <vt:i4>5</vt:i4>
      </vt:variant>
      <vt:variant>
        <vt:lpwstr>http://www.strategy.bg/</vt:lpwstr>
      </vt:variant>
      <vt:variant>
        <vt:lpwstr/>
      </vt:variant>
      <vt:variant>
        <vt:i4>7667809</vt:i4>
      </vt:variant>
      <vt:variant>
        <vt:i4>483</vt:i4>
      </vt:variant>
      <vt:variant>
        <vt:i4>0</vt:i4>
      </vt:variant>
      <vt:variant>
        <vt:i4>5</vt:i4>
      </vt:variant>
      <vt:variant>
        <vt:lpwstr>http://www.eufunds.bg/document/4727</vt:lpwstr>
      </vt:variant>
      <vt:variant>
        <vt:lpwstr/>
      </vt:variant>
      <vt:variant>
        <vt:i4>262153</vt:i4>
      </vt:variant>
      <vt:variant>
        <vt:i4>480</vt:i4>
      </vt:variant>
      <vt:variant>
        <vt:i4>0</vt:i4>
      </vt:variant>
      <vt:variant>
        <vt:i4>5</vt:i4>
      </vt:variant>
      <vt:variant>
        <vt:lpwstr>http://www.bgregio.eu/media/files/9z.doc</vt:lpwstr>
      </vt:variant>
      <vt:variant>
        <vt:lpwstr/>
      </vt:variant>
      <vt:variant>
        <vt:i4>1376347</vt:i4>
      </vt:variant>
      <vt:variant>
        <vt:i4>477</vt:i4>
      </vt:variant>
      <vt:variant>
        <vt:i4>0</vt:i4>
      </vt:variant>
      <vt:variant>
        <vt:i4>5</vt:i4>
      </vt:variant>
      <vt:variant>
        <vt:lpwstr>http://www.minedu.government.bg/opencms/export/sites/mon/left_menu/documents/law/zkn_kreditirane_studenti_doktoranti.pdf</vt:lpwstr>
      </vt:variant>
      <vt:variant>
        <vt:lpwstr/>
      </vt:variant>
      <vt:variant>
        <vt:i4>786537</vt:i4>
      </vt:variant>
      <vt:variant>
        <vt:i4>474</vt:i4>
      </vt:variant>
      <vt:variant>
        <vt:i4>0</vt:i4>
      </vt:variant>
      <vt:variant>
        <vt:i4>5</vt:i4>
      </vt:variant>
      <vt:variant>
        <vt:lpwstr>http://www.minedu.government.bg/opencms/export/sites/mon/left_menu/documents/law/zkn_nauch_izsl.pdf</vt:lpwstr>
      </vt:variant>
      <vt:variant>
        <vt:lpwstr/>
      </vt:variant>
      <vt:variant>
        <vt:i4>3801172</vt:i4>
      </vt:variant>
      <vt:variant>
        <vt:i4>471</vt:i4>
      </vt:variant>
      <vt:variant>
        <vt:i4>0</vt:i4>
      </vt:variant>
      <vt:variant>
        <vt:i4>5</vt:i4>
      </vt:variant>
      <vt:variant>
        <vt:lpwstr>http://www.minedu.government.bg/opencms/export/sites/mon/left_menu/documents/law/zkn_acad_satav.pdf</vt:lpwstr>
      </vt:variant>
      <vt:variant>
        <vt:lpwstr/>
      </vt:variant>
      <vt:variant>
        <vt:i4>1245261</vt:i4>
      </vt:variant>
      <vt:variant>
        <vt:i4>468</vt:i4>
      </vt:variant>
      <vt:variant>
        <vt:i4>0</vt:i4>
      </vt:variant>
      <vt:variant>
        <vt:i4>5</vt:i4>
      </vt:variant>
      <vt:variant>
        <vt:lpwstr>http://www.minedu.government.bg/opencms/export/sites/mon/left_menu/documents/law/zkn_vo.pdf</vt:lpwstr>
      </vt:variant>
      <vt:variant>
        <vt:lpwstr/>
      </vt:variant>
      <vt:variant>
        <vt:i4>393343</vt:i4>
      </vt:variant>
      <vt:variant>
        <vt:i4>465</vt:i4>
      </vt:variant>
      <vt:variant>
        <vt:i4>0</vt:i4>
      </vt:variant>
      <vt:variant>
        <vt:i4>5</vt:i4>
      </vt:variant>
      <vt:variant>
        <vt:lpwstr>http://www.minedu.government.bg/opencms/export/sites/mon/left_menu/documents/law/zkn_prof_obucenieEU.pdf</vt:lpwstr>
      </vt:variant>
      <vt:variant>
        <vt:lpwstr/>
      </vt:variant>
      <vt:variant>
        <vt:i4>2359376</vt:i4>
      </vt:variant>
      <vt:variant>
        <vt:i4>462</vt:i4>
      </vt:variant>
      <vt:variant>
        <vt:i4>0</vt:i4>
      </vt:variant>
      <vt:variant>
        <vt:i4>5</vt:i4>
      </vt:variant>
      <vt:variant>
        <vt:lpwstr>http://www.minedu.government.bg/opencms/export/sites/mon/left_menu/documents/law/zkn_obr_minimun.pdf</vt:lpwstr>
      </vt:variant>
      <vt:variant>
        <vt:lpwstr/>
      </vt:variant>
      <vt:variant>
        <vt:i4>7864359</vt:i4>
      </vt:variant>
      <vt:variant>
        <vt:i4>459</vt:i4>
      </vt:variant>
      <vt:variant>
        <vt:i4>0</vt:i4>
      </vt:variant>
      <vt:variant>
        <vt:i4>5</vt:i4>
      </vt:variant>
      <vt:variant>
        <vt:lpwstr>http://www.minedu.government.bg/opencms/export/sites/mon/left_menu/documents/law/zkn_prosveta.pdf</vt:lpwstr>
      </vt:variant>
      <vt:variant>
        <vt:lpwstr/>
      </vt:variant>
      <vt:variant>
        <vt:i4>7602279</vt:i4>
      </vt:variant>
      <vt:variant>
        <vt:i4>456</vt:i4>
      </vt:variant>
      <vt:variant>
        <vt:i4>0</vt:i4>
      </vt:variant>
      <vt:variant>
        <vt:i4>5</vt:i4>
      </vt:variant>
      <vt:variant>
        <vt:lpwstr>http://www.eufunds.bg/document/5121</vt:lpwstr>
      </vt:variant>
      <vt:variant>
        <vt:lpwstr/>
      </vt:variant>
      <vt:variant>
        <vt:i4>5701635</vt:i4>
      </vt:variant>
      <vt:variant>
        <vt:i4>432</vt:i4>
      </vt:variant>
      <vt:variant>
        <vt:i4>0</vt:i4>
      </vt:variant>
      <vt:variant>
        <vt:i4>5</vt:i4>
      </vt:variant>
      <vt:variant>
        <vt:lpwstr>http://www.strategy.bg/StrategicDocuments/View.aspx?lang=bg-BG&amp;Id=789</vt:lpwstr>
      </vt:variant>
      <vt:variant>
        <vt:lpwstr/>
      </vt:variant>
      <vt:variant>
        <vt:i4>5636103</vt:i4>
      </vt:variant>
      <vt:variant>
        <vt:i4>429</vt:i4>
      </vt:variant>
      <vt:variant>
        <vt:i4>0</vt:i4>
      </vt:variant>
      <vt:variant>
        <vt:i4>5</vt:i4>
      </vt:variant>
      <vt:variant>
        <vt:lpwstr>http://www.strategy.bg/StrategicDocuments/View.aspx?lang=bg-BG&amp;Id=396</vt:lpwstr>
      </vt:variant>
      <vt:variant>
        <vt:lpwstr/>
      </vt:variant>
      <vt:variant>
        <vt:i4>5767168</vt:i4>
      </vt:variant>
      <vt:variant>
        <vt:i4>426</vt:i4>
      </vt:variant>
      <vt:variant>
        <vt:i4>0</vt:i4>
      </vt:variant>
      <vt:variant>
        <vt:i4>5</vt:i4>
      </vt:variant>
      <vt:variant>
        <vt:lpwstr>http://www.strategy.bg/StrategicDocuments/View.aspx?lang=bg-BG&amp;Id=476</vt:lpwstr>
      </vt:variant>
      <vt:variant>
        <vt:lpwstr/>
      </vt:variant>
      <vt:variant>
        <vt:i4>5636103</vt:i4>
      </vt:variant>
      <vt:variant>
        <vt:i4>423</vt:i4>
      </vt:variant>
      <vt:variant>
        <vt:i4>0</vt:i4>
      </vt:variant>
      <vt:variant>
        <vt:i4>5</vt:i4>
      </vt:variant>
      <vt:variant>
        <vt:lpwstr>http://www.strategy.bg/StrategicDocuments/View.aspx?lang=bg-BG&amp;Id=393</vt:lpwstr>
      </vt:variant>
      <vt:variant>
        <vt:lpwstr/>
      </vt:variant>
      <vt:variant>
        <vt:i4>6094850</vt:i4>
      </vt:variant>
      <vt:variant>
        <vt:i4>420</vt:i4>
      </vt:variant>
      <vt:variant>
        <vt:i4>0</vt:i4>
      </vt:variant>
      <vt:variant>
        <vt:i4>5</vt:i4>
      </vt:variant>
      <vt:variant>
        <vt:lpwstr>http://www.strategy.bg/StrategicDocuments/View.aspx?lang=bg-BG&amp;Id=624</vt:lpwstr>
      </vt:variant>
      <vt:variant>
        <vt:lpwstr/>
      </vt:variant>
      <vt:variant>
        <vt:i4>6225923</vt:i4>
      </vt:variant>
      <vt:variant>
        <vt:i4>417</vt:i4>
      </vt:variant>
      <vt:variant>
        <vt:i4>0</vt:i4>
      </vt:variant>
      <vt:variant>
        <vt:i4>5</vt:i4>
      </vt:variant>
      <vt:variant>
        <vt:lpwstr>http://www.strategy.bg/StrategicDocuments/View.aspx?lang=bg-BG&amp;Id=708</vt:lpwstr>
      </vt:variant>
      <vt:variant>
        <vt:lpwstr/>
      </vt:variant>
      <vt:variant>
        <vt:i4>7340091</vt:i4>
      </vt:variant>
      <vt:variant>
        <vt:i4>414</vt:i4>
      </vt:variant>
      <vt:variant>
        <vt:i4>0</vt:i4>
      </vt:variant>
      <vt:variant>
        <vt:i4>5</vt:i4>
      </vt:variant>
      <vt:variant>
        <vt:lpwstr>http://www.strategy.bg/</vt:lpwstr>
      </vt:variant>
      <vt:variant>
        <vt:lpwstr/>
      </vt:variant>
      <vt:variant>
        <vt:i4>7667809</vt:i4>
      </vt:variant>
      <vt:variant>
        <vt:i4>411</vt:i4>
      </vt:variant>
      <vt:variant>
        <vt:i4>0</vt:i4>
      </vt:variant>
      <vt:variant>
        <vt:i4>5</vt:i4>
      </vt:variant>
      <vt:variant>
        <vt:lpwstr>http://www.eufunds.bg/document/4727</vt:lpwstr>
      </vt:variant>
      <vt:variant>
        <vt:lpwstr/>
      </vt:variant>
      <vt:variant>
        <vt:i4>262153</vt:i4>
      </vt:variant>
      <vt:variant>
        <vt:i4>408</vt:i4>
      </vt:variant>
      <vt:variant>
        <vt:i4>0</vt:i4>
      </vt:variant>
      <vt:variant>
        <vt:i4>5</vt:i4>
      </vt:variant>
      <vt:variant>
        <vt:lpwstr>http://www.bgregio.eu/media/files/9z.doc</vt:lpwstr>
      </vt:variant>
      <vt:variant>
        <vt:lpwstr/>
      </vt:variant>
      <vt:variant>
        <vt:i4>1376347</vt:i4>
      </vt:variant>
      <vt:variant>
        <vt:i4>405</vt:i4>
      </vt:variant>
      <vt:variant>
        <vt:i4>0</vt:i4>
      </vt:variant>
      <vt:variant>
        <vt:i4>5</vt:i4>
      </vt:variant>
      <vt:variant>
        <vt:lpwstr>http://www.minedu.government.bg/opencms/export/sites/mon/left_menu/documents/law/zkn_kreditirane_studenti_doktoranti.pdf</vt:lpwstr>
      </vt:variant>
      <vt:variant>
        <vt:lpwstr/>
      </vt:variant>
      <vt:variant>
        <vt:i4>786537</vt:i4>
      </vt:variant>
      <vt:variant>
        <vt:i4>402</vt:i4>
      </vt:variant>
      <vt:variant>
        <vt:i4>0</vt:i4>
      </vt:variant>
      <vt:variant>
        <vt:i4>5</vt:i4>
      </vt:variant>
      <vt:variant>
        <vt:lpwstr>http://www.minedu.government.bg/opencms/export/sites/mon/left_menu/documents/law/zkn_nauch_izsl.pdf</vt:lpwstr>
      </vt:variant>
      <vt:variant>
        <vt:lpwstr/>
      </vt:variant>
      <vt:variant>
        <vt:i4>3801172</vt:i4>
      </vt:variant>
      <vt:variant>
        <vt:i4>399</vt:i4>
      </vt:variant>
      <vt:variant>
        <vt:i4>0</vt:i4>
      </vt:variant>
      <vt:variant>
        <vt:i4>5</vt:i4>
      </vt:variant>
      <vt:variant>
        <vt:lpwstr>http://www.minedu.government.bg/opencms/export/sites/mon/left_menu/documents/law/zkn_acad_satav.pdf</vt:lpwstr>
      </vt:variant>
      <vt:variant>
        <vt:lpwstr/>
      </vt:variant>
      <vt:variant>
        <vt:i4>1245261</vt:i4>
      </vt:variant>
      <vt:variant>
        <vt:i4>396</vt:i4>
      </vt:variant>
      <vt:variant>
        <vt:i4>0</vt:i4>
      </vt:variant>
      <vt:variant>
        <vt:i4>5</vt:i4>
      </vt:variant>
      <vt:variant>
        <vt:lpwstr>http://www.minedu.government.bg/opencms/export/sites/mon/left_menu/documents/law/zkn_vo.pdf</vt:lpwstr>
      </vt:variant>
      <vt:variant>
        <vt:lpwstr/>
      </vt:variant>
      <vt:variant>
        <vt:i4>393343</vt:i4>
      </vt:variant>
      <vt:variant>
        <vt:i4>393</vt:i4>
      </vt:variant>
      <vt:variant>
        <vt:i4>0</vt:i4>
      </vt:variant>
      <vt:variant>
        <vt:i4>5</vt:i4>
      </vt:variant>
      <vt:variant>
        <vt:lpwstr>http://www.minedu.government.bg/opencms/export/sites/mon/left_menu/documents/law/zkn_prof_obucenieEU.pdf</vt:lpwstr>
      </vt:variant>
      <vt:variant>
        <vt:lpwstr/>
      </vt:variant>
      <vt:variant>
        <vt:i4>2359376</vt:i4>
      </vt:variant>
      <vt:variant>
        <vt:i4>390</vt:i4>
      </vt:variant>
      <vt:variant>
        <vt:i4>0</vt:i4>
      </vt:variant>
      <vt:variant>
        <vt:i4>5</vt:i4>
      </vt:variant>
      <vt:variant>
        <vt:lpwstr>http://www.minedu.government.bg/opencms/export/sites/mon/left_menu/documents/law/zkn_obr_minimun.pdf</vt:lpwstr>
      </vt:variant>
      <vt:variant>
        <vt:lpwstr/>
      </vt:variant>
      <vt:variant>
        <vt:i4>7864359</vt:i4>
      </vt:variant>
      <vt:variant>
        <vt:i4>387</vt:i4>
      </vt:variant>
      <vt:variant>
        <vt:i4>0</vt:i4>
      </vt:variant>
      <vt:variant>
        <vt:i4>5</vt:i4>
      </vt:variant>
      <vt:variant>
        <vt:lpwstr>http://www.minedu.government.bg/opencms/export/sites/mon/left_menu/documents/law/zkn_prosveta.pdf</vt:lpwstr>
      </vt:variant>
      <vt:variant>
        <vt:lpwstr/>
      </vt:variant>
      <vt:variant>
        <vt:i4>7602279</vt:i4>
      </vt:variant>
      <vt:variant>
        <vt:i4>384</vt:i4>
      </vt:variant>
      <vt:variant>
        <vt:i4>0</vt:i4>
      </vt:variant>
      <vt:variant>
        <vt:i4>5</vt:i4>
      </vt:variant>
      <vt:variant>
        <vt:lpwstr>http://www.eufunds.bg/document/5121</vt:lpwstr>
      </vt:variant>
      <vt:variant>
        <vt:lpwstr/>
      </vt:variant>
      <vt:variant>
        <vt:i4>7995502</vt:i4>
      </vt:variant>
      <vt:variant>
        <vt:i4>381</vt:i4>
      </vt:variant>
      <vt:variant>
        <vt:i4>0</vt:i4>
      </vt:variant>
      <vt:variant>
        <vt:i4>5</vt:i4>
      </vt:variant>
      <vt:variant>
        <vt:lpwstr>http://www.eufunds.bg/document/1881</vt:lpwstr>
      </vt:variant>
      <vt:variant>
        <vt:lpwstr/>
      </vt:variant>
      <vt:variant>
        <vt:i4>7995502</vt:i4>
      </vt:variant>
      <vt:variant>
        <vt:i4>378</vt:i4>
      </vt:variant>
      <vt:variant>
        <vt:i4>0</vt:i4>
      </vt:variant>
      <vt:variant>
        <vt:i4>5</vt:i4>
      </vt:variant>
      <vt:variant>
        <vt:lpwstr>http://www.eufunds.bg/document/1880</vt:lpwstr>
      </vt:variant>
      <vt:variant>
        <vt:lpwstr/>
      </vt:variant>
      <vt:variant>
        <vt:i4>1114167</vt:i4>
      </vt:variant>
      <vt:variant>
        <vt:i4>362</vt:i4>
      </vt:variant>
      <vt:variant>
        <vt:i4>0</vt:i4>
      </vt:variant>
      <vt:variant>
        <vt:i4>5</vt:i4>
      </vt:variant>
      <vt:variant>
        <vt:lpwstr/>
      </vt:variant>
      <vt:variant>
        <vt:lpwstr>_Toc367111200</vt:lpwstr>
      </vt:variant>
      <vt:variant>
        <vt:i4>1572916</vt:i4>
      </vt:variant>
      <vt:variant>
        <vt:i4>356</vt:i4>
      </vt:variant>
      <vt:variant>
        <vt:i4>0</vt:i4>
      </vt:variant>
      <vt:variant>
        <vt:i4>5</vt:i4>
      </vt:variant>
      <vt:variant>
        <vt:lpwstr/>
      </vt:variant>
      <vt:variant>
        <vt:lpwstr>_Toc367111199</vt:lpwstr>
      </vt:variant>
      <vt:variant>
        <vt:i4>1572916</vt:i4>
      </vt:variant>
      <vt:variant>
        <vt:i4>350</vt:i4>
      </vt:variant>
      <vt:variant>
        <vt:i4>0</vt:i4>
      </vt:variant>
      <vt:variant>
        <vt:i4>5</vt:i4>
      </vt:variant>
      <vt:variant>
        <vt:lpwstr/>
      </vt:variant>
      <vt:variant>
        <vt:lpwstr>_Toc367111198</vt:lpwstr>
      </vt:variant>
      <vt:variant>
        <vt:i4>1572916</vt:i4>
      </vt:variant>
      <vt:variant>
        <vt:i4>344</vt:i4>
      </vt:variant>
      <vt:variant>
        <vt:i4>0</vt:i4>
      </vt:variant>
      <vt:variant>
        <vt:i4>5</vt:i4>
      </vt:variant>
      <vt:variant>
        <vt:lpwstr/>
      </vt:variant>
      <vt:variant>
        <vt:lpwstr>_Toc367111197</vt:lpwstr>
      </vt:variant>
      <vt:variant>
        <vt:i4>1572916</vt:i4>
      </vt:variant>
      <vt:variant>
        <vt:i4>338</vt:i4>
      </vt:variant>
      <vt:variant>
        <vt:i4>0</vt:i4>
      </vt:variant>
      <vt:variant>
        <vt:i4>5</vt:i4>
      </vt:variant>
      <vt:variant>
        <vt:lpwstr/>
      </vt:variant>
      <vt:variant>
        <vt:lpwstr>_Toc367111196</vt:lpwstr>
      </vt:variant>
      <vt:variant>
        <vt:i4>1572916</vt:i4>
      </vt:variant>
      <vt:variant>
        <vt:i4>332</vt:i4>
      </vt:variant>
      <vt:variant>
        <vt:i4>0</vt:i4>
      </vt:variant>
      <vt:variant>
        <vt:i4>5</vt:i4>
      </vt:variant>
      <vt:variant>
        <vt:lpwstr/>
      </vt:variant>
      <vt:variant>
        <vt:lpwstr>_Toc367111195</vt:lpwstr>
      </vt:variant>
      <vt:variant>
        <vt:i4>1572916</vt:i4>
      </vt:variant>
      <vt:variant>
        <vt:i4>326</vt:i4>
      </vt:variant>
      <vt:variant>
        <vt:i4>0</vt:i4>
      </vt:variant>
      <vt:variant>
        <vt:i4>5</vt:i4>
      </vt:variant>
      <vt:variant>
        <vt:lpwstr/>
      </vt:variant>
      <vt:variant>
        <vt:lpwstr>_Toc367111194</vt:lpwstr>
      </vt:variant>
      <vt:variant>
        <vt:i4>1572916</vt:i4>
      </vt:variant>
      <vt:variant>
        <vt:i4>320</vt:i4>
      </vt:variant>
      <vt:variant>
        <vt:i4>0</vt:i4>
      </vt:variant>
      <vt:variant>
        <vt:i4>5</vt:i4>
      </vt:variant>
      <vt:variant>
        <vt:lpwstr/>
      </vt:variant>
      <vt:variant>
        <vt:lpwstr>_Toc367111193</vt:lpwstr>
      </vt:variant>
      <vt:variant>
        <vt:i4>1572916</vt:i4>
      </vt:variant>
      <vt:variant>
        <vt:i4>314</vt:i4>
      </vt:variant>
      <vt:variant>
        <vt:i4>0</vt:i4>
      </vt:variant>
      <vt:variant>
        <vt:i4>5</vt:i4>
      </vt:variant>
      <vt:variant>
        <vt:lpwstr/>
      </vt:variant>
      <vt:variant>
        <vt:lpwstr>_Toc367111192</vt:lpwstr>
      </vt:variant>
      <vt:variant>
        <vt:i4>1572916</vt:i4>
      </vt:variant>
      <vt:variant>
        <vt:i4>308</vt:i4>
      </vt:variant>
      <vt:variant>
        <vt:i4>0</vt:i4>
      </vt:variant>
      <vt:variant>
        <vt:i4>5</vt:i4>
      </vt:variant>
      <vt:variant>
        <vt:lpwstr/>
      </vt:variant>
      <vt:variant>
        <vt:lpwstr>_Toc367111191</vt:lpwstr>
      </vt:variant>
      <vt:variant>
        <vt:i4>1572916</vt:i4>
      </vt:variant>
      <vt:variant>
        <vt:i4>302</vt:i4>
      </vt:variant>
      <vt:variant>
        <vt:i4>0</vt:i4>
      </vt:variant>
      <vt:variant>
        <vt:i4>5</vt:i4>
      </vt:variant>
      <vt:variant>
        <vt:lpwstr/>
      </vt:variant>
      <vt:variant>
        <vt:lpwstr>_Toc367111190</vt:lpwstr>
      </vt:variant>
      <vt:variant>
        <vt:i4>1638452</vt:i4>
      </vt:variant>
      <vt:variant>
        <vt:i4>296</vt:i4>
      </vt:variant>
      <vt:variant>
        <vt:i4>0</vt:i4>
      </vt:variant>
      <vt:variant>
        <vt:i4>5</vt:i4>
      </vt:variant>
      <vt:variant>
        <vt:lpwstr/>
      </vt:variant>
      <vt:variant>
        <vt:lpwstr>_Toc367111189</vt:lpwstr>
      </vt:variant>
      <vt:variant>
        <vt:i4>1638452</vt:i4>
      </vt:variant>
      <vt:variant>
        <vt:i4>290</vt:i4>
      </vt:variant>
      <vt:variant>
        <vt:i4>0</vt:i4>
      </vt:variant>
      <vt:variant>
        <vt:i4>5</vt:i4>
      </vt:variant>
      <vt:variant>
        <vt:lpwstr/>
      </vt:variant>
      <vt:variant>
        <vt:lpwstr>_Toc367111188</vt:lpwstr>
      </vt:variant>
      <vt:variant>
        <vt:i4>1638452</vt:i4>
      </vt:variant>
      <vt:variant>
        <vt:i4>284</vt:i4>
      </vt:variant>
      <vt:variant>
        <vt:i4>0</vt:i4>
      </vt:variant>
      <vt:variant>
        <vt:i4>5</vt:i4>
      </vt:variant>
      <vt:variant>
        <vt:lpwstr/>
      </vt:variant>
      <vt:variant>
        <vt:lpwstr>_Toc367111187</vt:lpwstr>
      </vt:variant>
      <vt:variant>
        <vt:i4>1638452</vt:i4>
      </vt:variant>
      <vt:variant>
        <vt:i4>278</vt:i4>
      </vt:variant>
      <vt:variant>
        <vt:i4>0</vt:i4>
      </vt:variant>
      <vt:variant>
        <vt:i4>5</vt:i4>
      </vt:variant>
      <vt:variant>
        <vt:lpwstr/>
      </vt:variant>
      <vt:variant>
        <vt:lpwstr>_Toc367111186</vt:lpwstr>
      </vt:variant>
      <vt:variant>
        <vt:i4>1638452</vt:i4>
      </vt:variant>
      <vt:variant>
        <vt:i4>272</vt:i4>
      </vt:variant>
      <vt:variant>
        <vt:i4>0</vt:i4>
      </vt:variant>
      <vt:variant>
        <vt:i4>5</vt:i4>
      </vt:variant>
      <vt:variant>
        <vt:lpwstr/>
      </vt:variant>
      <vt:variant>
        <vt:lpwstr>_Toc367111185</vt:lpwstr>
      </vt:variant>
      <vt:variant>
        <vt:i4>1638452</vt:i4>
      </vt:variant>
      <vt:variant>
        <vt:i4>266</vt:i4>
      </vt:variant>
      <vt:variant>
        <vt:i4>0</vt:i4>
      </vt:variant>
      <vt:variant>
        <vt:i4>5</vt:i4>
      </vt:variant>
      <vt:variant>
        <vt:lpwstr/>
      </vt:variant>
      <vt:variant>
        <vt:lpwstr>_Toc367111184</vt:lpwstr>
      </vt:variant>
      <vt:variant>
        <vt:i4>1638452</vt:i4>
      </vt:variant>
      <vt:variant>
        <vt:i4>260</vt:i4>
      </vt:variant>
      <vt:variant>
        <vt:i4>0</vt:i4>
      </vt:variant>
      <vt:variant>
        <vt:i4>5</vt:i4>
      </vt:variant>
      <vt:variant>
        <vt:lpwstr/>
      </vt:variant>
      <vt:variant>
        <vt:lpwstr>_Toc367111183</vt:lpwstr>
      </vt:variant>
      <vt:variant>
        <vt:i4>1638452</vt:i4>
      </vt:variant>
      <vt:variant>
        <vt:i4>254</vt:i4>
      </vt:variant>
      <vt:variant>
        <vt:i4>0</vt:i4>
      </vt:variant>
      <vt:variant>
        <vt:i4>5</vt:i4>
      </vt:variant>
      <vt:variant>
        <vt:lpwstr/>
      </vt:variant>
      <vt:variant>
        <vt:lpwstr>_Toc367111182</vt:lpwstr>
      </vt:variant>
      <vt:variant>
        <vt:i4>1638452</vt:i4>
      </vt:variant>
      <vt:variant>
        <vt:i4>248</vt:i4>
      </vt:variant>
      <vt:variant>
        <vt:i4>0</vt:i4>
      </vt:variant>
      <vt:variant>
        <vt:i4>5</vt:i4>
      </vt:variant>
      <vt:variant>
        <vt:lpwstr/>
      </vt:variant>
      <vt:variant>
        <vt:lpwstr>_Toc367111181</vt:lpwstr>
      </vt:variant>
      <vt:variant>
        <vt:i4>1638452</vt:i4>
      </vt:variant>
      <vt:variant>
        <vt:i4>242</vt:i4>
      </vt:variant>
      <vt:variant>
        <vt:i4>0</vt:i4>
      </vt:variant>
      <vt:variant>
        <vt:i4>5</vt:i4>
      </vt:variant>
      <vt:variant>
        <vt:lpwstr/>
      </vt:variant>
      <vt:variant>
        <vt:lpwstr>_Toc367111180</vt:lpwstr>
      </vt:variant>
      <vt:variant>
        <vt:i4>1441844</vt:i4>
      </vt:variant>
      <vt:variant>
        <vt:i4>236</vt:i4>
      </vt:variant>
      <vt:variant>
        <vt:i4>0</vt:i4>
      </vt:variant>
      <vt:variant>
        <vt:i4>5</vt:i4>
      </vt:variant>
      <vt:variant>
        <vt:lpwstr/>
      </vt:variant>
      <vt:variant>
        <vt:lpwstr>_Toc367111179</vt:lpwstr>
      </vt:variant>
      <vt:variant>
        <vt:i4>1441844</vt:i4>
      </vt:variant>
      <vt:variant>
        <vt:i4>230</vt:i4>
      </vt:variant>
      <vt:variant>
        <vt:i4>0</vt:i4>
      </vt:variant>
      <vt:variant>
        <vt:i4>5</vt:i4>
      </vt:variant>
      <vt:variant>
        <vt:lpwstr/>
      </vt:variant>
      <vt:variant>
        <vt:lpwstr>_Toc367111178</vt:lpwstr>
      </vt:variant>
      <vt:variant>
        <vt:i4>1441844</vt:i4>
      </vt:variant>
      <vt:variant>
        <vt:i4>224</vt:i4>
      </vt:variant>
      <vt:variant>
        <vt:i4>0</vt:i4>
      </vt:variant>
      <vt:variant>
        <vt:i4>5</vt:i4>
      </vt:variant>
      <vt:variant>
        <vt:lpwstr/>
      </vt:variant>
      <vt:variant>
        <vt:lpwstr>_Toc367111177</vt:lpwstr>
      </vt:variant>
      <vt:variant>
        <vt:i4>1441844</vt:i4>
      </vt:variant>
      <vt:variant>
        <vt:i4>218</vt:i4>
      </vt:variant>
      <vt:variant>
        <vt:i4>0</vt:i4>
      </vt:variant>
      <vt:variant>
        <vt:i4>5</vt:i4>
      </vt:variant>
      <vt:variant>
        <vt:lpwstr/>
      </vt:variant>
      <vt:variant>
        <vt:lpwstr>_Toc367111176</vt:lpwstr>
      </vt:variant>
      <vt:variant>
        <vt:i4>1441844</vt:i4>
      </vt:variant>
      <vt:variant>
        <vt:i4>212</vt:i4>
      </vt:variant>
      <vt:variant>
        <vt:i4>0</vt:i4>
      </vt:variant>
      <vt:variant>
        <vt:i4>5</vt:i4>
      </vt:variant>
      <vt:variant>
        <vt:lpwstr/>
      </vt:variant>
      <vt:variant>
        <vt:lpwstr>_Toc367111175</vt:lpwstr>
      </vt:variant>
      <vt:variant>
        <vt:i4>1441844</vt:i4>
      </vt:variant>
      <vt:variant>
        <vt:i4>206</vt:i4>
      </vt:variant>
      <vt:variant>
        <vt:i4>0</vt:i4>
      </vt:variant>
      <vt:variant>
        <vt:i4>5</vt:i4>
      </vt:variant>
      <vt:variant>
        <vt:lpwstr/>
      </vt:variant>
      <vt:variant>
        <vt:lpwstr>_Toc367111174</vt:lpwstr>
      </vt:variant>
      <vt:variant>
        <vt:i4>1441844</vt:i4>
      </vt:variant>
      <vt:variant>
        <vt:i4>200</vt:i4>
      </vt:variant>
      <vt:variant>
        <vt:i4>0</vt:i4>
      </vt:variant>
      <vt:variant>
        <vt:i4>5</vt:i4>
      </vt:variant>
      <vt:variant>
        <vt:lpwstr/>
      </vt:variant>
      <vt:variant>
        <vt:lpwstr>_Toc367111173</vt:lpwstr>
      </vt:variant>
      <vt:variant>
        <vt:i4>1441844</vt:i4>
      </vt:variant>
      <vt:variant>
        <vt:i4>194</vt:i4>
      </vt:variant>
      <vt:variant>
        <vt:i4>0</vt:i4>
      </vt:variant>
      <vt:variant>
        <vt:i4>5</vt:i4>
      </vt:variant>
      <vt:variant>
        <vt:lpwstr/>
      </vt:variant>
      <vt:variant>
        <vt:lpwstr>_Toc367111172</vt:lpwstr>
      </vt:variant>
      <vt:variant>
        <vt:i4>1441844</vt:i4>
      </vt:variant>
      <vt:variant>
        <vt:i4>188</vt:i4>
      </vt:variant>
      <vt:variant>
        <vt:i4>0</vt:i4>
      </vt:variant>
      <vt:variant>
        <vt:i4>5</vt:i4>
      </vt:variant>
      <vt:variant>
        <vt:lpwstr/>
      </vt:variant>
      <vt:variant>
        <vt:lpwstr>_Toc367111171</vt:lpwstr>
      </vt:variant>
      <vt:variant>
        <vt:i4>1441844</vt:i4>
      </vt:variant>
      <vt:variant>
        <vt:i4>182</vt:i4>
      </vt:variant>
      <vt:variant>
        <vt:i4>0</vt:i4>
      </vt:variant>
      <vt:variant>
        <vt:i4>5</vt:i4>
      </vt:variant>
      <vt:variant>
        <vt:lpwstr/>
      </vt:variant>
      <vt:variant>
        <vt:lpwstr>_Toc367111170</vt:lpwstr>
      </vt:variant>
      <vt:variant>
        <vt:i4>1507380</vt:i4>
      </vt:variant>
      <vt:variant>
        <vt:i4>176</vt:i4>
      </vt:variant>
      <vt:variant>
        <vt:i4>0</vt:i4>
      </vt:variant>
      <vt:variant>
        <vt:i4>5</vt:i4>
      </vt:variant>
      <vt:variant>
        <vt:lpwstr/>
      </vt:variant>
      <vt:variant>
        <vt:lpwstr>_Toc367111169</vt:lpwstr>
      </vt:variant>
      <vt:variant>
        <vt:i4>1507380</vt:i4>
      </vt:variant>
      <vt:variant>
        <vt:i4>170</vt:i4>
      </vt:variant>
      <vt:variant>
        <vt:i4>0</vt:i4>
      </vt:variant>
      <vt:variant>
        <vt:i4>5</vt:i4>
      </vt:variant>
      <vt:variant>
        <vt:lpwstr/>
      </vt:variant>
      <vt:variant>
        <vt:lpwstr>_Toc367111168</vt:lpwstr>
      </vt:variant>
      <vt:variant>
        <vt:i4>1507380</vt:i4>
      </vt:variant>
      <vt:variant>
        <vt:i4>164</vt:i4>
      </vt:variant>
      <vt:variant>
        <vt:i4>0</vt:i4>
      </vt:variant>
      <vt:variant>
        <vt:i4>5</vt:i4>
      </vt:variant>
      <vt:variant>
        <vt:lpwstr/>
      </vt:variant>
      <vt:variant>
        <vt:lpwstr>_Toc367111167</vt:lpwstr>
      </vt:variant>
      <vt:variant>
        <vt:i4>1507380</vt:i4>
      </vt:variant>
      <vt:variant>
        <vt:i4>158</vt:i4>
      </vt:variant>
      <vt:variant>
        <vt:i4>0</vt:i4>
      </vt:variant>
      <vt:variant>
        <vt:i4>5</vt:i4>
      </vt:variant>
      <vt:variant>
        <vt:lpwstr/>
      </vt:variant>
      <vt:variant>
        <vt:lpwstr>_Toc367111166</vt:lpwstr>
      </vt:variant>
      <vt:variant>
        <vt:i4>1507380</vt:i4>
      </vt:variant>
      <vt:variant>
        <vt:i4>152</vt:i4>
      </vt:variant>
      <vt:variant>
        <vt:i4>0</vt:i4>
      </vt:variant>
      <vt:variant>
        <vt:i4>5</vt:i4>
      </vt:variant>
      <vt:variant>
        <vt:lpwstr/>
      </vt:variant>
      <vt:variant>
        <vt:lpwstr>_Toc367111165</vt:lpwstr>
      </vt:variant>
      <vt:variant>
        <vt:i4>1507380</vt:i4>
      </vt:variant>
      <vt:variant>
        <vt:i4>146</vt:i4>
      </vt:variant>
      <vt:variant>
        <vt:i4>0</vt:i4>
      </vt:variant>
      <vt:variant>
        <vt:i4>5</vt:i4>
      </vt:variant>
      <vt:variant>
        <vt:lpwstr/>
      </vt:variant>
      <vt:variant>
        <vt:lpwstr>_Toc367111164</vt:lpwstr>
      </vt:variant>
      <vt:variant>
        <vt:i4>1507380</vt:i4>
      </vt:variant>
      <vt:variant>
        <vt:i4>140</vt:i4>
      </vt:variant>
      <vt:variant>
        <vt:i4>0</vt:i4>
      </vt:variant>
      <vt:variant>
        <vt:i4>5</vt:i4>
      </vt:variant>
      <vt:variant>
        <vt:lpwstr/>
      </vt:variant>
      <vt:variant>
        <vt:lpwstr>_Toc367111163</vt:lpwstr>
      </vt:variant>
      <vt:variant>
        <vt:i4>1507380</vt:i4>
      </vt:variant>
      <vt:variant>
        <vt:i4>134</vt:i4>
      </vt:variant>
      <vt:variant>
        <vt:i4>0</vt:i4>
      </vt:variant>
      <vt:variant>
        <vt:i4>5</vt:i4>
      </vt:variant>
      <vt:variant>
        <vt:lpwstr/>
      </vt:variant>
      <vt:variant>
        <vt:lpwstr>_Toc367111162</vt:lpwstr>
      </vt:variant>
      <vt:variant>
        <vt:i4>1507380</vt:i4>
      </vt:variant>
      <vt:variant>
        <vt:i4>128</vt:i4>
      </vt:variant>
      <vt:variant>
        <vt:i4>0</vt:i4>
      </vt:variant>
      <vt:variant>
        <vt:i4>5</vt:i4>
      </vt:variant>
      <vt:variant>
        <vt:lpwstr/>
      </vt:variant>
      <vt:variant>
        <vt:lpwstr>_Toc367111161</vt:lpwstr>
      </vt:variant>
      <vt:variant>
        <vt:i4>1507380</vt:i4>
      </vt:variant>
      <vt:variant>
        <vt:i4>122</vt:i4>
      </vt:variant>
      <vt:variant>
        <vt:i4>0</vt:i4>
      </vt:variant>
      <vt:variant>
        <vt:i4>5</vt:i4>
      </vt:variant>
      <vt:variant>
        <vt:lpwstr/>
      </vt:variant>
      <vt:variant>
        <vt:lpwstr>_Toc367111160</vt:lpwstr>
      </vt:variant>
      <vt:variant>
        <vt:i4>1310772</vt:i4>
      </vt:variant>
      <vt:variant>
        <vt:i4>116</vt:i4>
      </vt:variant>
      <vt:variant>
        <vt:i4>0</vt:i4>
      </vt:variant>
      <vt:variant>
        <vt:i4>5</vt:i4>
      </vt:variant>
      <vt:variant>
        <vt:lpwstr/>
      </vt:variant>
      <vt:variant>
        <vt:lpwstr>_Toc367111159</vt:lpwstr>
      </vt:variant>
      <vt:variant>
        <vt:i4>1310772</vt:i4>
      </vt:variant>
      <vt:variant>
        <vt:i4>110</vt:i4>
      </vt:variant>
      <vt:variant>
        <vt:i4>0</vt:i4>
      </vt:variant>
      <vt:variant>
        <vt:i4>5</vt:i4>
      </vt:variant>
      <vt:variant>
        <vt:lpwstr/>
      </vt:variant>
      <vt:variant>
        <vt:lpwstr>_Toc367111158</vt:lpwstr>
      </vt:variant>
      <vt:variant>
        <vt:i4>1310772</vt:i4>
      </vt:variant>
      <vt:variant>
        <vt:i4>104</vt:i4>
      </vt:variant>
      <vt:variant>
        <vt:i4>0</vt:i4>
      </vt:variant>
      <vt:variant>
        <vt:i4>5</vt:i4>
      </vt:variant>
      <vt:variant>
        <vt:lpwstr/>
      </vt:variant>
      <vt:variant>
        <vt:lpwstr>_Toc367111157</vt:lpwstr>
      </vt:variant>
      <vt:variant>
        <vt:i4>1310772</vt:i4>
      </vt:variant>
      <vt:variant>
        <vt:i4>98</vt:i4>
      </vt:variant>
      <vt:variant>
        <vt:i4>0</vt:i4>
      </vt:variant>
      <vt:variant>
        <vt:i4>5</vt:i4>
      </vt:variant>
      <vt:variant>
        <vt:lpwstr/>
      </vt:variant>
      <vt:variant>
        <vt:lpwstr>_Toc367111156</vt:lpwstr>
      </vt:variant>
      <vt:variant>
        <vt:i4>1310772</vt:i4>
      </vt:variant>
      <vt:variant>
        <vt:i4>92</vt:i4>
      </vt:variant>
      <vt:variant>
        <vt:i4>0</vt:i4>
      </vt:variant>
      <vt:variant>
        <vt:i4>5</vt:i4>
      </vt:variant>
      <vt:variant>
        <vt:lpwstr/>
      </vt:variant>
      <vt:variant>
        <vt:lpwstr>_Toc367111155</vt:lpwstr>
      </vt:variant>
      <vt:variant>
        <vt:i4>1310772</vt:i4>
      </vt:variant>
      <vt:variant>
        <vt:i4>86</vt:i4>
      </vt:variant>
      <vt:variant>
        <vt:i4>0</vt:i4>
      </vt:variant>
      <vt:variant>
        <vt:i4>5</vt:i4>
      </vt:variant>
      <vt:variant>
        <vt:lpwstr/>
      </vt:variant>
      <vt:variant>
        <vt:lpwstr>_Toc367111154</vt:lpwstr>
      </vt:variant>
      <vt:variant>
        <vt:i4>1310772</vt:i4>
      </vt:variant>
      <vt:variant>
        <vt:i4>80</vt:i4>
      </vt:variant>
      <vt:variant>
        <vt:i4>0</vt:i4>
      </vt:variant>
      <vt:variant>
        <vt:i4>5</vt:i4>
      </vt:variant>
      <vt:variant>
        <vt:lpwstr/>
      </vt:variant>
      <vt:variant>
        <vt:lpwstr>_Toc367111153</vt:lpwstr>
      </vt:variant>
      <vt:variant>
        <vt:i4>1310772</vt:i4>
      </vt:variant>
      <vt:variant>
        <vt:i4>74</vt:i4>
      </vt:variant>
      <vt:variant>
        <vt:i4>0</vt:i4>
      </vt:variant>
      <vt:variant>
        <vt:i4>5</vt:i4>
      </vt:variant>
      <vt:variant>
        <vt:lpwstr/>
      </vt:variant>
      <vt:variant>
        <vt:lpwstr>_Toc367111152</vt:lpwstr>
      </vt:variant>
      <vt:variant>
        <vt:i4>1310772</vt:i4>
      </vt:variant>
      <vt:variant>
        <vt:i4>68</vt:i4>
      </vt:variant>
      <vt:variant>
        <vt:i4>0</vt:i4>
      </vt:variant>
      <vt:variant>
        <vt:i4>5</vt:i4>
      </vt:variant>
      <vt:variant>
        <vt:lpwstr/>
      </vt:variant>
      <vt:variant>
        <vt:lpwstr>_Toc367111151</vt:lpwstr>
      </vt:variant>
      <vt:variant>
        <vt:i4>1310772</vt:i4>
      </vt:variant>
      <vt:variant>
        <vt:i4>62</vt:i4>
      </vt:variant>
      <vt:variant>
        <vt:i4>0</vt:i4>
      </vt:variant>
      <vt:variant>
        <vt:i4>5</vt:i4>
      </vt:variant>
      <vt:variant>
        <vt:lpwstr/>
      </vt:variant>
      <vt:variant>
        <vt:lpwstr>_Toc367111150</vt:lpwstr>
      </vt:variant>
      <vt:variant>
        <vt:i4>1376308</vt:i4>
      </vt:variant>
      <vt:variant>
        <vt:i4>56</vt:i4>
      </vt:variant>
      <vt:variant>
        <vt:i4>0</vt:i4>
      </vt:variant>
      <vt:variant>
        <vt:i4>5</vt:i4>
      </vt:variant>
      <vt:variant>
        <vt:lpwstr/>
      </vt:variant>
      <vt:variant>
        <vt:lpwstr>_Toc367111149</vt:lpwstr>
      </vt:variant>
      <vt:variant>
        <vt:i4>1376308</vt:i4>
      </vt:variant>
      <vt:variant>
        <vt:i4>50</vt:i4>
      </vt:variant>
      <vt:variant>
        <vt:i4>0</vt:i4>
      </vt:variant>
      <vt:variant>
        <vt:i4>5</vt:i4>
      </vt:variant>
      <vt:variant>
        <vt:lpwstr/>
      </vt:variant>
      <vt:variant>
        <vt:lpwstr>_Toc367111148</vt:lpwstr>
      </vt:variant>
      <vt:variant>
        <vt:i4>1376308</vt:i4>
      </vt:variant>
      <vt:variant>
        <vt:i4>44</vt:i4>
      </vt:variant>
      <vt:variant>
        <vt:i4>0</vt:i4>
      </vt:variant>
      <vt:variant>
        <vt:i4>5</vt:i4>
      </vt:variant>
      <vt:variant>
        <vt:lpwstr/>
      </vt:variant>
      <vt:variant>
        <vt:lpwstr>_Toc367111147</vt:lpwstr>
      </vt:variant>
      <vt:variant>
        <vt:i4>1376308</vt:i4>
      </vt:variant>
      <vt:variant>
        <vt:i4>38</vt:i4>
      </vt:variant>
      <vt:variant>
        <vt:i4>0</vt:i4>
      </vt:variant>
      <vt:variant>
        <vt:i4>5</vt:i4>
      </vt:variant>
      <vt:variant>
        <vt:lpwstr/>
      </vt:variant>
      <vt:variant>
        <vt:lpwstr>_Toc367111146</vt:lpwstr>
      </vt:variant>
      <vt:variant>
        <vt:i4>1376308</vt:i4>
      </vt:variant>
      <vt:variant>
        <vt:i4>32</vt:i4>
      </vt:variant>
      <vt:variant>
        <vt:i4>0</vt:i4>
      </vt:variant>
      <vt:variant>
        <vt:i4>5</vt:i4>
      </vt:variant>
      <vt:variant>
        <vt:lpwstr/>
      </vt:variant>
      <vt:variant>
        <vt:lpwstr>_Toc367111145</vt:lpwstr>
      </vt:variant>
      <vt:variant>
        <vt:i4>1376308</vt:i4>
      </vt:variant>
      <vt:variant>
        <vt:i4>26</vt:i4>
      </vt:variant>
      <vt:variant>
        <vt:i4>0</vt:i4>
      </vt:variant>
      <vt:variant>
        <vt:i4>5</vt:i4>
      </vt:variant>
      <vt:variant>
        <vt:lpwstr/>
      </vt:variant>
      <vt:variant>
        <vt:lpwstr>_Toc367111144</vt:lpwstr>
      </vt:variant>
      <vt:variant>
        <vt:i4>1376308</vt:i4>
      </vt:variant>
      <vt:variant>
        <vt:i4>20</vt:i4>
      </vt:variant>
      <vt:variant>
        <vt:i4>0</vt:i4>
      </vt:variant>
      <vt:variant>
        <vt:i4>5</vt:i4>
      </vt:variant>
      <vt:variant>
        <vt:lpwstr/>
      </vt:variant>
      <vt:variant>
        <vt:lpwstr>_Toc367111143</vt:lpwstr>
      </vt:variant>
      <vt:variant>
        <vt:i4>1376308</vt:i4>
      </vt:variant>
      <vt:variant>
        <vt:i4>14</vt:i4>
      </vt:variant>
      <vt:variant>
        <vt:i4>0</vt:i4>
      </vt:variant>
      <vt:variant>
        <vt:i4>5</vt:i4>
      </vt:variant>
      <vt:variant>
        <vt:lpwstr/>
      </vt:variant>
      <vt:variant>
        <vt:lpwstr>_Toc367111142</vt:lpwstr>
      </vt:variant>
      <vt:variant>
        <vt:i4>1376308</vt:i4>
      </vt:variant>
      <vt:variant>
        <vt:i4>8</vt:i4>
      </vt:variant>
      <vt:variant>
        <vt:i4>0</vt:i4>
      </vt:variant>
      <vt:variant>
        <vt:i4>5</vt:i4>
      </vt:variant>
      <vt:variant>
        <vt:lpwstr/>
      </vt:variant>
      <vt:variant>
        <vt:lpwstr>_Toc367111141</vt:lpwstr>
      </vt:variant>
      <vt:variant>
        <vt:i4>1376308</vt:i4>
      </vt:variant>
      <vt:variant>
        <vt:i4>2</vt:i4>
      </vt:variant>
      <vt:variant>
        <vt:i4>0</vt:i4>
      </vt:variant>
      <vt:variant>
        <vt:i4>5</vt:i4>
      </vt:variant>
      <vt:variant>
        <vt:lpwstr/>
      </vt:variant>
      <vt:variant>
        <vt:lpwstr>_Toc367111140</vt:lpwstr>
      </vt:variant>
      <vt:variant>
        <vt:i4>6357081</vt:i4>
      </vt:variant>
      <vt:variant>
        <vt:i4>0</vt:i4>
      </vt:variant>
      <vt:variant>
        <vt:i4>0</vt:i4>
      </vt:variant>
      <vt:variant>
        <vt:i4>5</vt:i4>
      </vt:variant>
      <vt:variant>
        <vt:lpwstr>http://ec.europa.eu/regional_policy/sources/docgener/evaluation/evalsed/guide/methods_techniques/rules_en.htm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СЪДЪРЖАНИЕ</dc:title>
  <dc:subject/>
  <dc:creator>user</dc:creator>
  <cp:keywords/>
  <dc:description/>
  <cp:lastModifiedBy>SEE</cp:lastModifiedBy>
  <cp:revision>11</cp:revision>
  <cp:lastPrinted>2014-08-12T10:52:00Z</cp:lastPrinted>
  <dcterms:created xsi:type="dcterms:W3CDTF">2014-08-11T13:20:00Z</dcterms:created>
  <dcterms:modified xsi:type="dcterms:W3CDTF">2014-08-12T11:05:00Z</dcterms:modified>
</cp:coreProperties>
</file>